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涂轶翔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No.:2017011422 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14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没有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#include&lt;cstdio&gt;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就使用了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printf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，导致编译错误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（可能是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clang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不够严格）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25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运行错误，没有得到结果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for (nextDirection = 0; nextDirection &lt; 4; nextDirection++)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某次循环没有达到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break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的条件，从而在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nextDirection=4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的时候结束循环，之后用下标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访问了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X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Y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数组，这时我的机器上读到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Y[4]=1918985555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，导致后面的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myGrids[currentIndex].step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彻底越界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（可能是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clang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不够严格）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注视合格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似乎是把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list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当队列用了，建议使用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std::queue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，二者效率相差不小（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std::queue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是一个容器适配器，其模板参数可以提供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std::deque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或者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std::list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的默认选择是前者，可见前者效率更高）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79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LibreOffice/6.0.3.2$Linux_X86_64 LibreOffice_project/00m0$Build-2</Application>
  <Pages>2</Pages>
  <Words>544</Words>
  <Characters>1791</Characters>
  <CharactersWithSpaces>2009</CharactersWithSpaces>
  <Paragraphs>56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2018-05-14T16:18:28Z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