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涂轶翔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2017011422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2017011466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14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使用了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operator delete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而不是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operator delete[]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来释放内存；虽然在目前的编译器上，这两种操作对于没有非平凡的析构函数的类型而言没有任何区别，但是在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C++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标准中这是一个未定义行为。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引自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cppreference: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The behavior of the standard library implementation of this function (operator delete) is undefined unless ptr is a null pointer or is a pointer previously obtained from the standard library implementation of operator new(size_t) or operator new(size_t, std::nothrow_t).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注释合格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最好能再编写移动构造函数和移动赋值运算符（虽然这里没有要求）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95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character" w:styleId="ListLabel2">
    <w:name w:val="ListLabel 2"/>
    <w:qFormat/>
    <w:rPr>
      <w:rFonts w:ascii="Arial" w:hAnsi="Arial" w:cs="Arial"/>
      <w:sz w:val="20"/>
      <w:szCs w:val="24"/>
      <w:lang w:eastAsia="zh-CN"/>
    </w:rPr>
  </w:style>
  <w:style w:type="character" w:styleId="ListLabel3">
    <w:name w:val="ListLabel 3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LibreOffice/6.0.3.2$Linux_X86_64 LibreOffice_project/00m0$Build-2</Application>
  <Pages>2</Pages>
  <Words>509</Words>
  <Characters>1823</Characters>
  <CharactersWithSpaces>2072</CharactersWithSpaces>
  <Paragraphs>54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2018-05-14T16:19:00Z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