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title-proposal"/>
    <w:p>
      <w:pPr>
        <w:pStyle w:val="Heading1"/>
      </w:pPr>
      <w:r>
        <w:t xml:space="preserve">Title Proposal</w:t>
      </w:r>
    </w:p>
    <w:p>
      <w:pPr>
        <w:pStyle w:val="FirstParagraph"/>
      </w:pPr>
      <w:r>
        <w:t xml:space="preserve">A Review of Pro-Active Genetics (Pro-AG) and the pPro-MobV System in Reversing Antibiotic Resistance</w:t>
      </w:r>
    </w:p>
    <w:bookmarkStart w:id="23" w:name="i.-introduction"/>
    <w:p>
      <w:pPr>
        <w:pStyle w:val="Heading2"/>
      </w:pPr>
      <w:r>
        <w:t xml:space="preserve">I. Introduction</w:t>
      </w:r>
    </w:p>
    <w:bookmarkStart w:id="20" w:name="Xa566d8ca391858d1439600667cc71aba201d797"/>
    <w:p>
      <w:pPr>
        <w:pStyle w:val="Heading3"/>
      </w:pPr>
      <w:r>
        <w:t xml:space="preserve">A. The Crisis of Antimicrobial Resistance (AMR):</w:t>
      </w:r>
    </w:p>
    <w:p>
      <w:pPr>
        <w:pStyle w:val="Compact"/>
        <w:numPr>
          <w:ilvl w:val="0"/>
          <w:numId w:val="1001"/>
        </w:numPr>
      </w:pPr>
      <w:r>
        <w:t xml:space="preserve">Brief statistics on MDR (Multi-Drug Resistant) bacteria mortality.</w:t>
      </w:r>
    </w:p>
    <w:p>
      <w:pPr>
        <w:pStyle w:val="Compact"/>
        <w:numPr>
          <w:ilvl w:val="0"/>
          <w:numId w:val="1001"/>
        </w:numPr>
      </w:pPr>
      <w:r>
        <w:t xml:space="preserve">The limitation of current strategies: Why developing new antibiotics is a losing battle against evolution.</w:t>
      </w:r>
    </w:p>
    <w:bookmarkEnd w:id="20"/>
    <w:bookmarkStart w:id="21" w:name="b.-introduction-of-the-novel-technology"/>
    <w:p>
      <w:pPr>
        <w:pStyle w:val="Heading3"/>
      </w:pPr>
      <w:r>
        <w:t xml:space="preserve">B. Introduction of the Novel Technology:</w:t>
      </w:r>
    </w:p>
    <w:p>
      <w:pPr>
        <w:pStyle w:val="Compact"/>
        <w:numPr>
          <w:ilvl w:val="0"/>
          <w:numId w:val="1002"/>
        </w:numPr>
      </w:pPr>
      <w:r>
        <w:t xml:space="preserve">Define Pro-AG (Pro-Active Genetics).</w:t>
      </w:r>
    </w:p>
    <w:p>
      <w:pPr>
        <w:pStyle w:val="Compact"/>
        <w:numPr>
          <w:ilvl w:val="0"/>
          <w:numId w:val="1002"/>
        </w:numPr>
      </w:pPr>
      <w:r>
        <w:t xml:space="preserve">Introduce the specific tool: pPro-MobV (based on the UC San Diego Feb 2026 study).</w:t>
      </w:r>
    </w:p>
    <w:bookmarkEnd w:id="21"/>
    <w:bookmarkStart w:id="22" w:name="c.-thesis-statement"/>
    <w:p>
      <w:pPr>
        <w:pStyle w:val="Heading3"/>
      </w:pPr>
      <w:r>
        <w:t xml:space="preserve">C. Thesis Statement:</w:t>
      </w:r>
    </w:p>
    <w:p>
      <w:pPr>
        <w:pStyle w:val="Compact"/>
        <w:numPr>
          <w:ilvl w:val="0"/>
          <w:numId w:val="1003"/>
        </w:numPr>
      </w:pPr>
      <w:r>
        <w:t xml:space="preserve">Draft:</w:t>
      </w:r>
      <w:r>
        <w:t xml:space="preserve"> </w:t>
      </w:r>
      <w:r>
        <w:t xml:space="preserve">“While traditional antibiotic therapy relies on bacterial eradication, the pPro-MobV system represents a paradigm shift toward</w:t>
      </w:r>
      <w:r>
        <w:t xml:space="preserve"> </w:t>
      </w:r>
      <w:r>
        <w:t xml:space="preserve">‘genetic rehabilitation,’</w:t>
      </w:r>
      <w:r>
        <w:t xml:space="preserve"> </w:t>
      </w:r>
      <w:r>
        <w:t xml:space="preserve">offering a sustainable method to restore antibiotic susceptibility in diverse bacterial populations, provided that delivery and biosafety challenges can be overcome.”</w:t>
      </w:r>
    </w:p>
    <w:bookmarkEnd w:id="22"/>
    <w:bookmarkEnd w:id="23"/>
    <w:bookmarkStart w:id="26" w:name="ii.-mechanisms-of-action-brief-context"/>
    <w:p>
      <w:pPr>
        <w:pStyle w:val="Heading2"/>
      </w:pPr>
      <w:r>
        <w:t xml:space="preserve">II. Mechanisms of Action (Brief Context)</w:t>
      </w:r>
    </w:p>
    <w:bookmarkStart w:id="24" w:name="a.-the-copy-graft-mechanism"/>
    <w:p>
      <w:pPr>
        <w:pStyle w:val="Heading3"/>
      </w:pPr>
      <w:r>
        <w:t xml:space="preserve">A. The</w:t>
      </w:r>
      <w:r>
        <w:t xml:space="preserve"> </w:t>
      </w:r>
      <w:r>
        <w:t xml:space="preserve">“Copy-Graft”</w:t>
      </w:r>
      <w:r>
        <w:t xml:space="preserve"> </w:t>
      </w:r>
      <w:r>
        <w:t xml:space="preserve">Mechanism:</w:t>
      </w:r>
    </w:p>
    <w:p>
      <w:pPr>
        <w:pStyle w:val="Compact"/>
        <w:numPr>
          <w:ilvl w:val="0"/>
          <w:numId w:val="1004"/>
        </w:numPr>
      </w:pPr>
      <w:r>
        <w:t xml:space="preserve">Explain how Pro-AG differs from standard CRISPR-Cas9 (Active Genetics vs. Passive Editing).</w:t>
      </w:r>
    </w:p>
    <w:p>
      <w:pPr>
        <w:pStyle w:val="Compact"/>
        <w:numPr>
          <w:ilvl w:val="0"/>
          <w:numId w:val="1004"/>
        </w:numPr>
      </w:pPr>
      <w:r>
        <w:t xml:space="preserve">Describe the pPro-MobV cassette: How it targets resistance genes (e.g., blaNDM-1 or mecA) and replaces them with susceptibility markers.</w:t>
      </w:r>
    </w:p>
    <w:bookmarkEnd w:id="24"/>
    <w:bookmarkStart w:id="25" w:name="b.-broad-host-range-propagation"/>
    <w:p>
      <w:pPr>
        <w:pStyle w:val="Heading3"/>
      </w:pPr>
      <w:r>
        <w:t xml:space="preserve">B. Broad-Host-Range Propagation:</w:t>
      </w:r>
    </w:p>
    <w:p>
      <w:pPr>
        <w:pStyle w:val="Compact"/>
        <w:numPr>
          <w:ilvl w:val="0"/>
          <w:numId w:val="1005"/>
        </w:numPr>
      </w:pPr>
      <w:r>
        <w:t xml:space="preserve">Explain the role of Broad Host Range (BHR) mobile elements.</w:t>
      </w:r>
    </w:p>
    <w:p>
      <w:pPr>
        <w:pStyle w:val="Compact"/>
        <w:numPr>
          <w:ilvl w:val="0"/>
          <w:numId w:val="1005"/>
        </w:numPr>
      </w:pPr>
      <w:r>
        <w:t xml:space="preserve">Review the mechanism of bacterial conjugation (how the system</w:t>
      </w:r>
      <w:r>
        <w:t xml:space="preserve"> </w:t>
      </w:r>
      <w:r>
        <w:t xml:space="preserve">“jumps”</w:t>
      </w:r>
      <w:r>
        <w:t xml:space="preserve"> </w:t>
      </w:r>
      <w:r>
        <w:t xml:space="preserve">from engineered bacteria to wild resistant strains).</w:t>
      </w:r>
    </w:p>
    <w:bookmarkEnd w:id="25"/>
    <w:bookmarkEnd w:id="26"/>
    <w:bookmarkStart w:id="30" w:name="iii.-clinical-environmental-applications"/>
    <w:p>
      <w:pPr>
        <w:pStyle w:val="Heading2"/>
      </w:pPr>
      <w:r>
        <w:t xml:space="preserve">III. Clinical &amp; Environmental Applications</w:t>
      </w:r>
    </w:p>
    <w:p>
      <w:pPr>
        <w:pStyle w:val="FirstParagraph"/>
      </w:pPr>
      <w:r>
        <w:t xml:space="preserve">This is the core of your review.</w:t>
      </w:r>
    </w:p>
    <w:bookmarkStart w:id="27" w:name="X44c61c6b7a4ca04cf43a767ce1652793e41339e"/>
    <w:p>
      <w:pPr>
        <w:pStyle w:val="Heading3"/>
      </w:pPr>
      <w:r>
        <w:t xml:space="preserve">A. In Vivo Application: Therapeutic</w:t>
      </w:r>
      <w:r>
        <w:t xml:space="preserve"> </w:t>
      </w:r>
      <w:r>
        <w:t xml:space="preserve">“Re-Sensitization”</w:t>
      </w:r>
    </w:p>
    <w:p>
      <w:pPr>
        <w:pStyle w:val="Compact"/>
        <w:numPr>
          <w:ilvl w:val="0"/>
          <w:numId w:val="1006"/>
        </w:numPr>
      </w:pPr>
      <w:r>
        <w:t xml:space="preserve">Scenario: Treating a patient with a chronic resistant infection (e.g., Pseudomonas in Cystic Fibrosis).</w:t>
      </w:r>
    </w:p>
    <w:p>
      <w:pPr>
        <w:pStyle w:val="Compact"/>
        <w:numPr>
          <w:ilvl w:val="0"/>
          <w:numId w:val="1006"/>
        </w:numPr>
      </w:pPr>
      <w:r>
        <w:t xml:space="preserve">Strategy: Co-administration of Pro-AG engineered bacteria to</w:t>
      </w:r>
      <w:r>
        <w:t xml:space="preserve"> </w:t>
      </w:r>
      <w:r>
        <w:t xml:space="preserve">“scrub”</w:t>
      </w:r>
      <w:r>
        <w:t xml:space="preserve"> </w:t>
      </w:r>
      <w:r>
        <w:t xml:space="preserve">the pathogen population before administering standard antibiotics.</w:t>
      </w:r>
    </w:p>
    <w:p>
      <w:pPr>
        <w:pStyle w:val="Compact"/>
        <w:numPr>
          <w:ilvl w:val="0"/>
          <w:numId w:val="1006"/>
        </w:numPr>
      </w:pPr>
      <w:r>
        <w:t xml:space="preserve">Literature Gap: Discuss current data on in vivo efficiency vs. in vitro success.</w:t>
      </w:r>
    </w:p>
    <w:bookmarkEnd w:id="27"/>
    <w:bookmarkStart w:id="28" w:name="X3ec2bdd4141f0c9dcab6bdc7965c5ca6d360fff"/>
    <w:p>
      <w:pPr>
        <w:pStyle w:val="Heading3"/>
      </w:pPr>
      <w:r>
        <w:t xml:space="preserve">B. Prophylactic Application: Microbiome Remodeling</w:t>
      </w:r>
    </w:p>
    <w:p>
      <w:pPr>
        <w:pStyle w:val="Compact"/>
        <w:numPr>
          <w:ilvl w:val="0"/>
          <w:numId w:val="1007"/>
        </w:numPr>
      </w:pPr>
      <w:r>
        <w:t xml:space="preserve">Scenario: Pre-surgical preparation.</w:t>
      </w:r>
    </w:p>
    <w:p>
      <w:pPr>
        <w:pStyle w:val="Compact"/>
        <w:numPr>
          <w:ilvl w:val="0"/>
          <w:numId w:val="1007"/>
        </w:numPr>
      </w:pPr>
      <w:r>
        <w:t xml:space="preserve">Strategy: Removing drug-resistant genes from a patient’s gut microbiome to prevent endogenous infection during surgery/chemotherapy.</w:t>
      </w:r>
    </w:p>
    <w:bookmarkEnd w:id="28"/>
    <w:bookmarkStart w:id="29" w:name="X9e13bc5637fb0d51931231f7df8aa496d5a5cd0"/>
    <w:p>
      <w:pPr>
        <w:pStyle w:val="Heading3"/>
      </w:pPr>
      <w:r>
        <w:t xml:space="preserve">C. Environmental Remediation (The</w:t>
      </w:r>
      <w:r>
        <w:t xml:space="preserve"> </w:t>
      </w:r>
      <w:r>
        <w:t xml:space="preserve">“Hospital Drain”</w:t>
      </w:r>
      <w:r>
        <w:t xml:space="preserve"> </w:t>
      </w:r>
      <w:r>
        <w:t xml:space="preserve">Strategy)</w:t>
      </w:r>
    </w:p>
    <w:p>
      <w:pPr>
        <w:pStyle w:val="Compact"/>
        <w:numPr>
          <w:ilvl w:val="0"/>
          <w:numId w:val="1008"/>
        </w:numPr>
      </w:pPr>
      <w:r>
        <w:t xml:space="preserve">Scenario: Targeting reservoirs of resistance in hospital wastewater or agricultural runoff.</w:t>
      </w:r>
    </w:p>
    <w:p>
      <w:pPr>
        <w:pStyle w:val="Compact"/>
        <w:numPr>
          <w:ilvl w:val="0"/>
          <w:numId w:val="1008"/>
        </w:numPr>
      </w:pPr>
      <w:r>
        <w:t xml:space="preserve">Advantage: Easier regulatory path than human trials; high density of bacteria facilitates rapid conjugation and gene drive spread.</w:t>
      </w:r>
    </w:p>
    <w:bookmarkEnd w:id="29"/>
    <w:bookmarkEnd w:id="30"/>
    <w:bookmarkStart w:id="34" w:name="X2ba6c1beafda300affd1bc133dfe697f99f3c64"/>
    <w:p>
      <w:pPr>
        <w:pStyle w:val="Heading2"/>
      </w:pPr>
      <w:r>
        <w:t xml:space="preserve">IV. Critical Analysis of Implementation Challenges</w:t>
      </w:r>
    </w:p>
    <w:p>
      <w:pPr>
        <w:pStyle w:val="FirstParagraph"/>
      </w:pPr>
      <w:r>
        <w:t xml:space="preserve">University-level work requires identifying the</w:t>
      </w:r>
      <w:r>
        <w:t xml:space="preserve"> </w:t>
      </w:r>
      <w:r>
        <w:t xml:space="preserve">“bottlenecks.”</w:t>
      </w:r>
    </w:p>
    <w:bookmarkStart w:id="31" w:name="a.-the-delivery-problem"/>
    <w:p>
      <w:pPr>
        <w:pStyle w:val="Heading3"/>
      </w:pPr>
      <w:r>
        <w:t xml:space="preserve">A. The Delivery Problem:</w:t>
      </w:r>
    </w:p>
    <w:p>
      <w:pPr>
        <w:pStyle w:val="Compact"/>
        <w:numPr>
          <w:ilvl w:val="0"/>
          <w:numId w:val="1009"/>
        </w:numPr>
      </w:pPr>
      <w:r>
        <w:t xml:space="preserve">How do we introduce pPro-MobV to the infection site?</w:t>
      </w:r>
    </w:p>
    <w:p>
      <w:pPr>
        <w:pStyle w:val="Compact"/>
        <w:numPr>
          <w:ilvl w:val="0"/>
          <w:numId w:val="1009"/>
        </w:numPr>
      </w:pPr>
      <w:r>
        <w:t xml:space="preserve">Compare delivery vectors: Phage Delivery (viruses) vs. Probiotic Bacteria (donor strains).</w:t>
      </w:r>
    </w:p>
    <w:bookmarkEnd w:id="31"/>
    <w:bookmarkStart w:id="32" w:name="b.-evolutionary-pushback"/>
    <w:p>
      <w:pPr>
        <w:pStyle w:val="Heading3"/>
      </w:pPr>
      <w:r>
        <w:t xml:space="preserve">B. Evolutionary Pushback:</w:t>
      </w:r>
    </w:p>
    <w:p>
      <w:pPr>
        <w:pStyle w:val="Compact"/>
        <w:numPr>
          <w:ilvl w:val="0"/>
          <w:numId w:val="1010"/>
        </w:numPr>
      </w:pPr>
      <w:r>
        <w:t xml:space="preserve">Will bacteria develop resistance to the CRISPR system itself (anti-CRISPR proteins)?</w:t>
      </w:r>
    </w:p>
    <w:p>
      <w:pPr>
        <w:pStyle w:val="Compact"/>
        <w:numPr>
          <w:ilvl w:val="0"/>
          <w:numId w:val="1010"/>
        </w:numPr>
      </w:pPr>
      <w:r>
        <w:t xml:space="preserve">Review literature on the stability of large genetic payloads like pPro-MobV over time.</w:t>
      </w:r>
    </w:p>
    <w:bookmarkEnd w:id="32"/>
    <w:bookmarkStart w:id="33" w:name="c.-ecological-biosafety-concerns"/>
    <w:p>
      <w:pPr>
        <w:pStyle w:val="Heading3"/>
      </w:pPr>
      <w:r>
        <w:t xml:space="preserve">C. Ecological &amp; Biosafety Concerns: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t xml:space="preserve">“Runaway Drive”</w:t>
      </w:r>
      <w:r>
        <w:t xml:space="preserve"> </w:t>
      </w:r>
      <w:r>
        <w:t xml:space="preserve">Risk: What happens if the system spreads to benign environmental bacteria?</w:t>
      </w:r>
    </w:p>
    <w:p>
      <w:pPr>
        <w:pStyle w:val="Compact"/>
        <w:numPr>
          <w:ilvl w:val="0"/>
          <w:numId w:val="1011"/>
        </w:numPr>
      </w:pPr>
      <w:r>
        <w:t xml:space="preserve">Mitigation Strategies: Discuss</w:t>
      </w:r>
      <w:r>
        <w:t xml:space="preserve"> </w:t>
      </w:r>
      <w:r>
        <w:t xml:space="preserve">“daisy-chain”</w:t>
      </w:r>
      <w:r>
        <w:t xml:space="preserve"> </w:t>
      </w:r>
      <w:r>
        <w:t xml:space="preserve">drives or self-limiting gene drives referenced in recent literature.</w:t>
      </w:r>
    </w:p>
    <w:bookmarkEnd w:id="33"/>
    <w:bookmarkEnd w:id="34"/>
    <w:bookmarkStart w:id="35" w:name="vi.-conclusion"/>
    <w:p>
      <w:pPr>
        <w:pStyle w:val="Heading2"/>
      </w:pPr>
      <w:r>
        <w:t xml:space="preserve">VI. Conclusion</w:t>
      </w:r>
    </w:p>
    <w:p>
      <w:pPr>
        <w:pStyle w:val="Compact"/>
        <w:numPr>
          <w:ilvl w:val="0"/>
          <w:numId w:val="1012"/>
        </w:numPr>
      </w:pPr>
      <w:r>
        <w:t xml:space="preserve">A. Summary of Findings: Reiterate that pPro-MobV works by disabling resistance rather than killing, preserving the microbiome.</w:t>
      </w:r>
    </w:p>
    <w:p>
      <w:pPr>
        <w:pStyle w:val="Compact"/>
        <w:numPr>
          <w:ilvl w:val="0"/>
          <w:numId w:val="1012"/>
        </w:numPr>
      </w:pPr>
      <w:r>
        <w:t xml:space="preserve">B. Future Outlook: The transition from</w:t>
      </w:r>
      <w:r>
        <w:t xml:space="preserve"> </w:t>
      </w:r>
      <w:r>
        <w:t xml:space="preserve">“Antibiotic Stewardship”</w:t>
      </w:r>
      <w:r>
        <w:t xml:space="preserve"> </w:t>
      </w:r>
      <w:r>
        <w:t xml:space="preserve">to</w:t>
      </w:r>
      <w:r>
        <w:t xml:space="preserve"> </w:t>
      </w:r>
      <w:r>
        <w:t xml:space="preserve">“Genetic Stewardship.”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2026-02-10T04:32:13Z</dcterms:created>
  <dcterms:modified xsi:type="dcterms:W3CDTF">2026-02-10T04:32:13Z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