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true"/>
        <w:keepLines/>
        <w:spacing w:before="160" w:after="80"/>
        <w:rPr/>
      </w:pPr>
      <w:r>
        <w:rPr>
          <w:b/>
          <w:bCs/>
        </w:rPr>
        <w:t>Assignment Title: Beyond CRISPR: The Potential of TIGR-Tas in Targeting Hepatocellular Carcinoma (HCC)</w:t>
      </w:r>
    </w:p>
    <w:p>
      <w:pPr>
        <w:pStyle w:val="Normal"/>
        <w:rPr/>
      </w:pPr>
      <w:bookmarkStart w:id="0" w:name="Xea5589f3f8c31582bb5746a90949d5a60cc9a96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0"/>
    </w:p>
    <w:p>
      <w:pPr>
        <w:pStyle w:val="Heading3"/>
        <w:rPr/>
      </w:pPr>
      <w:r>
        <w:rPr>
          <w:b/>
          <w:bCs/>
        </w:rPr>
        <w:t>Part 1: The Research Outline</w:t>
      </w:r>
    </w:p>
    <w:p>
      <w:pPr>
        <w:pStyle w:val="FirstParagraph"/>
        <w:rPr/>
      </w:pPr>
      <w:r>
        <w:rPr>
          <w:b/>
          <w:bCs/>
        </w:rPr>
        <w:t>1. Introduction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The Clinical Problem:</w:t>
      </w:r>
      <w:r>
        <w:rPr/>
        <w:t xml:space="preserve"> Brief overview of Liver Cancer (HCC) and its high mortality. Mention that current gene therapies are limited by delivery size and target restrictions (PAM sequences).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The Solution:</w:t>
      </w:r>
      <w:r>
        <w:rPr/>
        <w:t xml:space="preserve"> Introduce TIGR-Tas as a novel, compact, programmable DNA-editing system.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Thesis Statement:</w:t>
      </w:r>
      <w:r>
        <w:rPr/>
        <w:t xml:space="preserve"> TIGR-Tas offers a superior molecular alternative to CRISPR-Cas9 for treating HCC due to its PAM-independence, dual-RNA specificity, and compatibility with viral delivery vectors.</w:t>
      </w:r>
    </w:p>
    <w:p>
      <w:pPr>
        <w:pStyle w:val="FirstParagraph"/>
        <w:rPr/>
      </w:pPr>
      <w:r>
        <w:rPr>
          <w:b/>
          <w:bCs/>
        </w:rPr>
        <w:t>2. Molecular Mechanism of TIGR-Tas</w:t>
      </w:r>
    </w:p>
    <w:p>
      <w:pPr>
        <w:pStyle w:val="Compact"/>
        <w:numPr>
          <w:ilvl w:val="0"/>
          <w:numId w:val="1"/>
        </w:numPr>
        <w:rPr/>
      </w:pPr>
      <w:r>
        <w:rPr>
          <w:i/>
          <w:iCs/>
        </w:rPr>
        <w:t>Focus:</w:t>
      </w:r>
      <w:r>
        <w:rPr/>
        <w:t xml:space="preserve"> Deep dive into the molecular biology of the system.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Structure:</w:t>
      </w:r>
      <w:r>
        <w:rPr/>
        <w:t xml:space="preserve"> Describe the </w:t>
      </w:r>
      <w:r>
        <w:rPr>
          <w:b/>
          <w:bCs/>
        </w:rPr>
        <w:t>Tas effector proteins</w:t>
      </w:r>
      <w:r>
        <w:rPr/>
        <w:t xml:space="preserve"> (e.g., TasR) and their small size (~1/4 the size of Cas9).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The tigRNA:</w:t>
      </w:r>
      <w:r>
        <w:rPr/>
        <w:t xml:space="preserve"> Explain the </w:t>
      </w:r>
      <w:r>
        <w:rPr>
          <w:b/>
          <w:bCs/>
        </w:rPr>
        <w:t>dual-spacer guide RNA</w:t>
      </w:r>
      <w:r>
        <w:rPr/>
        <w:t xml:space="preserve"> mechanism. Unlike CRISPR’s single guide, TIGR-Tas uses two spacers to recognize </w:t>
      </w:r>
      <w:r>
        <w:rPr>
          <w:i/>
          <w:iCs/>
        </w:rPr>
        <w:t>both</w:t>
      </w:r>
      <w:r>
        <w:rPr/>
        <w:t xml:space="preserve"> strands of DNA.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Action:</w:t>
      </w:r>
      <w:r>
        <w:rPr/>
        <w:t xml:space="preserve"> Detail how it induces double-stranded breaks (DSBs) or edits DNA without needing a Protospacer Adjacent Motif (PAM).- </w:t>
      </w:r>
      <w:r>
        <w:rPr>
          <w:i/>
          <w:iCs/>
        </w:rPr>
        <w:t>Key Concept:</w:t>
      </w:r>
      <w:r>
        <w:rPr/>
        <w:t xml:space="preserve"> “Box C/D snoRNP homology” (evolutionary link to RNA processing).</w:t>
      </w:r>
    </w:p>
    <w:p>
      <w:pPr>
        <w:pStyle w:val="FirstParagraph"/>
        <w:rPr/>
      </w:pPr>
      <w:r>
        <w:rPr>
          <w:b/>
          <w:bCs/>
        </w:rPr>
        <w:t>3. Therapeutic Applications in Liver Cancer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Targeting “Undruggable” Mutations:</w:t>
      </w:r>
      <w:r>
        <w:rPr/>
        <w:t xml:space="preserve"> Identify specific HCC drivers that are hard to target with CRISPR due to PAM restrictions (e.g., specific point mutations in </w:t>
      </w:r>
      <w:r>
        <w:rPr>
          <w:i/>
          <w:iCs/>
        </w:rPr>
        <w:t>TP53</w:t>
      </w:r>
      <w:r>
        <w:rPr/>
        <w:t xml:space="preserve"> or </w:t>
      </w:r>
      <w:r>
        <w:rPr>
          <w:i/>
          <w:iCs/>
        </w:rPr>
        <w:t>CTNNB1</w:t>
      </w:r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In Vivo Delivery:</w:t>
      </w:r>
      <w:r>
        <w:rPr/>
        <w:t xml:space="preserve"> Discuss why the liver is the ideal target organ.</w:t>
      </w:r>
    </w:p>
    <w:p>
      <w:pPr>
        <w:pStyle w:val="Compact"/>
        <w:numPr>
          <w:ilvl w:val="1"/>
          <w:numId w:val="1"/>
        </w:numPr>
        <w:rPr/>
      </w:pPr>
      <w:r>
        <w:rPr>
          <w:i/>
          <w:iCs/>
        </w:rPr>
        <w:t>Argument:</w:t>
      </w:r>
      <w:r>
        <w:rPr/>
        <w:t xml:space="preserve"> The small size of the </w:t>
      </w:r>
      <w:r>
        <w:rPr>
          <w:rStyle w:val="VerbatimChar"/>
        </w:rPr>
        <w:t>tas</w:t>
      </w:r>
      <w:r>
        <w:rPr/>
        <w:t xml:space="preserve"> gene allows it to fit easily into </w:t>
      </w:r>
      <w:r>
        <w:rPr>
          <w:b/>
          <w:bCs/>
        </w:rPr>
        <w:t>Adeno-Associated Virus (AAV)</w:t>
      </w:r>
      <w:r>
        <w:rPr/>
        <w:t xml:space="preserve"> vectors, which have high tropism (affinity) for liver cells (hepatocytes).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Proof of Concept:</w:t>
      </w:r>
      <w:r>
        <w:rPr/>
        <w:t xml:space="preserve"> Cite early data (e.g., correction of OTCD in liver cells) as a precedent for HCC application.</w:t>
      </w:r>
    </w:p>
    <w:p>
      <w:pPr>
        <w:pStyle w:val="FirstParagraph"/>
        <w:rPr/>
      </w:pPr>
      <w:r>
        <w:rPr>
          <w:b/>
          <w:bCs/>
        </w:rPr>
        <w:t>4. Comparative Analysis &amp; Limitations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TIGR-Tas vs. CRISPR:</w:t>
      </w:r>
      <w:r>
        <w:rPr/>
        <w:t xml:space="preserve"> Create a molecular comparison (Size, PAM requirement, Specificity).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Challenges:</w:t>
      </w:r>
      <w:r>
        <w:rPr/>
        <w:t xml:space="preserve"> Potential off-target effects of dual-spacer systems and the risk of immune response to bacterial Tas proteins.</w:t>
      </w:r>
    </w:p>
    <w:p>
      <w:pPr>
        <w:pStyle w:val="FirstParagraph"/>
        <w:rPr/>
      </w:pPr>
      <w:r>
        <w:rPr>
          <w:b/>
          <w:bCs/>
        </w:rPr>
        <w:t>5. Conclusion</w:t>
      </w:r>
    </w:p>
    <w:p>
      <w:pPr>
        <w:pStyle w:val="Compact"/>
        <w:numPr>
          <w:ilvl w:val="0"/>
          <w:numId w:val="1"/>
        </w:numPr>
        <w:spacing w:before="36" w:after="36"/>
        <w:rPr/>
      </w:pPr>
      <w:bookmarkStart w:id="1" w:name="X3a625430c4e3686437e8304fe3a15f731425d6f"/>
      <w:r>
        <w:rPr/>
        <w:t>Summarize that TIGR-Tas represents the “next generation” of precise, deliverable gene editing for solid tumors like liver cancer.</w:t>
      </w:r>
      <w:bookmarkEnd w:id="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LibreOffice/25.8.4.2$Linux_X86_64 LibreOffice_project/580$Build-2</Application>
  <AppVersion>15.0000</AppVersion>
  <Pages>2</Pages>
  <Words>324</Words>
  <Characters>1843</Characters>
  <CharactersWithSpaces>2132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2026-02-03T08:43:45Z</dcterms:created>
  <dc:creator/>
  <dc:description/>
  <dc:language>en-US</dc:language>
  <cp:lastModifiedBy/>
  <dcterms:modified xsi:type="dcterms:W3CDTF">2026-02-03T15:46:07Z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