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60.jpg" ContentType="image/jpeg"/>
  <Override PartName="/word/media/rId64.jpg" ContentType="image/jpeg"/>
  <Override PartName="/word/media/rId68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№3</w:t>
      </w:r>
    </w:p>
    <w:p>
      <w:pPr>
        <w:pStyle w:val="Subtitle"/>
      </w:pPr>
      <w:r>
        <w:t xml:space="preserve">Архитектура компьютера</w:t>
      </w:r>
    </w:p>
    <w:p>
      <w:pPr>
        <w:pStyle w:val="Author"/>
      </w:pPr>
      <w:r>
        <w:t xml:space="preserve">Кузьмина Мария Константиновна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освоение процедуры оформления отчетов с</w:t>
      </w:r>
      <w:r>
        <w:t xml:space="preserve"> </w:t>
      </w:r>
      <w:r>
        <w:t xml:space="preserve">помощью легковесного языка разметки Markdown.</w:t>
      </w:r>
    </w:p>
    <w:bookmarkEnd w:id="20"/>
    <w:bookmarkStart w:id="21" w:name="описание-источников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Описание источников</w:t>
      </w:r>
    </w:p>
    <w:p>
      <w:pPr>
        <w:pStyle w:val="FirstParagraph"/>
      </w:pPr>
      <w:r>
        <w:t xml:space="preserve">В книге Таненбаума</w:t>
      </w:r>
      <w:r>
        <w:t xml:space="preserve"> </w:t>
      </w:r>
      <w:r>
        <w:t xml:space="preserve">(Таненбаум и Бос 2015)</w:t>
      </w:r>
      <w:r>
        <w:t xml:space="preserve"> </w:t>
      </w:r>
      <w:r>
        <w:t xml:space="preserve">описаны основы операционных систем. Также представлены сведения о bash, которые можно найти у Роббинса</w:t>
      </w:r>
      <w:r>
        <w:t xml:space="preserve"> </w:t>
      </w:r>
      <w:r>
        <w:t xml:space="preserve">(Robbins 2016)</w:t>
      </w:r>
      <w:r>
        <w:t xml:space="preserve"> </w:t>
      </w:r>
      <w:r>
        <w:t xml:space="preserve">и Заррелли</w:t>
      </w:r>
      <w:r>
        <w:t xml:space="preserve"> </w:t>
      </w:r>
      <w:r>
        <w:t xml:space="preserve">(Zarrelli 2017)</w:t>
      </w:r>
      <w:r>
        <w:t xml:space="preserve">. Начальные сведения по bash также освещены в книге Ньюхэма</w:t>
      </w:r>
      <w:r>
        <w:t xml:space="preserve"> </w:t>
      </w:r>
      <w:r>
        <w:t xml:space="preserve">(Newham 2005)</w:t>
      </w:r>
      <w:r>
        <w:t xml:space="preserve">.</w:t>
      </w:r>
    </w:p>
    <w:bookmarkEnd w:id="21"/>
    <w:bookmarkStart w:id="22" w:name="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Установка необходимого ПО</w:t>
      </w:r>
    </w:p>
    <w:p>
      <w:pPr>
        <w:pStyle w:val="Compact"/>
        <w:numPr>
          <w:ilvl w:val="0"/>
          <w:numId w:val="1001"/>
        </w:numPr>
      </w:pPr>
      <w:r>
        <w:t xml:space="preserve">Заполнение отчета по выполнению лабораторной работы 3 с помощью языка</w:t>
      </w:r>
      <w:r>
        <w:t xml:space="preserve"> </w:t>
      </w:r>
      <w:r>
        <w:t xml:space="preserve">разметки Markdown</w:t>
      </w:r>
    </w:p>
    <w:p>
      <w:pPr>
        <w:pStyle w:val="Compact"/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2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59" w:name="установка-необходимого-по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1. Установка необходимого ПО</w:t>
      </w:r>
    </w:p>
    <w:p>
      <w:pPr>
        <w:pStyle w:val="FirstParagraph"/>
      </w:pPr>
      <w:r>
        <w:t xml:space="preserve">Скачиваем TeX Live и Pandoc.</w:t>
      </w:r>
    </w:p>
    <w:p>
      <w:pPr>
        <w:pStyle w:val="BodyText"/>
      </w:pPr>
      <w:r>
        <w:t xml:space="preserve">Переходим в папку</w:t>
      </w:r>
      <w:r>
        <w:t xml:space="preserve"> </w:t>
      </w:r>
      <w:r>
        <w:t xml:space="preserve">“Загрузки”</w:t>
      </w:r>
      <w:r>
        <w:t xml:space="preserve">, распаковываем архив TeX Live с помощью</w:t>
      </w:r>
      <w:r>
        <w:t xml:space="preserve"> </w:t>
      </w:r>
      <w:r>
        <w:t xml:space="preserve">команды zcat (рис. 1):</w:t>
      </w:r>
    </w:p>
    <w:bookmarkStart w:id="26" w:name="fig:001"/>
    <w:p>
      <w:pPr>
        <w:pStyle w:val="CaptionedFigure"/>
      </w:pPr>
      <w:r>
        <w:drawing>
          <wp:inline>
            <wp:extent cx="5334000" cy="429410"/>
            <wp:effectExtent b="0" l="0" r="0" t="0"/>
            <wp:docPr descr="Рис. 1: снимок экрана" title="" id="24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94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снимок экрана</w:t>
      </w:r>
    </w:p>
    <w:bookmarkEnd w:id="26"/>
    <w:p>
      <w:pPr>
        <w:pStyle w:val="BodyText"/>
      </w:pPr>
      <w:r>
        <w:t xml:space="preserve">Переходим в папку с распакованным установщиком TeX Live и запускаем</w:t>
      </w:r>
      <w:r>
        <w:t xml:space="preserve"> </w:t>
      </w:r>
      <w:r>
        <w:t xml:space="preserve">установку TeX Live (рис. 2):</w:t>
      </w:r>
    </w:p>
    <w:bookmarkStart w:id="30" w:name="fig:002"/>
    <w:p>
      <w:pPr>
        <w:pStyle w:val="CaptionedFigure"/>
      </w:pPr>
      <w:r>
        <w:drawing>
          <wp:inline>
            <wp:extent cx="5334000" cy="3327731"/>
            <wp:effectExtent b="0" l="0" r="0" t="0"/>
            <wp:docPr descr="Рис. 2: снимок экрана" title="" id="28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7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снимок экрана</w:t>
      </w:r>
    </w:p>
    <w:bookmarkEnd w:id="30"/>
    <w:p>
      <w:pPr>
        <w:pStyle w:val="BodyText"/>
      </w:pPr>
      <w:r>
        <w:t xml:space="preserve">Добавляем /usr/local/texlive/2024/bin/x86_64-linux в свой PATH для текущей и</w:t>
      </w:r>
      <w:r>
        <w:t xml:space="preserve"> </w:t>
      </w:r>
      <w:r>
        <w:t xml:space="preserve">будущих сессий (рис. 3):</w:t>
      </w:r>
    </w:p>
    <w:bookmarkStart w:id="34" w:name="fig:003"/>
    <w:p>
      <w:pPr>
        <w:pStyle w:val="CaptionedFigure"/>
      </w:pPr>
      <w:r>
        <w:drawing>
          <wp:inline>
            <wp:extent cx="5334000" cy="145381"/>
            <wp:effectExtent b="0" l="0" r="0" t="0"/>
            <wp:docPr descr="Рис. 3: снимок экрана" title="" id="32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5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снимок экрана</w:t>
      </w:r>
    </w:p>
    <w:bookmarkEnd w:id="34"/>
    <w:p>
      <w:pPr>
        <w:pStyle w:val="BodyText"/>
      </w:pPr>
      <w:r>
        <w:t xml:space="preserve">Скачиваем архив pandoc 3.4 (рис. 4):</w:t>
      </w:r>
    </w:p>
    <w:bookmarkStart w:id="38" w:name="fig:004"/>
    <w:p>
      <w:pPr>
        <w:pStyle w:val="CaptionedFigure"/>
      </w:pPr>
      <w:r>
        <w:drawing>
          <wp:inline>
            <wp:extent cx="5334000" cy="2498202"/>
            <wp:effectExtent b="0" l="0" r="0" t="0"/>
            <wp:docPr descr="Рис. 4: снимок экрана" title="" id="36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8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снимок экрана</w:t>
      </w:r>
    </w:p>
    <w:bookmarkEnd w:id="38"/>
    <w:p>
      <w:pPr>
        <w:pStyle w:val="BodyText"/>
      </w:pPr>
      <w:r>
        <w:t xml:space="preserve">Скачиваем архив pandoc-crossref 0.3.18.0 (рис. 5):</w:t>
      </w:r>
    </w:p>
    <w:bookmarkStart w:id="42" w:name="fig:005"/>
    <w:p>
      <w:pPr>
        <w:pStyle w:val="CaptionedFigure"/>
      </w:pPr>
      <w:r>
        <w:drawing>
          <wp:inline>
            <wp:extent cx="5334000" cy="2588227"/>
            <wp:effectExtent b="0" l="0" r="0" t="0"/>
            <wp:docPr descr="Рис. 5: снимок экрана" title="" id="40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88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снимок экрана</w:t>
      </w:r>
    </w:p>
    <w:bookmarkEnd w:id="42"/>
    <w:p>
      <w:pPr>
        <w:pStyle w:val="BodyText"/>
      </w:pPr>
      <w:r>
        <w:t xml:space="preserve">Распаковываем архив Pandoc и Pandoc Crossref с помощью команды tar (рис. 6):</w:t>
      </w:r>
    </w:p>
    <w:bookmarkStart w:id="46" w:name="fig:006"/>
    <w:p>
      <w:pPr>
        <w:pStyle w:val="CaptionedFigure"/>
      </w:pPr>
      <w:r>
        <w:drawing>
          <wp:inline>
            <wp:extent cx="5334000" cy="270867"/>
            <wp:effectExtent b="0" l="0" r="0" t="0"/>
            <wp:docPr descr="Рис. 6: снимок экрана" title="" id="44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снимок экрана</w:t>
      </w:r>
    </w:p>
    <w:bookmarkEnd w:id="46"/>
    <w:p>
      <w:pPr>
        <w:pStyle w:val="BodyText"/>
      </w:pPr>
      <w:r>
        <w:t xml:space="preserve">Копируем файл Pandoc и Pandoc Crossref в системную директорию</w:t>
      </w:r>
      <w:r>
        <w:t xml:space="preserve"> </w:t>
      </w:r>
      <w:r>
        <w:t xml:space="preserve">/usr/local/bin/ (рис. 7):</w:t>
      </w:r>
    </w:p>
    <w:bookmarkStart w:id="50" w:name="fig:007"/>
    <w:p>
      <w:pPr>
        <w:pStyle w:val="CaptionedFigure"/>
      </w:pPr>
      <w:r>
        <w:drawing>
          <wp:inline>
            <wp:extent cx="5334000" cy="111678"/>
            <wp:effectExtent b="0" l="0" r="0" t="0"/>
            <wp:docPr descr="Рис. 7: снимок экрана" title="" id="48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6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снимок экрана</w:t>
      </w:r>
    </w:p>
    <w:bookmarkEnd w:id="50"/>
    <w:p>
      <w:pPr>
        <w:pStyle w:val="BodyText"/>
      </w:pPr>
      <w:r>
        <w:t xml:space="preserve">(рис. 8):</w:t>
      </w:r>
    </w:p>
    <w:bookmarkStart w:id="54" w:name="fig:008"/>
    <w:p>
      <w:pPr>
        <w:pStyle w:val="CaptionedFigure"/>
      </w:pPr>
      <w:r>
        <w:drawing>
          <wp:inline>
            <wp:extent cx="5334000" cy="137994"/>
            <wp:effectExtent b="0" l="0" r="0" t="0"/>
            <wp:docPr descr="Рис. 8: снимок экрана" title="" id="52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8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снимок экрана</w:t>
      </w:r>
    </w:p>
    <w:bookmarkEnd w:id="54"/>
    <w:p>
      <w:pPr>
        <w:pStyle w:val="BodyText"/>
      </w:pPr>
      <w:r>
        <w:t xml:space="preserve">Проверяем, что файлы pandoc и pandoc-crossref находятся в системной директории (рис. 9):</w:t>
      </w:r>
    </w:p>
    <w:bookmarkStart w:id="58" w:name="fig:009"/>
    <w:p>
      <w:pPr>
        <w:pStyle w:val="CaptionedFigure"/>
      </w:pPr>
      <w:r>
        <w:drawing>
          <wp:inline>
            <wp:extent cx="5334000" cy="304800"/>
            <wp:effectExtent b="0" l="0" r="0" t="0"/>
            <wp:docPr descr="Рис. 9: снимок экрана" title="" id="56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9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снимок экрана</w:t>
      </w:r>
    </w:p>
    <w:bookmarkEnd w:id="58"/>
    <w:bookmarkEnd w:id="59"/>
    <w:bookmarkStart w:id="72" w:name="Xb39cca1651668f631d1b57f19e4edf736f00f0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Заполнение отчета по выполнению лабораторной работы No3 с помощью языка разметки Markdown</w:t>
      </w:r>
    </w:p>
    <w:p>
      <w:pPr>
        <w:pStyle w:val="FirstParagraph"/>
      </w:pPr>
      <w:r>
        <w:t xml:space="preserve">Переходим в рабочую директорию (рис. 10):</w:t>
      </w:r>
    </w:p>
    <w:bookmarkStart w:id="63" w:name="fig:010"/>
    <w:p>
      <w:pPr>
        <w:pStyle w:val="CaptionedFigure"/>
      </w:pPr>
      <w:r>
        <w:drawing>
          <wp:inline>
            <wp:extent cx="5334000" cy="142012"/>
            <wp:effectExtent b="0" l="0" r="0" t="0"/>
            <wp:docPr descr="Рис. 10: снимок экрана" title="" id="61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10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снимок экрана</w:t>
      </w:r>
    </w:p>
    <w:bookmarkEnd w:id="63"/>
    <w:p>
      <w:pPr>
        <w:pStyle w:val="BodyText"/>
      </w:pPr>
      <w:r>
        <w:t xml:space="preserve">(рис. 11):</w:t>
      </w:r>
    </w:p>
    <w:bookmarkStart w:id="67" w:name="fig:011"/>
    <w:p>
      <w:pPr>
        <w:pStyle w:val="CaptionedFigure"/>
      </w:pPr>
      <w:r>
        <w:drawing>
          <wp:inline>
            <wp:extent cx="5334000" cy="142012"/>
            <wp:effectExtent b="0" l="0" r="0" t="0"/>
            <wp:docPr descr="Рис. 11: снимок экрана" title="" id="65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11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0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снимок экрана</w:t>
      </w:r>
    </w:p>
    <w:bookmarkEnd w:id="67"/>
    <w:p>
      <w:pPr>
        <w:pStyle w:val="BodyText"/>
      </w:pPr>
      <w:r>
        <w:t xml:space="preserve">Обновляем локальный репозиторий с удаленного с помощью git pull (рис. 12):</w:t>
      </w:r>
    </w:p>
    <w:bookmarkStart w:id="71" w:name="fig:012"/>
    <w:p>
      <w:pPr>
        <w:pStyle w:val="CaptionedFigure"/>
      </w:pPr>
      <w:r>
        <w:drawing>
          <wp:inline>
            <wp:extent cx="5334000" cy="267536"/>
            <wp:effectExtent b="0" l="0" r="0" t="0"/>
            <wp:docPr descr="Рис. 12: снимок экрана" title="" id="69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12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снимок экрана</w:t>
      </w:r>
    </w:p>
    <w:bookmarkEnd w:id="71"/>
    <w:bookmarkEnd w:id="72"/>
    <w:bookmarkStart w:id="97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Переходим в папку отчета лабораторной работы (рис. 13):</w:t>
      </w:r>
    </w:p>
    <w:bookmarkStart w:id="76" w:name="fig:013"/>
    <w:p>
      <w:pPr>
        <w:pStyle w:val="CaptionedFigure"/>
      </w:pPr>
      <w:r>
        <w:drawing>
          <wp:inline>
            <wp:extent cx="5334000" cy="128194"/>
            <wp:effectExtent b="0" l="0" r="0" t="0"/>
            <wp:docPr descr="Рис. 13: снимок экрана" title="" id="74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13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1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снимок экрана</w:t>
      </w:r>
    </w:p>
    <w:bookmarkEnd w:id="76"/>
    <w:p>
      <w:pPr>
        <w:pStyle w:val="BodyText"/>
      </w:pPr>
      <w:r>
        <w:t xml:space="preserve">С помощью команды make компилируем отчет из Markdown с использованием</w:t>
      </w:r>
      <w:r>
        <w:t xml:space="preserve"> </w:t>
      </w:r>
      <w:r>
        <w:t xml:space="preserve">Pandoc и Crossref (рис. 14):</w:t>
      </w:r>
    </w:p>
    <w:bookmarkStart w:id="80" w:name="fig:014"/>
    <w:p>
      <w:pPr>
        <w:pStyle w:val="CaptionedFigure"/>
      </w:pPr>
      <w:r>
        <w:drawing>
          <wp:inline>
            <wp:extent cx="5334000" cy="406923"/>
            <wp:effectExtent b="0" l="0" r="0" t="0"/>
            <wp:docPr descr="Рис. 14: снимок экрана" title="" id="78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14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9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снимок экрана</w:t>
      </w:r>
    </w:p>
    <w:bookmarkEnd w:id="80"/>
    <w:p>
      <w:pPr>
        <w:pStyle w:val="BodyText"/>
      </w:pPr>
      <w:r>
        <w:t xml:space="preserve">Очищаем временные файлы отчета с помощью команды make clean (рис. 15):</w:t>
      </w:r>
    </w:p>
    <w:bookmarkStart w:id="84" w:name="fig:015"/>
    <w:p>
      <w:pPr>
        <w:pStyle w:val="CaptionedFigure"/>
      </w:pPr>
      <w:r>
        <w:drawing>
          <wp:inline>
            <wp:extent cx="5334000" cy="415501"/>
            <wp:effectExtent b="0" l="0" r="0" t="0"/>
            <wp:docPr descr="Рис. 15: снимок экрана" title="" id="82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15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снимок экрана</w:t>
      </w:r>
    </w:p>
    <w:bookmarkEnd w:id="84"/>
    <w:p>
      <w:pPr>
        <w:pStyle w:val="BodyText"/>
      </w:pPr>
      <w:r>
        <w:t xml:space="preserve">Открываем файл report.md с помощью текстового редактора nano и заполняем</w:t>
      </w:r>
      <w:r>
        <w:t xml:space="preserve"> </w:t>
      </w:r>
      <w:r>
        <w:t xml:space="preserve">отчет (рис. 16):</w:t>
      </w:r>
    </w:p>
    <w:bookmarkStart w:id="88" w:name="fig:016"/>
    <w:p>
      <w:pPr>
        <w:pStyle w:val="CaptionedFigure"/>
      </w:pPr>
      <w:r>
        <w:drawing>
          <wp:inline>
            <wp:extent cx="5334000" cy="3324654"/>
            <wp:effectExtent b="0" l="0" r="0" t="0"/>
            <wp:docPr descr="Рис. 16: снимок экрана" title="" id="86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16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4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снимок экрана</w:t>
      </w:r>
    </w:p>
    <w:bookmarkEnd w:id="88"/>
    <w:p>
      <w:pPr>
        <w:pStyle w:val="BodyText"/>
      </w:pPr>
      <w:r>
        <w:t xml:space="preserve">Добавляем файлы отчета в форматах .md, .pdf и .docx в git и создаем коммит с</w:t>
      </w:r>
      <w:r>
        <w:t xml:space="preserve"> </w:t>
      </w:r>
      <w:r>
        <w:t xml:space="preserve">сообщением о добавлении отчета в трех форматах (рис. 17):</w:t>
      </w:r>
    </w:p>
    <w:bookmarkStart w:id="92" w:name="fig:017"/>
    <w:p>
      <w:pPr>
        <w:pStyle w:val="CaptionedFigure"/>
      </w:pPr>
      <w:r>
        <w:drawing>
          <wp:inline>
            <wp:extent cx="5334000" cy="1154171"/>
            <wp:effectExtent b="0" l="0" r="0" t="0"/>
            <wp:docPr descr="Рис. 17: снимок экрана" title="" id="90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17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54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снимок экрана</w:t>
      </w:r>
    </w:p>
    <w:bookmarkEnd w:id="92"/>
    <w:p>
      <w:pPr>
        <w:pStyle w:val="BodyText"/>
      </w:pPr>
      <w:r>
        <w:t xml:space="preserve">Отправляем коммит с изменениями на удаленный репозиторий на ветку</w:t>
      </w:r>
      <w:r>
        <w:t xml:space="preserve"> </w:t>
      </w:r>
      <w:r>
        <w:t xml:space="preserve">master (рис. 18):</w:t>
      </w:r>
    </w:p>
    <w:bookmarkStart w:id="96" w:name="fig:018"/>
    <w:p>
      <w:pPr>
        <w:pStyle w:val="CaptionedFigure"/>
      </w:pPr>
      <w:r>
        <w:drawing>
          <wp:inline>
            <wp:extent cx="5334000" cy="1028046"/>
            <wp:effectExtent b="0" l="0" r="0" t="0"/>
            <wp:docPr descr="Рис. 18: снимок экрана" title="" id="94" name="Picture"/>
            <a:graphic>
              <a:graphicData uri="http://schemas.openxmlformats.org/drawingml/2006/picture">
                <pic:pic>
                  <pic:nvPicPr>
                    <pic:cNvPr descr="/home/mkkuzjmina/Загрузки/work/study/2024-2025/Архитектура%20компьютера/arch-pc/labs/lab03/report/image/18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80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снимок экрана</w:t>
      </w:r>
    </w:p>
    <w:bookmarkEnd w:id="96"/>
    <w:bookmarkEnd w:id="97"/>
    <w:bookmarkEnd w:id="98"/>
    <w:bookmarkStart w:id="99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Освоены основные синтаксические конструкции для структурирования текста и</w:t>
      </w:r>
      <w:r>
        <w:t xml:space="preserve"> </w:t>
      </w:r>
      <w:r>
        <w:t xml:space="preserve">добавления элементов оформления. Также изучен инструмент Pandoc для</w:t>
      </w:r>
      <w:r>
        <w:t xml:space="preserve"> </w:t>
      </w:r>
      <w:r>
        <w:t xml:space="preserve">конвертации Markdown в различные форматы (pdf, docx)</w:t>
      </w:r>
    </w:p>
    <w:bookmarkEnd w:id="99"/>
    <w:bookmarkStart w:id="106" w:name="список-литературы"/>
    <w:p>
      <w:pPr>
        <w:pStyle w:val="Heading1"/>
      </w:pPr>
      <w:r>
        <w:t xml:space="preserve">Список литературы</w:t>
      </w:r>
    </w:p>
    <w:bookmarkStart w:id="105" w:name="refs"/>
    <w:bookmarkStart w:id="101" w:name="ref-newham_book_learning-bash_en"/>
    <w:p>
      <w:pPr>
        <w:pStyle w:val="Bibliography"/>
      </w:pPr>
      <w:r>
        <w:t xml:space="preserve">Newham, Cameron. 2005.</w:t>
      </w:r>
      <w:r>
        <w:t xml:space="preserve"> </w:t>
      </w:r>
      <w:r>
        <w:rPr>
          <w:i/>
          <w:iCs/>
        </w:rPr>
        <w:t xml:space="preserve">Learning the Bash Shell: Unix Shell Programming</w:t>
      </w:r>
      <w:r>
        <w:t xml:space="preserve">. In a Nutshell. O’Reilly Media.</w:t>
      </w:r>
      <w:r>
        <w:t xml:space="preserve"> </w:t>
      </w:r>
      <w:hyperlink r:id="rId100">
        <w:r>
          <w:rPr>
            <w:rStyle w:val="Hyperlink"/>
          </w:rPr>
          <w:t xml:space="preserve">http://www.amazon.com/Learning-bash-Shell-Programming-Nutshell/dp/0596009658</w:t>
        </w:r>
      </w:hyperlink>
      <w:r>
        <w:t xml:space="preserve">.</w:t>
      </w:r>
    </w:p>
    <w:bookmarkEnd w:id="101"/>
    <w:bookmarkStart w:id="102" w:name="ref-robbins_book_bash_en"/>
    <w:p>
      <w:pPr>
        <w:pStyle w:val="Bibliography"/>
      </w:pPr>
      <w:r>
        <w:t xml:space="preserve">Robbins, Arnold. 2016.</w:t>
      </w:r>
      <w:r>
        <w:t xml:space="preserve"> </w:t>
      </w:r>
      <w:r>
        <w:rPr>
          <w:i/>
          <w:iCs/>
        </w:rPr>
        <w:t xml:space="preserve">Bash Pocket Reference</w:t>
      </w:r>
      <w:r>
        <w:t xml:space="preserve">. O’Reilly Media.</w:t>
      </w:r>
    </w:p>
    <w:bookmarkEnd w:id="102"/>
    <w:bookmarkStart w:id="103" w:name="ref-zarrelli_book_mastering-bash_en"/>
    <w:p>
      <w:pPr>
        <w:pStyle w:val="Bibliography"/>
      </w:pPr>
      <w:r>
        <w:t xml:space="preserve">Zarrelli, Giorgio. 2017.</w:t>
      </w:r>
      <w:r>
        <w:t xml:space="preserve"> </w:t>
      </w:r>
      <w:r>
        <w:rPr>
          <w:i/>
          <w:iCs/>
        </w:rPr>
        <w:t xml:space="preserve">Mastering Bash</w:t>
      </w:r>
      <w:r>
        <w:t xml:space="preserve">. Packt Publishing.</w:t>
      </w:r>
    </w:p>
    <w:bookmarkEnd w:id="103"/>
    <w:bookmarkStart w:id="104" w:name="ref-tanenbaum_book_modern-os_ru"/>
    <w:p>
      <w:pPr>
        <w:pStyle w:val="Bibliography"/>
      </w:pPr>
      <w:r>
        <w:t xml:space="preserve">Таненбаум, Эндрю, и Х. Бос. 2015.</w:t>
      </w:r>
      <w:r>
        <w:t xml:space="preserve"> </w:t>
      </w:r>
      <w:r>
        <w:rPr>
          <w:i/>
          <w:iCs/>
        </w:rPr>
        <w:t xml:space="preserve">Современные операционные системы</w:t>
      </w:r>
      <w:r>
        <w:t xml:space="preserve">. 4-е изд. Классика Computer Science. СПб.: Питер.</w:t>
      </w:r>
    </w:p>
    <w:bookmarkEnd w:id="104"/>
    <w:bookmarkEnd w:id="105"/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68" Target="media/rId68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5" Target="media/rId55.jpg" /><Relationship Type="http://schemas.openxmlformats.org/officeDocument/2006/relationships/hyperlink" Id="rId100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00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Кузьмина Мария Константиновна</dc:creator>
  <dc:language>ru-RU</dc:language>
  <cp:keywords/>
  <dcterms:created xsi:type="dcterms:W3CDTF">2024-10-26T01:47:51Z</dcterms:created>
  <dcterms:modified xsi:type="dcterms:W3CDTF">2024-10-26T01:47:51Z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documentclass">
    <vt:lpwstr>scrreprt</vt:lpwstr>
  </property>
  <property fmtid="{D5CDD505-2E9C-101B-9397-08002B2CF9AE}" pid="20" name="eqLabels">
    <vt:lpwstr>arabic</vt:lpwstr>
  </property>
  <property fmtid="{D5CDD505-2E9C-101B-9397-08002B2CF9AE}" pid="21" name="eqnBlockInlineMath">
    <vt:lpwstr>False</vt:lpwstr>
  </property>
  <property fmtid="{D5CDD505-2E9C-101B-9397-08002B2CF9AE}" pid="22" name="eqnBlockTemplate">
    <vt:lpwstr>ti</vt:lpwstr>
  </property>
  <property fmtid="{D5CDD505-2E9C-101B-9397-08002B2CF9AE}" pid="23" name="eqnDisplayTemplate">
    <vt:lpwstr>e</vt:lpwstr>
  </property>
  <property fmtid="{D5CDD505-2E9C-101B-9397-08002B2CF9AE}" pid="24" name="eqnIndexTemplate">
    <vt:lpwstr>(i)</vt:lpwstr>
  </property>
  <property fmtid="{D5CDD505-2E9C-101B-9397-08002B2CF9AE}" pid="25" name="eqnInlineTableTemplate">
    <vt:lpwstr>e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Рис.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lastDelim">
    <vt:lpwstr>, </vt:lpwstr>
  </property>
  <property fmtid="{D5CDD505-2E9C-101B-9397-08002B2CF9AE}" pid="39" name="linestretch">
    <vt:lpwstr>1.5</vt:lpwstr>
  </property>
  <property fmtid="{D5CDD505-2E9C-101B-9397-08002B2CF9AE}" pid="40" name="linkReferences">
    <vt:lpwstr>False</vt:lpwstr>
  </property>
  <property fmtid="{D5CDD505-2E9C-101B-9397-08002B2CF9AE}" pid="41" name="listItemTitleDelim">
    <vt:lpwstr>.</vt:lpwstr>
  </property>
  <property fmtid="{D5CDD505-2E9C-101B-9397-08002B2CF9AE}" pid="42" name="listingTemplate">
    <vt:lpwstr>listingTitle ititleDelim t</vt:lpwstr>
  </property>
  <property fmtid="{D5CDD505-2E9C-101B-9397-08002B2CF9AE}" pid="43" name="listingTitle">
    <vt:lpwstr>Листинг</vt:lpwstr>
  </property>
  <property fmtid="{D5CDD505-2E9C-101B-9397-08002B2CF9AE}" pid="44" name="listings">
    <vt:lpwstr>False</vt:lpwstr>
  </property>
  <property fmtid="{D5CDD505-2E9C-101B-9397-08002B2CF9AE}" pid="45" name="lof">
    <vt:lpwstr>True</vt:lpwstr>
  </property>
  <property fmtid="{D5CDD505-2E9C-101B-9397-08002B2CF9AE}" pid="46" name="lofItemTemplate">
    <vt:lpwstr>lofItemTitleilistItemTitleDelimt </vt:lpwstr>
  </property>
  <property fmtid="{D5CDD505-2E9C-101B-9397-08002B2CF9AE}" pid="47" name="lofItemTitle">
    <vt:lpwstr/>
  </property>
  <property fmtid="{D5CDD505-2E9C-101B-9397-08002B2CF9AE}" pid="48" name="lofTitle">
    <vt:lpwstr>Список иллюстраций</vt:lpwstr>
  </property>
  <property fmtid="{D5CDD505-2E9C-101B-9397-08002B2CF9AE}" pid="49" name="lolItemTemplate">
    <vt:lpwstr>lolItemTitleilistItemTitleDelimt </vt:lpwstr>
  </property>
  <property fmtid="{D5CDD505-2E9C-101B-9397-08002B2CF9AE}" pid="50" name="lolItemTitle">
    <vt:lpwstr/>
  </property>
  <property fmtid="{D5CDD505-2E9C-101B-9397-08002B2CF9AE}" pid="51" name="lolTitle">
    <vt:lpwstr>Листинги</vt:lpwstr>
  </property>
  <property fmtid="{D5CDD505-2E9C-101B-9397-08002B2CF9AE}" pid="52" name="lot">
    <vt:lpwstr>True</vt:lpwstr>
  </property>
  <property fmtid="{D5CDD505-2E9C-101B-9397-08002B2CF9AE}" pid="53" name="lotItemTemplate">
    <vt:lpwstr>lotItemTitleilistItemTitleDelimt </vt:lpwstr>
  </property>
  <property fmtid="{D5CDD505-2E9C-101B-9397-08002B2CF9AE}" pid="54" name="lotItemTitle">
    <vt:lpwstr/>
  </property>
  <property fmtid="{D5CDD505-2E9C-101B-9397-08002B2CF9AE}" pid="55" name="lotTitle">
    <vt:lpwstr>Список таблиц</vt:lpwstr>
  </property>
  <property fmtid="{D5CDD505-2E9C-101B-9397-08002B2CF9AE}" pid="56" name="lstLabels">
    <vt:lpwstr>arabic</vt:lpwstr>
  </property>
  <property fmtid="{D5CDD505-2E9C-101B-9397-08002B2CF9AE}" pid="57" name="lstPrefix">
    <vt:lpwstr/>
  </property>
  <property fmtid="{D5CDD505-2E9C-101B-9397-08002B2CF9AE}" pid="58" name="lstPrefixTemplate">
    <vt:lpwstr>p i</vt:lpwstr>
  </property>
  <property fmtid="{D5CDD505-2E9C-101B-9397-08002B2CF9AE}" pid="59" name="mainfont">
    <vt:lpwstr>IBM Plex Serif</vt:lpwstr>
  </property>
  <property fmtid="{D5CDD505-2E9C-101B-9397-08002B2CF9AE}" pid="60" name="mainfontoptions">
    <vt:lpwstr>Ligatures=Common,Ligatures=TeX,Scale=0.94</vt:lpwstr>
  </property>
  <property fmtid="{D5CDD505-2E9C-101B-9397-08002B2CF9AE}" pid="61" name="mathfont">
    <vt:lpwstr>STIX Two Math</vt:lpwstr>
  </property>
  <property fmtid="{D5CDD505-2E9C-101B-9397-08002B2CF9AE}" pid="62" name="mathfontoptions">
    <vt:lpwstr/>
  </property>
  <property fmtid="{D5CDD505-2E9C-101B-9397-08002B2CF9AE}" pid="63" name="monofont">
    <vt:lpwstr>IBM Plex Mono</vt:lpwstr>
  </property>
  <property fmtid="{D5CDD505-2E9C-101B-9397-08002B2CF9AE}" pid="64" name="monofontoptions">
    <vt:lpwstr>Scale=MatchLowercase,Scale=0.94,FakeStretch=0.9</vt:lpwstr>
  </property>
  <property fmtid="{D5CDD505-2E9C-101B-9397-08002B2CF9AE}" pid="65" name="nameInLink">
    <vt:lpwstr>False</vt:lpwstr>
  </property>
  <property fmtid="{D5CDD505-2E9C-101B-9397-08002B2CF9AE}" pid="66" name="numberSections">
    <vt:lpwstr>False</vt:lpwstr>
  </property>
  <property fmtid="{D5CDD505-2E9C-101B-9397-08002B2CF9AE}" pid="67" name="pairDelim">
    <vt:lpwstr>, </vt:lpwstr>
  </property>
  <property fmtid="{D5CDD505-2E9C-101B-9397-08002B2CF9AE}" pid="68" name="papersize">
    <vt:lpwstr>a4</vt:lpwstr>
  </property>
  <property fmtid="{D5CDD505-2E9C-101B-9397-08002B2CF9AE}" pid="69" name="polyglossia-lang">
    <vt:lpwstr/>
  </property>
  <property fmtid="{D5CDD505-2E9C-101B-9397-08002B2CF9AE}" pid="70" name="polyglossia-otherlangs">
    <vt:lpwstr/>
  </property>
  <property fmtid="{D5CDD505-2E9C-101B-9397-08002B2CF9AE}" pid="71" name="rangeDelim">
    <vt:lpwstr>-</vt:lpwstr>
  </property>
  <property fmtid="{D5CDD505-2E9C-101B-9397-08002B2CF9AE}" pid="72" name="refDelim">
    <vt:lpwstr>, </vt:lpwstr>
  </property>
  <property fmtid="{D5CDD505-2E9C-101B-9397-08002B2CF9AE}" pid="73" name="refIndexTemplate">
    <vt:lpwstr>isuf</vt:lpwstr>
  </property>
  <property fmtid="{D5CDD505-2E9C-101B-9397-08002B2CF9AE}" pid="74" name="romanfont">
    <vt:lpwstr>IBM Plex Serif</vt:lpwstr>
  </property>
  <property fmtid="{D5CDD505-2E9C-101B-9397-08002B2CF9AE}" pid="75" name="romanfontoptions">
    <vt:lpwstr>Ligatures=Common,Ligatures=TeX,Scale=0.94</vt:lpwstr>
  </property>
  <property fmtid="{D5CDD505-2E9C-101B-9397-08002B2CF9AE}" pid="76" name="sansfont">
    <vt:lpwstr>IBM Plex Sans</vt:lpwstr>
  </property>
  <property fmtid="{D5CDD505-2E9C-101B-9397-08002B2CF9AE}" pid="77" name="sansfontoptions">
    <vt:lpwstr>Ligatures=Common,Ligatures=TeX,Scale=MatchLowercase,Scale=0.94</vt:lpwstr>
  </property>
  <property fmtid="{D5CDD505-2E9C-101B-9397-08002B2CF9AE}" pid="78" name="secHeaderDelim">
    <vt:lpwstr> </vt:lpwstr>
  </property>
  <property fmtid="{D5CDD505-2E9C-101B-9397-08002B2CF9AE}" pid="79" name="secHeaderTemplate">
    <vt:lpwstr>isecHeaderDelim[n]t</vt:lpwstr>
  </property>
  <property fmtid="{D5CDD505-2E9C-101B-9397-08002B2CF9AE}" pid="80" name="secLabels">
    <vt:lpwstr>arabic</vt:lpwstr>
  </property>
  <property fmtid="{D5CDD505-2E9C-101B-9397-08002B2CF9AE}" pid="81" name="secPrefix">
    <vt:lpwstr/>
  </property>
  <property fmtid="{D5CDD505-2E9C-101B-9397-08002B2CF9AE}" pid="82" name="secPrefixTemplate">
    <vt:lpwstr>p i</vt:lpwstr>
  </property>
  <property fmtid="{D5CDD505-2E9C-101B-9397-08002B2CF9AE}" pid="83" name="sectionsDepth">
    <vt:lpwstr>0</vt:lpwstr>
  </property>
  <property fmtid="{D5CDD505-2E9C-101B-9397-08002B2CF9AE}" pid="84" name="subfigGrid">
    <vt:lpwstr>False</vt:lpwstr>
  </property>
  <property fmtid="{D5CDD505-2E9C-101B-9397-08002B2CF9AE}" pid="85" name="subfigLabels">
    <vt:lpwstr>alpha a</vt:lpwstr>
  </property>
  <property fmtid="{D5CDD505-2E9C-101B-9397-08002B2CF9AE}" pid="86" name="subfigureChildTemplate">
    <vt:lpwstr>i</vt:lpwstr>
  </property>
  <property fmtid="{D5CDD505-2E9C-101B-9397-08002B2CF9AE}" pid="87" name="subfigureRefIndexTemplate">
    <vt:lpwstr>isuf (s)</vt:lpwstr>
  </property>
  <property fmtid="{D5CDD505-2E9C-101B-9397-08002B2CF9AE}" pid="88" name="subfigureTemplate">
    <vt:lpwstr>figureTitle ititleDelim t. ccs</vt:lpwstr>
  </property>
  <property fmtid="{D5CDD505-2E9C-101B-9397-08002B2CF9AE}" pid="89" name="subtitle">
    <vt:lpwstr>Архитектура компьютера</vt:lpwstr>
  </property>
  <property fmtid="{D5CDD505-2E9C-101B-9397-08002B2CF9AE}" pid="90" name="tableEqns">
    <vt:lpwstr>False</vt:lpwstr>
  </property>
  <property fmtid="{D5CDD505-2E9C-101B-9397-08002B2CF9AE}" pid="91" name="tableTemplate">
    <vt:lpwstr>tableTitle ititleDelim t</vt:lpwstr>
  </property>
  <property fmtid="{D5CDD505-2E9C-101B-9397-08002B2CF9AE}" pid="92" name="tableTitle">
    <vt:lpwstr>Таблица</vt:lpwstr>
  </property>
  <property fmtid="{D5CDD505-2E9C-101B-9397-08002B2CF9AE}" pid="93" name="tblLabels">
    <vt:lpwstr>arabic</vt:lpwstr>
  </property>
  <property fmtid="{D5CDD505-2E9C-101B-9397-08002B2CF9AE}" pid="94" name="tblPrefix">
    <vt:lpwstr/>
  </property>
  <property fmtid="{D5CDD505-2E9C-101B-9397-08002B2CF9AE}" pid="95" name="tblPrefixTemplate">
    <vt:lpwstr>p i</vt:lpwstr>
  </property>
  <property fmtid="{D5CDD505-2E9C-101B-9397-08002B2CF9AE}" pid="96" name="titleDelim">
    <vt:lpwstr>:</vt:lpwstr>
  </property>
  <property fmtid="{D5CDD505-2E9C-101B-9397-08002B2CF9AE}" pid="97" name="toc">
    <vt:lpwstr>True</vt:lpwstr>
  </property>
  <property fmtid="{D5CDD505-2E9C-101B-9397-08002B2CF9AE}" pid="98" name="toc-depth">
    <vt:lpwstr>2</vt:lpwstr>
  </property>
  <property fmtid="{D5CDD505-2E9C-101B-9397-08002B2CF9AE}" pid="99" name="toc-title">
    <vt:lpwstr>Содержание</vt:lpwstr>
  </property>
</Properties>
</file>