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(Таненбаум и Бос 2015; Robbins 2016; Zarrelli 2017; Newham 2005)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1" w:name="ref-newham_book_learning-bash_en"/>
    <w:p>
      <w:pPr>
        <w:pStyle w:val="Bibliography"/>
      </w:pPr>
      <w:r>
        <w:t xml:space="preserve">Newham, Cameron. 2005.</w:t>
      </w:r>
      <w:r>
        <w:t xml:space="preserve"> </w:t>
      </w:r>
      <w:r>
        <w:rPr>
          <w:i/>
          <w:iCs/>
        </w:rPr>
        <w:t xml:space="preserve">Learning the Bash Shell: Unix Shell Programming</w:t>
      </w:r>
      <w:r>
        <w:t xml:space="preserve">. In a Nutshell. O’Reilly Media.</w:t>
      </w:r>
      <w:r>
        <w:t xml:space="preserve"> </w:t>
      </w:r>
      <w:hyperlink r:id="rId30">
        <w:r>
          <w:rPr>
            <w:rStyle w:val="Hyperlink"/>
          </w:rPr>
          <w:t xml:space="preserve">http://www.amazon.com/Learning-bash-Shell-Programming-Nutshell/dp/0596009658</w:t>
        </w:r>
      </w:hyperlink>
      <w:r>
        <w:t xml:space="preserve">.</w:t>
      </w:r>
    </w:p>
    <w:bookmarkEnd w:id="31"/>
    <w:bookmarkStart w:id="32" w:name="ref-robbins_book_bash_en"/>
    <w:p>
      <w:pPr>
        <w:pStyle w:val="Bibliography"/>
      </w:pPr>
      <w:r>
        <w:t xml:space="preserve">Robbins, Arnold. 2016.</w:t>
      </w:r>
      <w:r>
        <w:t xml:space="preserve"> </w:t>
      </w:r>
      <w:r>
        <w:rPr>
          <w:i/>
          <w:iCs/>
        </w:rPr>
        <w:t xml:space="preserve">Bash Pocket Reference</w:t>
      </w:r>
      <w:r>
        <w:t xml:space="preserve">. O’Reilly Media.</w:t>
      </w:r>
    </w:p>
    <w:bookmarkEnd w:id="32"/>
    <w:bookmarkStart w:id="33" w:name="ref-zarrelli_book_mastering-bash_en"/>
    <w:p>
      <w:pPr>
        <w:pStyle w:val="Bibliography"/>
      </w:pPr>
      <w:r>
        <w:t xml:space="preserve">Zarrelli, Giorgio. 2017.</w:t>
      </w:r>
      <w:r>
        <w:t xml:space="preserve"> </w:t>
      </w:r>
      <w:r>
        <w:rPr>
          <w:i/>
          <w:iCs/>
        </w:rPr>
        <w:t xml:space="preserve">Mastering Bash</w:t>
      </w:r>
      <w:r>
        <w:t xml:space="preserve">. Packt Publishing.</w:t>
      </w:r>
    </w:p>
    <w:bookmarkEnd w:id="33"/>
    <w:bookmarkStart w:id="34" w:name="ref-tanenbaum_book_modern-os_ru"/>
    <w:p>
      <w:pPr>
        <w:pStyle w:val="Bibliography"/>
      </w:pPr>
      <w:r>
        <w:t xml:space="preserve">Таненбаум, Эндрю, и Х. Бос. 2015.</w:t>
      </w:r>
      <w:r>
        <w:t xml:space="preserve"> </w:t>
      </w:r>
      <w:r>
        <w:rPr>
          <w:i/>
          <w:iCs/>
        </w:rPr>
        <w:t xml:space="preserve">Современные операционные системы</w:t>
      </w:r>
      <w:r>
        <w:t xml:space="preserve">. 4-е изд. Классика Computer Science. СПб.: Питер.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2024-10-26T00:10:22Z</dcterms:created>
  <dcterms:modified xsi:type="dcterms:W3CDTF">2024-10-26T00:10:22Z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Простейший вариант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