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13A" w:rsidRDefault="0037313A" w:rsidP="0037313A">
      <w:bookmarkStart w:id="0" w:name="_GoBack"/>
      <w:bookmarkEnd w:id="0"/>
    </w:p>
    <w:p w:rsidR="0037313A" w:rsidRDefault="0037313A" w:rsidP="0037313A">
      <w:pPr>
        <w:spacing w:after="120"/>
        <w:jc w:val="left"/>
        <w:rPr>
          <w:rFonts w:ascii="宋体" w:hAnsi="宋体"/>
        </w:rPr>
      </w:pPr>
    </w:p>
    <w:p w:rsidR="0037313A" w:rsidRDefault="0037313A" w:rsidP="0037313A">
      <w:pPr>
        <w:spacing w:after="120"/>
        <w:jc w:val="left"/>
        <w:rPr>
          <w:rFonts w:ascii="宋体" w:hAnsi="宋体"/>
        </w:rPr>
      </w:pPr>
    </w:p>
    <w:p w:rsidR="0037313A" w:rsidRDefault="0037313A" w:rsidP="0037313A">
      <w:pPr>
        <w:spacing w:after="120"/>
        <w:jc w:val="left"/>
        <w:rPr>
          <w:rFonts w:ascii="宋体" w:hAnsi="宋体"/>
        </w:rPr>
      </w:pPr>
      <w:r>
        <w:rPr>
          <w:rFonts w:ascii="宋体" w:hAnsi="宋体"/>
        </w:rPr>
        <w:t>2024年全国大学生电子设计竞赛</w:t>
      </w:r>
    </w:p>
    <w:p w:rsidR="0037313A" w:rsidRDefault="0037313A" w:rsidP="0037313A">
      <w:pPr>
        <w:spacing w:after="120"/>
        <w:jc w:val="center"/>
        <w:rPr>
          <w:rFonts w:ascii="宋体" w:hAnsi="宋体"/>
          <w:b/>
          <w:sz w:val="40"/>
        </w:rPr>
      </w:pPr>
      <w:r>
        <w:rPr>
          <w:rFonts w:ascii="宋体" w:hAnsi="宋体" w:hint="eastAsia"/>
          <w:b/>
          <w:sz w:val="40"/>
        </w:rPr>
        <w:t>江苏赛区（</w:t>
      </w:r>
      <w:r>
        <w:rPr>
          <w:rFonts w:ascii="宋体" w:hAnsi="宋体"/>
          <w:b/>
          <w:sz w:val="40"/>
        </w:rPr>
        <w:t>TI杯）</w:t>
      </w:r>
    </w:p>
    <w:p w:rsidR="0037313A" w:rsidRDefault="0037313A" w:rsidP="0037313A">
      <w:pPr>
        <w:spacing w:after="120"/>
        <w:jc w:val="center"/>
        <w:rPr>
          <w:rFonts w:ascii="宋体" w:hAnsi="宋体"/>
          <w:b/>
          <w:sz w:val="36"/>
        </w:rPr>
      </w:pPr>
    </w:p>
    <w:p w:rsidR="0037313A" w:rsidRDefault="0037313A" w:rsidP="0037313A">
      <w:pPr>
        <w:spacing w:after="120"/>
        <w:jc w:val="left"/>
        <w:rPr>
          <w:rFonts w:ascii="宋体" w:hAnsi="宋体"/>
        </w:rPr>
      </w:pPr>
    </w:p>
    <w:p w:rsidR="0037313A" w:rsidRDefault="0037313A" w:rsidP="0037313A">
      <w:pPr>
        <w:spacing w:after="120"/>
        <w:jc w:val="left"/>
        <w:rPr>
          <w:rFonts w:ascii="宋体" w:hAnsi="宋体"/>
        </w:rPr>
      </w:pPr>
    </w:p>
    <w:p w:rsidR="0037313A" w:rsidRDefault="0037313A" w:rsidP="0037313A">
      <w:pPr>
        <w:spacing w:after="120"/>
        <w:jc w:val="left"/>
        <w:rPr>
          <w:rFonts w:ascii="宋体" w:hAnsi="宋体"/>
        </w:rPr>
      </w:pPr>
    </w:p>
    <w:p w:rsidR="0037313A" w:rsidRDefault="0037313A" w:rsidP="0037313A">
      <w:pPr>
        <w:spacing w:after="120"/>
        <w:jc w:val="left"/>
        <w:rPr>
          <w:rFonts w:ascii="宋体" w:hAnsi="宋体"/>
        </w:rPr>
      </w:pPr>
      <w:r>
        <w:rPr>
          <w:rFonts w:ascii="宋体" w:hAnsi="宋体" w:hint="eastAsia"/>
        </w:rPr>
        <w:t>题目：自动行驶小车</w:t>
      </w:r>
    </w:p>
    <w:p w:rsidR="0037313A" w:rsidRDefault="0037313A" w:rsidP="0037313A">
      <w:pPr>
        <w:spacing w:after="120"/>
        <w:jc w:val="center"/>
        <w:rPr>
          <w:rFonts w:ascii="宋体" w:hAnsi="宋体"/>
          <w:b/>
          <w:sz w:val="32"/>
        </w:rPr>
      </w:pPr>
      <w:r>
        <w:rPr>
          <w:rFonts w:ascii="宋体" w:hAnsi="宋体" w:hint="eastAsia"/>
          <w:b/>
          <w:sz w:val="32"/>
        </w:rPr>
        <w:t>题目编号：</w:t>
      </w:r>
      <w:r>
        <w:rPr>
          <w:rFonts w:ascii="宋体" w:hAnsi="宋体"/>
          <w:b/>
          <w:sz w:val="32"/>
        </w:rPr>
        <w:t>H题</w:t>
      </w:r>
    </w:p>
    <w:p w:rsidR="0037313A" w:rsidRDefault="0037313A" w:rsidP="0037313A">
      <w:pPr>
        <w:spacing w:after="120"/>
        <w:jc w:val="center"/>
        <w:rPr>
          <w:rFonts w:ascii="宋体" w:hAnsi="宋体"/>
          <w:b/>
          <w:sz w:val="32"/>
        </w:rPr>
      </w:pPr>
    </w:p>
    <w:p w:rsidR="0037313A" w:rsidRDefault="0037313A" w:rsidP="0037313A">
      <w:pPr>
        <w:spacing w:after="120"/>
        <w:jc w:val="left"/>
        <w:rPr>
          <w:rFonts w:ascii="宋体" w:hAnsi="宋体"/>
        </w:rPr>
      </w:pPr>
    </w:p>
    <w:p w:rsidR="0037313A" w:rsidRDefault="0037313A" w:rsidP="0037313A">
      <w:pPr>
        <w:spacing w:after="120"/>
        <w:jc w:val="left"/>
        <w:rPr>
          <w:rFonts w:ascii="宋体" w:hAnsi="宋体"/>
        </w:rPr>
      </w:pPr>
    </w:p>
    <w:p w:rsidR="0037313A" w:rsidRDefault="0037313A" w:rsidP="0037313A">
      <w:pPr>
        <w:spacing w:after="120"/>
        <w:jc w:val="left"/>
        <w:rPr>
          <w:rFonts w:ascii="宋体" w:hAnsi="宋体"/>
        </w:rPr>
      </w:pPr>
    </w:p>
    <w:p w:rsidR="0037313A" w:rsidRDefault="0037313A" w:rsidP="0037313A">
      <w:pPr>
        <w:spacing w:after="120"/>
        <w:jc w:val="left"/>
        <w:rPr>
          <w:rFonts w:ascii="宋体" w:hAnsi="宋体"/>
        </w:rPr>
      </w:pPr>
    </w:p>
    <w:p w:rsidR="0037313A" w:rsidRDefault="0037313A" w:rsidP="0037313A">
      <w:pPr>
        <w:spacing w:after="120"/>
        <w:jc w:val="left"/>
        <w:rPr>
          <w:rFonts w:ascii="宋体" w:hAnsi="宋体"/>
        </w:rPr>
      </w:pPr>
      <w:r>
        <w:rPr>
          <w:rFonts w:ascii="宋体" w:hAnsi="宋体" w:hint="eastAsia"/>
        </w:rPr>
        <w:t>参赛队编号：</w:t>
      </w:r>
      <w:r>
        <w:rPr>
          <w:rFonts w:ascii="宋体" w:hAnsi="宋体"/>
        </w:rPr>
        <w:t>________________</w:t>
      </w:r>
    </w:p>
    <w:p w:rsidR="0037313A" w:rsidRDefault="0037313A" w:rsidP="0037313A">
      <w:pPr>
        <w:spacing w:after="120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参赛队学校：</w:t>
      </w:r>
      <w:r>
        <w:rPr>
          <w:rFonts w:ascii="宋体" w:hAnsi="宋体"/>
          <w:sz w:val="24"/>
        </w:rPr>
        <w:t>________________</w:t>
      </w:r>
    </w:p>
    <w:p w:rsidR="0037313A" w:rsidRDefault="0037313A" w:rsidP="0037313A">
      <w:pPr>
        <w:spacing w:after="120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参赛队学生：</w:t>
      </w:r>
      <w:r>
        <w:rPr>
          <w:rFonts w:ascii="宋体" w:hAnsi="宋体"/>
          <w:sz w:val="24"/>
        </w:rPr>
        <w:t>________________</w:t>
      </w:r>
    </w:p>
    <w:p w:rsidR="0037313A" w:rsidRDefault="0037313A" w:rsidP="0037313A">
      <w:pPr>
        <w:spacing w:after="120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二零二四年七月</w:t>
      </w:r>
    </w:p>
    <w:p w:rsidR="0037313A" w:rsidRDefault="0037313A" w:rsidP="0037313A">
      <w:pPr>
        <w:spacing w:after="120"/>
        <w:jc w:val="center"/>
        <w:rPr>
          <w:rFonts w:ascii="宋体" w:hAnsi="宋体"/>
          <w:sz w:val="24"/>
        </w:rPr>
      </w:pPr>
      <w:r>
        <w:rPr>
          <w:rFonts w:ascii="宋体" w:hAnsi="宋体"/>
          <w:sz w:val="24"/>
        </w:rPr>
        <w:br w:type="page"/>
      </w:r>
      <w:r>
        <w:rPr>
          <w:rFonts w:ascii="宋体" w:hAnsi="宋体" w:hint="eastAsia"/>
          <w:sz w:val="24"/>
        </w:rPr>
        <w:t>自动行驶小车</w:t>
      </w:r>
    </w:p>
    <w:p w:rsidR="0037313A" w:rsidRDefault="0037313A" w:rsidP="0037313A">
      <w:pPr>
        <w:spacing w:after="120"/>
        <w:jc w:val="center"/>
        <w:rPr>
          <w:rFonts w:ascii="宋体" w:hAnsi="宋体"/>
          <w:b/>
          <w:sz w:val="36"/>
        </w:rPr>
      </w:pPr>
      <w:r>
        <w:rPr>
          <w:rFonts w:ascii="宋体" w:hAnsi="宋体" w:hint="eastAsia"/>
          <w:b/>
          <w:sz w:val="36"/>
        </w:rPr>
        <w:t>摘</w:t>
      </w:r>
      <w:r>
        <w:rPr>
          <w:rFonts w:ascii="宋体" w:hAnsi="宋体"/>
          <w:b/>
          <w:sz w:val="36"/>
        </w:rPr>
        <w:t xml:space="preserve"> 要</w:t>
      </w:r>
    </w:p>
    <w:p w:rsidR="0037313A" w:rsidRDefault="0037313A" w:rsidP="0037313A">
      <w:pPr>
        <w:spacing w:after="120"/>
        <w:jc w:val="center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针对</w:t>
      </w:r>
      <w:r>
        <w:rPr>
          <w:rFonts w:ascii="宋体" w:hAnsi="宋体"/>
          <w:b/>
          <w:sz w:val="28"/>
        </w:rPr>
        <w:t xml:space="preserve"> 2024 年全国大学生电子设计竞赛江苏赛区（TI杯）自动行驶小车（H题）中无外部标记、仅含两段半圆弧黑线的循迹任务，设计了一套以 MSPM0G3507 为主控的差速轮式小车控制系统。系统以 8 路灰度传感器获得黑线横向偏差，以编码器构建左右轮速度闭环，并结合 JY62 惯性测量单元提供的航向信息完成失线段航向保持。控制层采用“灰度加权质心—纯追踪曲率控制—差速运动学逆解—增量式 PI”闭环结构；任务层采用路段状态机，将巡线、航向对齐、对角线直冲、黑线重捕获和圈数计数串联，实现任务（1）至任务（4）的</w:t>
      </w:r>
      <w:r>
        <w:rPr>
          <w:rFonts w:ascii="宋体" w:hAnsi="宋体" w:hint="eastAsia"/>
          <w:b/>
          <w:sz w:val="28"/>
        </w:rPr>
        <w:t>统一调度。针对题目中</w:t>
      </w:r>
      <w:r>
        <w:rPr>
          <w:rFonts w:ascii="宋体" w:hAnsi="宋体"/>
          <w:b/>
          <w:sz w:val="28"/>
        </w:rPr>
        <w:t xml:space="preserve"> A、B、C、D 点没有额外标记的问题，设计以弧线转角、里程计和位姿邻近判据协同确认的过点机制，并在已知点执行位姿快照以抑制累计误差。本文给出硬件组成、关键控制公式、软件流程和可复现实测方案。实车时间、成功率及连续四圈结果须按第五章测试表补录后作为最终结论。</w:t>
      </w:r>
    </w:p>
    <w:p w:rsidR="0037313A" w:rsidRDefault="0037313A" w:rsidP="0037313A">
      <w:pPr>
        <w:spacing w:after="120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关键词：</w:t>
      </w:r>
      <w:r>
        <w:rPr>
          <w:rFonts w:ascii="宋体" w:hAnsi="宋体"/>
        </w:rPr>
        <w:t>MSPM0G3507；自动循迹；差速控制；纯追踪；惯性导航；状态机</w:t>
      </w:r>
    </w:p>
    <w:p w:rsidR="0037313A" w:rsidRDefault="0037313A" w:rsidP="0037313A">
      <w:pPr>
        <w:spacing w:after="120"/>
        <w:jc w:val="left"/>
        <w:rPr>
          <w:rFonts w:ascii="宋体" w:hAnsi="宋体"/>
        </w:rPr>
      </w:pPr>
      <w:r>
        <w:rPr>
          <w:rFonts w:ascii="宋体" w:hAnsi="宋体"/>
        </w:rPr>
        <w:br w:type="page"/>
        <w:t>1. 设计方案与工作原理</w:t>
      </w:r>
    </w:p>
    <w:p w:rsidR="0037313A" w:rsidRDefault="0037313A" w:rsidP="0037313A">
      <w:pPr>
        <w:spacing w:before="240" w:after="120"/>
        <w:jc w:val="left"/>
        <w:rPr>
          <w:rFonts w:ascii="黑体" w:eastAsia="黑体" w:hAnsi="黑体"/>
          <w:b/>
          <w:sz w:val="30"/>
        </w:rPr>
      </w:pPr>
      <w:r>
        <w:rPr>
          <w:rFonts w:ascii="黑体" w:eastAsia="黑体" w:hAnsi="黑体"/>
          <w:b/>
          <w:sz w:val="30"/>
        </w:rPr>
        <w:t>1.1 预期实现目标定位</w:t>
      </w:r>
    </w:p>
    <w:p w:rsidR="0037313A" w:rsidRDefault="0037313A" w:rsidP="0037313A">
      <w:pPr>
        <w:spacing w:before="160" w:after="8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本设计面向</w:t>
      </w:r>
      <w:r>
        <w:rPr>
          <w:rFonts w:ascii="黑体" w:eastAsia="黑体" w:hAnsi="黑体"/>
          <w:b/>
          <w:sz w:val="24"/>
        </w:rPr>
        <w:t xml:space="preserve"> H 题规定场地：小车从指定起点出发，在半径 40 cm 的两段黑色半圆弧线与两条直线组成的封闭路径上自动行驶。系统须完成 A→B 停车、单圈顺逆向运行以及按任务（3）路线连续运行 4 圈，并在起停和经过关键点时给出声光提示。设计遵守 MSPM0 系列 MCU 控制、轮式前进、车载供电、无摄像头和不依赖场外设备等限制。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1.2 技术方案分析比较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（</w:t>
      </w:r>
      <w:r>
        <w:rPr>
          <w:rFonts w:ascii="黑体" w:eastAsia="黑体" w:hAnsi="黑体"/>
          <w:b/>
          <w:sz w:val="24"/>
        </w:rPr>
        <w:t>1）循迹方案。方案一为单路红外开关循迹，结构简单但无法获得横向误差大小，难以兼顾弧线稳定性与速度；方案二为摄像头视觉循迹，信息量较大但题目明确禁止安装摄像头；方案三为 8 路灰度传感器阵列。方案三可通过黑线传感器位置的加权质心形成连续偏差，满足题目限制且计算量小，故采用方案三。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2）失线与过点导航方案。方案一仅依赖灰度阈值，在无标记端点处易受光照和瞬态偏差影响；方案二仅依赖编码器里程计，存在轮胎打滑累积误差；方案三将灰度特征、编码器里程与 JY62 航向/位姿信息融合。方案三能够以多条件相互校验并在已知点回正位姿，因此用于任务状态推进。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3）电机控制方案。开环 PWM 难以抑制电池电压和负载变化；位置式 PID 便于理解但对输出限幅与积分累积较敏感；增量式 PI 直接输出 PWM 增量、实现简单且适合 5 ms 固定周期的速度闭环，故用于左右轮独立调速。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1.3 系统结构工作原理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系统由感知、控制、执行和提示四部分组成。</w:t>
      </w:r>
      <w:r>
        <w:rPr>
          <w:rFonts w:ascii="黑体" w:eastAsia="黑体" w:hAnsi="黑体"/>
          <w:b/>
          <w:sz w:val="24"/>
        </w:rPr>
        <w:t>8 路灰度模块经 3 根地址线与 1 根数据线分时采样，输出黑线位置；双路编码器反馈左右轮瞬时速度；JY62 通过 UART 输出 yaw 与 Z 轴角速度；MSPM0G3507 在 5 ms 定时中断内完成采样、状态机、速度闭环与 PWM 刷新；TB6612 双 H 桥驱动两台直流减速电机；OLED、LED 与蜂鸣器显示运行状态并完成关键点提示。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6"/>
        <w:gridCol w:w="3096"/>
        <w:gridCol w:w="3096"/>
      </w:tblGrid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模块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主要器件</w:t>
            </w:r>
            <w:r w:rsidRPr="0037313A">
              <w:rPr>
                <w:rFonts w:ascii="宋体" w:hAnsi="宋体"/>
                <w:b/>
                <w:sz w:val="18"/>
              </w:rPr>
              <w:t>/接口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作用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主控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MSPM0G3507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执行实时控制、任务状态机和外设管理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执行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TB6612 + 直流减速电机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输出左右轮正向</w:t>
            </w:r>
            <w:r>
              <w:rPr>
                <w:rFonts w:ascii="宋体" w:hAnsi="宋体"/>
                <w:sz w:val="18"/>
              </w:rPr>
              <w:t xml:space="preserve"> PWM 驱动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速度反馈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13线编码器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获取轮速与累计里程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循迹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8路红外灰度模块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计算黑线横向偏差与重捕获状态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姿态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JY62，UART 115200 bps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提供航向与角速度，辅助失线段导航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人机交互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OLED、LED、蜂鸣器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显示状态并在关键点声光提示</w:t>
            </w:r>
          </w:p>
        </w:tc>
      </w:tr>
    </w:tbl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表</w:t>
      </w:r>
      <w:r>
        <w:rPr>
          <w:rFonts w:ascii="宋体" w:hAnsi="宋体"/>
        </w:rPr>
        <w:t>1 系统模块组成</w:t>
      </w:r>
    </w:p>
    <w:p w:rsidR="0037313A" w:rsidRDefault="0037313A" w:rsidP="0037313A">
      <w:pPr>
        <w:spacing w:before="160" w:after="160"/>
        <w:jc w:val="center"/>
        <w:rPr>
          <w:rFonts w:ascii="宋体" w:hAnsi="宋体"/>
          <w:sz w:val="18"/>
        </w:rPr>
      </w:pPr>
      <w:r>
        <w:rPr>
          <w:rFonts w:ascii="宋体" w:hAnsi="宋体"/>
          <w:sz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354pt;height:245.25pt">
            <v:imagedata r:id="rId8" o:title="pic1"/>
          </v:shape>
        </w:pict>
      </w:r>
      <w:r>
        <w:rPr>
          <w:rFonts w:ascii="宋体" w:hAnsi="宋体" w:hint="eastAsia"/>
          <w:sz w:val="18"/>
        </w:rPr>
        <w:t>图</w:t>
      </w:r>
      <w:r>
        <w:rPr>
          <w:rFonts w:ascii="宋体" w:hAnsi="宋体"/>
          <w:sz w:val="18"/>
        </w:rPr>
        <w:t>1 H题场地示意图</w:t>
      </w:r>
    </w:p>
    <w:p w:rsidR="0037313A" w:rsidRDefault="0037313A" w:rsidP="0037313A">
      <w:pPr>
        <w:spacing w:before="160" w:after="160"/>
        <w:jc w:val="center"/>
        <w:rPr>
          <w:rFonts w:ascii="宋体" w:hAnsi="宋体"/>
          <w:sz w:val="18"/>
        </w:rPr>
      </w:pPr>
      <w:r>
        <w:rPr>
          <w:rFonts w:ascii="宋体" w:hAnsi="宋体"/>
          <w:sz w:val="18"/>
        </w:rPr>
        <w:t>1.4 功能指标实现方法</w:t>
      </w:r>
    </w:p>
    <w:p w:rsidR="0037313A" w:rsidRDefault="0037313A" w:rsidP="0037313A">
      <w:pPr>
        <w:spacing w:before="160" w:after="8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弧线段采用纯追踪模型，将灰度位置偏差</w:t>
      </w:r>
      <w:r>
        <w:rPr>
          <w:rFonts w:ascii="黑体" w:eastAsia="黑体" w:hAnsi="黑体"/>
          <w:b/>
          <w:sz w:val="24"/>
        </w:rPr>
        <w:t xml:space="preserve"> y 转换为曲率 κ，并据当前线速度 v 计算角速度命令 ω；直线段保持较高基础速度，弧线段根据偏差与黑线覆盖数量自动降速。到达关键点时，任务层通过丢线、航向转角、里程和位姿邻近关系进行确认，并发出声光提示；达到目标圈数后将速度目标清零并保持停车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1.5 测量、控制与分析处理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每个</w:t>
      </w:r>
      <w:r>
        <w:rPr>
          <w:rFonts w:ascii="黑体" w:eastAsia="黑体" w:hAnsi="黑体"/>
          <w:b/>
          <w:sz w:val="24"/>
        </w:rPr>
        <w:t xml:space="preserve"> 5 ms 控制周期中，先读取编码器脉冲并换算车轮速度，再读取 8 路灰度状态、计算线位置与黑线数量；随后依据当前任务状态生成线速度和角速度目标，经差速逆解得到左右轮目标速度，最后由两路增量式 PI 计算 PWM。JY62 数据以 10 ms 节拍更新，用于航向对齐、直冲段 PD 保持和位姿积分。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2. 核心部件与电路设计</w:t>
      </w:r>
    </w:p>
    <w:p w:rsidR="0037313A" w:rsidRDefault="0037313A" w:rsidP="0037313A">
      <w:pPr>
        <w:spacing w:before="240" w:after="120"/>
        <w:ind w:firstLine="420"/>
        <w:jc w:val="left"/>
        <w:rPr>
          <w:rFonts w:ascii="黑体" w:eastAsia="黑体" w:hAnsi="黑体"/>
          <w:b/>
          <w:sz w:val="30"/>
        </w:rPr>
      </w:pPr>
      <w:r>
        <w:rPr>
          <w:rFonts w:ascii="黑体" w:eastAsia="黑体" w:hAnsi="黑体"/>
          <w:b/>
          <w:sz w:val="30"/>
        </w:rPr>
        <w:t>2.1 关键器件性能分析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/>
          <w:b/>
          <w:sz w:val="24"/>
        </w:rPr>
        <w:t>MSPM0G3507 采用 Cortex-M0+ 内核，可提供定时器、PWM、GPIO 中断和 UART 等资源，满足 200 Hz 控制与多外设并行需求。TB6612 为双 H 桥电机驱动器，可分别控制左右直流电机的方向与 PWM 占空比。编码器采用 13 线霍尔编码器并配合 30:1 减速比，按 2 倍频计数时每轮一周对应 780 个计数；以轮周长 0.2105 m 和 200 Hz 周期可换算实时车速。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2.2 电路结构工作机理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电机方向引脚控制</w:t>
      </w:r>
      <w:r>
        <w:rPr>
          <w:rFonts w:ascii="黑体" w:eastAsia="黑体" w:hAnsi="黑体"/>
          <w:b/>
          <w:sz w:val="24"/>
        </w:rPr>
        <w:t xml:space="preserve"> TB6612 的 IN1/IN2 组合，TimerA 输出 10 kHz PWM，软件将占空比限幅至 0～7800/8000。灰度模块通过地址复用依次选通 8 路检测单元，减少 MCU 引脚占用。编码器 A/B 相上升沿触发 GPIO 中断；JY62 采用 0x55 帧头、11 字节数据帧解析欧拉角与角速度。电机电源与 MCU 逻辑电源应共地，并在实车接线时复核电流能力和抗干扰措施。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2.3 运动学与控制模型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设轮距为</w:t>
      </w:r>
      <w:r>
        <w:rPr>
          <w:rFonts w:ascii="黑体" w:eastAsia="黑体" w:hAnsi="黑体"/>
          <w:b/>
          <w:sz w:val="24"/>
        </w:rPr>
        <w:t xml:space="preserve"> B、车体线速度为 v、角速度为 ω，则左右轮速度目标为 v_L=v</w:t>
      </w:r>
      <w:r>
        <w:rPr>
          <w:rFonts w:ascii="微软雅黑" w:eastAsia="微软雅黑" w:hAnsi="微软雅黑" w:cs="微软雅黑" w:hint="eastAsia"/>
          <w:b/>
          <w:sz w:val="24"/>
        </w:rPr>
        <w:t>−</w:t>
      </w:r>
      <w:r>
        <w:rPr>
          <w:rFonts w:ascii="黑体" w:eastAsia="黑体" w:hAnsi="黑体" w:cs="黑体" w:hint="eastAsia"/>
          <w:b/>
          <w:sz w:val="24"/>
        </w:rPr>
        <w:t>ω</w:t>
      </w:r>
      <w:r>
        <w:rPr>
          <w:rFonts w:ascii="黑体" w:eastAsia="黑体" w:hAnsi="黑体"/>
          <w:b/>
          <w:sz w:val="24"/>
        </w:rPr>
        <w:t>B/2，v_R=v+ωB/2。灰度传感器加权位置为 y=Σ(s_i p_i)/Σs_i，其中 s_i 为第 i 路黑线判定值，p_i 为该传感器横向坐标。纯追踪曲率为 κ=2y/(L</w:t>
      </w:r>
      <w:r>
        <w:rPr>
          <w:rFonts w:ascii="Calibri" w:eastAsia="黑体" w:hAnsi="Calibri" w:cs="Calibri"/>
          <w:b/>
          <w:sz w:val="24"/>
        </w:rPr>
        <w:t>²</w:t>
      </w:r>
      <w:r>
        <w:rPr>
          <w:rFonts w:ascii="黑体" w:eastAsia="黑体" w:hAnsi="黑体"/>
          <w:b/>
          <w:sz w:val="24"/>
        </w:rPr>
        <w:t>+y</w:t>
      </w:r>
      <w:r>
        <w:rPr>
          <w:rFonts w:ascii="Calibri" w:eastAsia="黑体" w:hAnsi="Calibri" w:cs="Calibri"/>
          <w:b/>
          <w:sz w:val="24"/>
        </w:rPr>
        <w:t>²</w:t>
      </w:r>
      <w:r>
        <w:rPr>
          <w:rFonts w:ascii="黑体" w:eastAsia="黑体" w:hAnsi="黑体"/>
          <w:b/>
          <w:sz w:val="24"/>
        </w:rPr>
        <w:t>)，其中 L 为前视距离；角速度命令取 ω=</w:t>
      </w:r>
      <w:r>
        <w:rPr>
          <w:rFonts w:ascii="微软雅黑" w:eastAsia="微软雅黑" w:hAnsi="微软雅黑" w:cs="微软雅黑" w:hint="eastAsia"/>
          <w:b/>
          <w:sz w:val="24"/>
        </w:rPr>
        <w:t>−</w:t>
      </w:r>
      <w:r>
        <w:rPr>
          <w:rFonts w:ascii="黑体" w:eastAsia="黑体" w:hAnsi="黑体"/>
          <w:b/>
          <w:sz w:val="24"/>
        </w:rPr>
        <w:t>K_steer</w:t>
      </w:r>
      <w:r>
        <w:rPr>
          <w:rFonts w:ascii="黑体" w:eastAsia="黑体" w:hAnsi="黑体" w:cs="黑体" w:hint="eastAsia"/>
          <w:b/>
          <w:sz w:val="24"/>
        </w:rPr>
        <w:t>·</w:t>
      </w:r>
      <w:r>
        <w:rPr>
          <w:rFonts w:ascii="黑体" w:eastAsia="黑体" w:hAnsi="黑体"/>
          <w:b/>
          <w:sz w:val="24"/>
        </w:rPr>
        <w:t>v</w:t>
      </w:r>
      <w:r>
        <w:rPr>
          <w:rFonts w:ascii="黑体" w:eastAsia="黑体" w:hAnsi="黑体" w:cs="黑体" w:hint="eastAsia"/>
          <w:b/>
          <w:sz w:val="24"/>
        </w:rPr>
        <w:t>·κ</w:t>
      </w:r>
      <w:r>
        <w:rPr>
          <w:rFonts w:ascii="黑体" w:eastAsia="黑体" w:hAnsi="黑体"/>
          <w:b/>
          <w:sz w:val="24"/>
        </w:rPr>
        <w:t>，并进行限幅。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增量式</w:t>
      </w:r>
      <w:r>
        <w:rPr>
          <w:rFonts w:ascii="宋体" w:hAnsi="宋体"/>
        </w:rPr>
        <w:t xml:space="preserve"> PI 控制器以 e(k)=v_target(k)</w:t>
      </w:r>
      <w:r>
        <w:rPr>
          <w:rFonts w:ascii="微软雅黑" w:eastAsia="微软雅黑" w:hAnsi="微软雅黑" w:cs="微软雅黑" w:hint="eastAsia"/>
        </w:rPr>
        <w:t>−</w:t>
      </w:r>
      <w:r>
        <w:rPr>
          <w:rFonts w:ascii="宋体" w:hAnsi="宋体"/>
        </w:rPr>
        <w:t>v_measured(k) 为速度偏差，PWM(k)=PWM(k</w:t>
      </w:r>
      <w:r>
        <w:rPr>
          <w:rFonts w:ascii="微软雅黑" w:eastAsia="微软雅黑" w:hAnsi="微软雅黑" w:cs="微软雅黑" w:hint="eastAsia"/>
        </w:rPr>
        <w:t>−</w:t>
      </w:r>
      <w:r>
        <w:rPr>
          <w:rFonts w:ascii="宋体" w:hAnsi="宋体"/>
        </w:rPr>
        <w:t>1)+Kp[e(k)</w:t>
      </w:r>
      <w:r>
        <w:rPr>
          <w:rFonts w:ascii="微软雅黑" w:eastAsia="微软雅黑" w:hAnsi="微软雅黑" w:cs="微软雅黑" w:hint="eastAsia"/>
        </w:rPr>
        <w:t>−</w:t>
      </w:r>
      <w:r>
        <w:rPr>
          <w:rFonts w:ascii="宋体" w:hAnsi="宋体"/>
        </w:rPr>
        <w:t>e(k</w:t>
      </w:r>
      <w:r>
        <w:rPr>
          <w:rFonts w:ascii="微软雅黑" w:eastAsia="微软雅黑" w:hAnsi="微软雅黑" w:cs="微软雅黑" w:hint="eastAsia"/>
        </w:rPr>
        <w:t>−</w:t>
      </w:r>
      <w:r>
        <w:rPr>
          <w:rFonts w:ascii="宋体" w:hAnsi="宋体"/>
        </w:rPr>
        <w:t>1)]+Ki</w:t>
      </w:r>
      <w:r>
        <w:rPr>
          <w:rFonts w:ascii="宋体" w:hAnsi="宋体" w:cs="宋体" w:hint="eastAsia"/>
        </w:rPr>
        <w:t>·</w:t>
      </w:r>
      <w:r>
        <w:rPr>
          <w:rFonts w:ascii="宋体" w:hAnsi="宋体"/>
        </w:rPr>
        <w:t>e(k)。本实现中 Kp=400、Ki=300，PWM 输出限制为 ±7800，以防止控制量超过驱动器有效范围。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2.4 关键参数与接口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6"/>
        <w:gridCol w:w="3096"/>
        <w:gridCol w:w="3096"/>
      </w:tblGrid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 w:rsidRPr="0037313A">
              <w:rPr>
                <w:rFonts w:ascii="黑体" w:hAnsi="黑体" w:hint="eastAsia"/>
                <w:b/>
                <w:sz w:val="18"/>
              </w:rPr>
              <w:t>参数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 w:rsidRPr="0037313A">
              <w:rPr>
                <w:rFonts w:ascii="黑体" w:hAnsi="黑体" w:hint="eastAsia"/>
                <w:b/>
                <w:sz w:val="18"/>
              </w:rPr>
              <w:t>取值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 w:rsidRPr="0037313A">
              <w:rPr>
                <w:rFonts w:ascii="黑体" w:hAnsi="黑体" w:hint="eastAsia"/>
                <w:b/>
                <w:sz w:val="18"/>
              </w:rPr>
              <w:t>说明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 w:hint="eastAsia"/>
                <w:b/>
                <w:sz w:val="18"/>
              </w:rPr>
              <w:t>控制周期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>5 ms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 xml:space="preserve">TimerG </w:t>
            </w:r>
            <w:r>
              <w:rPr>
                <w:rFonts w:ascii="黑体" w:hAnsi="黑体"/>
                <w:b/>
                <w:sz w:val="18"/>
              </w:rPr>
              <w:t>中断，控制频率</w:t>
            </w:r>
            <w:r>
              <w:rPr>
                <w:rFonts w:ascii="黑体" w:hAnsi="黑体"/>
                <w:b/>
                <w:sz w:val="18"/>
              </w:rPr>
              <w:t xml:space="preserve"> 200 Hz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 w:hint="eastAsia"/>
                <w:b/>
                <w:sz w:val="18"/>
              </w:rPr>
              <w:t>轮距</w:t>
            </w:r>
            <w:r>
              <w:rPr>
                <w:rFonts w:ascii="黑体" w:hAnsi="黑体"/>
                <w:b/>
                <w:sz w:val="18"/>
              </w:rPr>
              <w:t xml:space="preserve"> B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>0.130 m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 w:hint="eastAsia"/>
                <w:b/>
                <w:sz w:val="18"/>
              </w:rPr>
              <w:t>差速运动学参数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 w:hint="eastAsia"/>
                <w:b/>
                <w:sz w:val="18"/>
              </w:rPr>
              <w:t>轮周长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>0.2105 m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 w:hint="eastAsia"/>
                <w:b/>
                <w:sz w:val="18"/>
              </w:rPr>
              <w:t>编码器速度换算参数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 w:hint="eastAsia"/>
                <w:b/>
                <w:sz w:val="18"/>
              </w:rPr>
              <w:t>编码器计数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>780/rev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>13</w:t>
            </w:r>
            <w:r>
              <w:rPr>
                <w:rFonts w:ascii="黑体" w:hAnsi="黑体"/>
                <w:b/>
                <w:sz w:val="18"/>
              </w:rPr>
              <w:t>线</w:t>
            </w:r>
            <w:r>
              <w:rPr>
                <w:rFonts w:ascii="黑体" w:hAnsi="黑体"/>
                <w:b/>
                <w:sz w:val="18"/>
              </w:rPr>
              <w:t>×2</w:t>
            </w:r>
            <w:r>
              <w:rPr>
                <w:rFonts w:ascii="黑体" w:hAnsi="黑体"/>
                <w:b/>
                <w:sz w:val="18"/>
              </w:rPr>
              <w:t>倍频</w:t>
            </w:r>
            <w:r>
              <w:rPr>
                <w:rFonts w:ascii="黑体" w:hAnsi="黑体"/>
                <w:b/>
                <w:sz w:val="18"/>
              </w:rPr>
              <w:t>×30</w:t>
            </w:r>
            <w:r>
              <w:rPr>
                <w:rFonts w:ascii="黑体" w:hAnsi="黑体"/>
                <w:b/>
                <w:sz w:val="18"/>
              </w:rPr>
              <w:t>减速比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 w:hint="eastAsia"/>
                <w:b/>
                <w:sz w:val="18"/>
              </w:rPr>
              <w:t>基础</w:t>
            </w:r>
            <w:r>
              <w:rPr>
                <w:rFonts w:ascii="黑体" w:hAnsi="黑体"/>
                <w:b/>
                <w:sz w:val="18"/>
              </w:rPr>
              <w:t>/</w:t>
            </w:r>
            <w:r>
              <w:rPr>
                <w:rFonts w:ascii="黑体" w:hAnsi="黑体"/>
                <w:b/>
                <w:sz w:val="18"/>
              </w:rPr>
              <w:t>弯道速度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>300/185 mm·s</w:t>
            </w:r>
            <w:r>
              <w:rPr>
                <w:rFonts w:ascii="MS Gothic" w:eastAsia="MS Gothic" w:hAnsi="MS Gothic" w:cs="MS Gothic" w:hint="eastAsia"/>
                <w:b/>
                <w:sz w:val="18"/>
              </w:rPr>
              <w:t>⁻¹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 w:hint="eastAsia"/>
                <w:b/>
                <w:sz w:val="18"/>
              </w:rPr>
              <w:t>灰度偏差分档速度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>PWM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>10 kHz</w:t>
            </w:r>
            <w:r>
              <w:rPr>
                <w:rFonts w:ascii="黑体" w:hAnsi="黑体"/>
                <w:b/>
                <w:sz w:val="18"/>
              </w:rPr>
              <w:t>，最大</w:t>
            </w:r>
            <w:r>
              <w:rPr>
                <w:rFonts w:ascii="黑体" w:hAnsi="黑体"/>
                <w:b/>
                <w:sz w:val="18"/>
              </w:rPr>
              <w:t xml:space="preserve"> 7800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 xml:space="preserve">TimerA </w:t>
            </w:r>
            <w:r>
              <w:rPr>
                <w:rFonts w:ascii="黑体" w:hAnsi="黑体"/>
                <w:b/>
                <w:sz w:val="18"/>
              </w:rPr>
              <w:t>输出限幅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 xml:space="preserve">JY62 </w:t>
            </w:r>
            <w:r>
              <w:rPr>
                <w:rFonts w:ascii="黑体" w:hAnsi="黑体"/>
                <w:b/>
                <w:sz w:val="18"/>
              </w:rPr>
              <w:t>串口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/>
                <w:b/>
                <w:sz w:val="18"/>
              </w:rPr>
              <w:t>115200 bps</w:t>
            </w:r>
          </w:p>
        </w:tc>
        <w:tc>
          <w:tcPr>
            <w:tcW w:w="3096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黑体" w:hAnsi="黑体"/>
                <w:b/>
                <w:sz w:val="18"/>
              </w:rPr>
            </w:pPr>
            <w:r>
              <w:rPr>
                <w:rFonts w:ascii="黑体" w:hAnsi="黑体" w:hint="eastAsia"/>
                <w:b/>
                <w:sz w:val="18"/>
              </w:rPr>
              <w:t>航向与角速度数据输入</w:t>
            </w:r>
          </w:p>
        </w:tc>
      </w:tr>
    </w:tbl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表</w:t>
      </w:r>
      <w:r>
        <w:rPr>
          <w:rFonts w:ascii="黑体" w:eastAsia="黑体" w:hAnsi="黑体"/>
          <w:b/>
          <w:sz w:val="24"/>
        </w:rPr>
        <w:t>2 控制系统关键参数</w:t>
      </w:r>
    </w:p>
    <w:p w:rsidR="0037313A" w:rsidRDefault="0037313A" w:rsidP="0037313A">
      <w:pPr>
        <w:spacing w:before="160" w:after="160"/>
        <w:jc w:val="center"/>
        <w:rPr>
          <w:rFonts w:ascii="宋体" w:hAnsi="宋体"/>
          <w:sz w:val="18"/>
        </w:rPr>
      </w:pPr>
      <w:r>
        <w:rPr>
          <w:rFonts w:ascii="宋体" w:hAnsi="宋体"/>
          <w:sz w:val="18"/>
        </w:rPr>
        <w:t>3. 系统软件设计分析</w:t>
      </w:r>
    </w:p>
    <w:p w:rsidR="0037313A" w:rsidRDefault="0037313A" w:rsidP="0037313A">
      <w:pPr>
        <w:spacing w:before="240" w:after="120"/>
        <w:jc w:val="left"/>
        <w:rPr>
          <w:rFonts w:ascii="黑体" w:eastAsia="黑体" w:hAnsi="黑体"/>
          <w:b/>
          <w:sz w:val="30"/>
        </w:rPr>
      </w:pPr>
      <w:r>
        <w:rPr>
          <w:rFonts w:ascii="黑体" w:eastAsia="黑体" w:hAnsi="黑体"/>
          <w:b/>
          <w:sz w:val="30"/>
        </w:rPr>
        <w:t>3.1 系统总体工作流程</w:t>
      </w:r>
    </w:p>
    <w:p w:rsidR="0037313A" w:rsidRDefault="0037313A" w:rsidP="0037313A">
      <w:pPr>
        <w:spacing w:before="160" w:after="8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上电后完成外设初始化、任务模式选择和传感器状态检查。定时中断中执行“编码器测速→</w:t>
      </w:r>
      <w:r>
        <w:rPr>
          <w:rFonts w:ascii="黑体" w:eastAsia="黑体" w:hAnsi="黑体"/>
          <w:b/>
          <w:sz w:val="24"/>
        </w:rPr>
        <w:t>JY62 数据更新→任务状态机→灰度巡线或航向直冲→目标轮速计算→PI 输出→PWM 刷新”流程；主循环负责 OLED 刷新、串口处理、按键及遥测显示。若 IMU 离线，系统不应将航向导航结果视作可用，应降级为循线调试或提示故障。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3.2 无标记场地的路段状态机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题目规定场地除两段半圆弧外不得设置额外标记，因此</w:t>
      </w:r>
      <w:r>
        <w:rPr>
          <w:rFonts w:ascii="黑体" w:eastAsia="黑体" w:hAnsi="黑体"/>
          <w:b/>
          <w:sz w:val="24"/>
        </w:rPr>
        <w:t xml:space="preserve"> A、B、C、D 不能通过十字黑线直接识别。软件将任务（3）及任务（4）分解为巡线 A→D、D 点切线对齐、D→B 对角线直冲、巡线 B→C、C 点对齐与前进、C→A 对角线直冲和回到 A 点后的航向恢复等状态。直冲段利用 JY62 的 yaw 与角速度构造 PD 航向保持，检测到黑线后连续确认重捕获，再切换回巡线状态。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2"/>
        <w:gridCol w:w="2322"/>
        <w:gridCol w:w="2322"/>
        <w:gridCol w:w="2322"/>
      </w:tblGrid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状态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输入依据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主要动作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退出条件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LINE_AD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灰度线位置、位姿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沿</w:t>
            </w:r>
            <w:r>
              <w:rPr>
                <w:rFonts w:ascii="宋体" w:hAnsi="宋体"/>
                <w:sz w:val="18"/>
              </w:rPr>
              <w:t xml:space="preserve"> A→D 巡线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丢线且接近</w:t>
            </w:r>
            <w:r>
              <w:rPr>
                <w:rFonts w:ascii="宋体" w:hAnsi="宋体"/>
                <w:sz w:val="18"/>
              </w:rPr>
              <w:t xml:space="preserve"> D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ALIGN_D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yaw、角速度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对齐</w:t>
            </w:r>
            <w:r>
              <w:rPr>
                <w:rFonts w:ascii="宋体" w:hAnsi="宋体"/>
                <w:sz w:val="18"/>
              </w:rPr>
              <w:t xml:space="preserve"> D 点切线及 D→B 航向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航向误差连续满足阈值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BRIDGE_D_TO_B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yaw、灰度重捕获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按目标航向直冲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重捕获黑线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LINE_BC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灰度线位置、位姿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沿</w:t>
            </w:r>
            <w:r>
              <w:rPr>
                <w:rFonts w:ascii="宋体" w:hAnsi="宋体"/>
                <w:sz w:val="18"/>
              </w:rPr>
              <w:t xml:space="preserve"> B→C 巡线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丢线且接近</w:t>
            </w:r>
            <w:r>
              <w:rPr>
                <w:rFonts w:ascii="宋体" w:hAnsi="宋体"/>
                <w:sz w:val="18"/>
              </w:rPr>
              <w:t xml:space="preserve"> C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BRIDGE_C_TO_A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yaw、灰度重捕获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按目标航向直冲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重捕获并接近</w:t>
            </w:r>
            <w:r>
              <w:rPr>
                <w:rFonts w:ascii="宋体" w:hAnsi="宋体"/>
                <w:sz w:val="18"/>
              </w:rPr>
              <w:t xml:space="preserve"> A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STOP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圈数计数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速度目标清零、声光提示</w:t>
            </w:r>
          </w:p>
        </w:tc>
        <w:tc>
          <w:tcPr>
            <w:tcW w:w="2322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任务结束</w:t>
            </w:r>
          </w:p>
        </w:tc>
      </w:tr>
    </w:tbl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表</w:t>
      </w:r>
      <w:r>
        <w:rPr>
          <w:rFonts w:ascii="宋体" w:hAnsi="宋体"/>
        </w:rPr>
        <w:t>3 T4 任务状态机的主要状态</w:t>
      </w:r>
    </w:p>
    <w:p w:rsidR="0037313A" w:rsidRDefault="0037313A" w:rsidP="0037313A">
      <w:pPr>
        <w:spacing w:before="160" w:after="160"/>
        <w:jc w:val="center"/>
        <w:rPr>
          <w:rFonts w:ascii="宋体" w:hAnsi="宋体"/>
          <w:sz w:val="18"/>
        </w:rPr>
      </w:pPr>
      <w:r>
        <w:rPr>
          <w:rFonts w:ascii="宋体" w:hAnsi="宋体"/>
          <w:sz w:val="18"/>
        </w:rPr>
        <w:t>3.3 关键模块程序设计</w:t>
      </w:r>
    </w:p>
    <w:p w:rsidR="0037313A" w:rsidRDefault="0037313A" w:rsidP="0037313A">
      <w:pPr>
        <w:spacing w:before="160" w:after="8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灰度模块以传感器横向位置为权重计算</w:t>
      </w:r>
      <w:r>
        <w:rPr>
          <w:rFonts w:ascii="黑体" w:eastAsia="黑体" w:hAnsi="黑体"/>
          <w:b/>
          <w:sz w:val="24"/>
        </w:rPr>
        <w:t xml:space="preserve"> Gray_Line_Pos_mm，并根据偏差绝对值及黑线数量选择直线、中速或弯道速度。编码器模块完成脉冲计数、速度换算和累计里程；JY62 模块校验帧头与校验和，维护在线超时状态；任务模块统一配置任务（1）至任务（4）的目标圈数与路线。关键接口包括 Gray_Mode()、Get_Target_Encoder()、Incremental_PI_Left()、Incremental_PI_Right()、JY62_GetData() 与 Gray_TaskTick()。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3.4 可靠性处理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为抑制单次噪声触发，航向对齐采用连续稳定周期确认；黑线重捕获也采用连续检测计数。对角线直冲设置最大距离与对齐超时保护，避免长期失线。到达已知点后调用位姿快照，将累计积分结果修正为场地坐标，从而降低多圈运行中的漂移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4. 竞赛工作环境条件</w:t>
      </w:r>
    </w:p>
    <w:p w:rsidR="0037313A" w:rsidRDefault="0037313A" w:rsidP="0037313A">
      <w:pPr>
        <w:spacing w:before="240" w:after="120"/>
        <w:ind w:firstLine="420"/>
        <w:jc w:val="left"/>
        <w:rPr>
          <w:rFonts w:ascii="黑体" w:eastAsia="黑体" w:hAnsi="黑体"/>
          <w:b/>
          <w:sz w:val="30"/>
        </w:rPr>
      </w:pPr>
      <w:r>
        <w:rPr>
          <w:rFonts w:ascii="黑体" w:eastAsia="黑体" w:hAnsi="黑体"/>
          <w:b/>
          <w:sz w:val="30"/>
        </w:rPr>
        <w:t>4.1 软件环境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嵌入式程序采用</w:t>
      </w:r>
      <w:r>
        <w:rPr>
          <w:rFonts w:ascii="黑体" w:eastAsia="黑体" w:hAnsi="黑体"/>
          <w:b/>
          <w:sz w:val="24"/>
        </w:rPr>
        <w:t xml:space="preserve"> Keil uVision5 工程进行编译与下载，目标工程为 MSPM0G3507_Project；外设配置由 TI SysConfig 生成。调试阶段可使用串口助手、VOFA+ 或 DataScope 观察灰度位置、轮速、航向误差、状态编号和圈数。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4.2 硬件平台与场地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硬件平台包括</w:t>
      </w:r>
      <w:r>
        <w:rPr>
          <w:rFonts w:ascii="黑体" w:eastAsia="黑体" w:hAnsi="黑体"/>
          <w:b/>
          <w:sz w:val="24"/>
        </w:rPr>
        <w:t xml:space="preserve"> MSPM0G3507 控制板、TB6612 电机驱动、差速底盘、双路编码器、8 路灰度模块、JY62、OLED、LED、蜂鸣器和车载电池。测试场地按题目制作，面积不小于 220 cm×120 cm，半圆弧半径 40 cm、线宽约 1.8 cm，场地上不得添加用于辅助导航的标记。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4.3 调试条件与安全事项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先在架空状态确认左右轮方向、</w:t>
      </w:r>
      <w:r>
        <w:rPr>
          <w:rFonts w:ascii="黑体" w:eastAsia="黑体" w:hAnsi="黑体"/>
          <w:b/>
          <w:sz w:val="24"/>
        </w:rPr>
        <w:t>PWM 极性、编码器计数符号和急停逻辑，再在低速下完成灰度阈值、传感器安装位置与纯追踪增益整定。电机电源应满足峰值电流需求；调试期间避免车轮被障碍物卡死，并在改动供电或接线后重新验证共地与极性。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5. 作品成效总结分析</w:t>
      </w:r>
    </w:p>
    <w:p w:rsidR="0037313A" w:rsidRDefault="0037313A" w:rsidP="0037313A">
      <w:pPr>
        <w:spacing w:before="240" w:after="120"/>
        <w:ind w:firstLine="420"/>
        <w:jc w:val="left"/>
        <w:rPr>
          <w:rFonts w:ascii="黑体" w:eastAsia="黑体" w:hAnsi="黑体"/>
          <w:b/>
          <w:sz w:val="30"/>
        </w:rPr>
      </w:pPr>
      <w:r>
        <w:rPr>
          <w:rFonts w:ascii="黑体" w:eastAsia="黑体" w:hAnsi="黑体"/>
          <w:b/>
          <w:sz w:val="30"/>
        </w:rPr>
        <w:t>5.1 测试方案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按由简到难的顺序验证：首先进行</w:t>
      </w:r>
      <w:r>
        <w:rPr>
          <w:rFonts w:ascii="黑体" w:eastAsia="黑体" w:hAnsi="黑体"/>
          <w:b/>
          <w:sz w:val="24"/>
        </w:rPr>
        <w:t xml:space="preserve"> A→B 单弧线测试，确认巡线、端点判断与停车；其次完成任务（2）单圈，检查四段衔接与声光提示；再完成任务（3）逆向路线，检查对角线直冲、航向对齐和重捕获；最后进行任务（4）四圈连续运行，统计总用时、单圈波动、成功率、停车误差和失线恢复次数。每组条件至少重复 3 次，并记录电池电压和场地状态。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548"/>
        <w:gridCol w:w="1548"/>
        <w:gridCol w:w="1548"/>
        <w:gridCol w:w="1548"/>
        <w:gridCol w:w="1548"/>
      </w:tblGrid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测试项目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评价指标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第</w:t>
            </w:r>
            <w:r w:rsidRPr="0037313A">
              <w:rPr>
                <w:rFonts w:ascii="宋体" w:hAnsi="宋体"/>
                <w:b/>
                <w:sz w:val="18"/>
              </w:rPr>
              <w:t>1次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第</w:t>
            </w:r>
            <w:r w:rsidRPr="0037313A">
              <w:rPr>
                <w:rFonts w:ascii="宋体" w:hAnsi="宋体"/>
                <w:b/>
                <w:sz w:val="18"/>
              </w:rPr>
              <w:t>2次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第</w:t>
            </w:r>
            <w:r w:rsidRPr="0037313A">
              <w:rPr>
                <w:rFonts w:ascii="宋体" w:hAnsi="宋体"/>
                <w:b/>
                <w:sz w:val="18"/>
              </w:rPr>
              <w:t>3次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b/>
                <w:sz w:val="18"/>
              </w:rPr>
            </w:pPr>
            <w:r w:rsidRPr="0037313A">
              <w:rPr>
                <w:rFonts w:ascii="宋体" w:hAnsi="宋体" w:hint="eastAsia"/>
                <w:b/>
                <w:sz w:val="18"/>
              </w:rPr>
              <w:t>结论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任务（</w:t>
            </w:r>
            <w:r>
              <w:rPr>
                <w:rFonts w:ascii="宋体" w:hAnsi="宋体"/>
                <w:sz w:val="18"/>
              </w:rPr>
              <w:t>1）A→B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用时≤</w:t>
            </w:r>
            <w:r>
              <w:rPr>
                <w:rFonts w:ascii="宋体" w:hAnsi="宋体"/>
                <w:sz w:val="18"/>
              </w:rPr>
              <w:t>15 s、停车与声光提示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待判定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任务（</w:t>
            </w:r>
            <w:r>
              <w:rPr>
                <w:rFonts w:ascii="宋体" w:hAnsi="宋体"/>
                <w:sz w:val="18"/>
              </w:rPr>
              <w:t>2）单圈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用时≤</w:t>
            </w:r>
            <w:r>
              <w:rPr>
                <w:rFonts w:ascii="宋体" w:hAnsi="宋体"/>
                <w:sz w:val="18"/>
              </w:rPr>
              <w:t>30 s、各点提示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待判定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任务（</w:t>
            </w:r>
            <w:r>
              <w:rPr>
                <w:rFonts w:ascii="宋体" w:hAnsi="宋体"/>
                <w:sz w:val="18"/>
              </w:rPr>
              <w:t>3）单圈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用时≤</w:t>
            </w:r>
            <w:r>
              <w:rPr>
                <w:rFonts w:ascii="宋体" w:hAnsi="宋体"/>
                <w:sz w:val="18"/>
              </w:rPr>
              <w:t>40 s、路径正确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待判定</w:t>
            </w:r>
          </w:p>
        </w:tc>
      </w:tr>
      <w:tr w:rsidR="0037313A" w:rsidRPr="0037313A" w:rsidTr="0037313A">
        <w:tblPrEx>
          <w:tblCellMar>
            <w:top w:w="0" w:type="dxa"/>
            <w:bottom w:w="0" w:type="dxa"/>
          </w:tblCellMar>
        </w:tblPrEx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任务（</w:t>
            </w:r>
            <w:r>
              <w:rPr>
                <w:rFonts w:ascii="宋体" w:hAnsi="宋体"/>
                <w:sz w:val="18"/>
              </w:rPr>
              <w:t>4）四圈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总用时、连续完成率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待实测</w:t>
            </w:r>
          </w:p>
        </w:tc>
        <w:tc>
          <w:tcPr>
            <w:tcW w:w="1548" w:type="dxa"/>
            <w:shd w:val="clear" w:color="auto" w:fill="auto"/>
          </w:tcPr>
          <w:p w:rsidR="0037313A" w:rsidRPr="0037313A" w:rsidRDefault="0037313A" w:rsidP="0037313A">
            <w:pPr>
              <w:spacing w:before="16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待判定</w:t>
            </w:r>
          </w:p>
        </w:tc>
      </w:tr>
    </w:tbl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表</w:t>
      </w:r>
      <w:r>
        <w:rPr>
          <w:rFonts w:ascii="宋体" w:hAnsi="宋体"/>
        </w:rPr>
        <w:t>4 实车测试记录表（须由调试数据补录）</w:t>
      </w:r>
    </w:p>
    <w:p w:rsidR="0037313A" w:rsidRDefault="0037313A" w:rsidP="0037313A">
      <w:pPr>
        <w:spacing w:before="160" w:after="160"/>
        <w:jc w:val="center"/>
        <w:rPr>
          <w:rFonts w:ascii="宋体" w:hAnsi="宋体"/>
          <w:sz w:val="18"/>
        </w:rPr>
      </w:pPr>
      <w:r>
        <w:rPr>
          <w:rFonts w:ascii="宋体" w:hAnsi="宋体"/>
          <w:sz w:val="18"/>
        </w:rPr>
        <w:t>5.2 成效与不足分析</w:t>
      </w:r>
    </w:p>
    <w:p w:rsidR="0037313A" w:rsidRDefault="0037313A" w:rsidP="0037313A">
      <w:pPr>
        <w:spacing w:before="160" w:after="8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从软件实现角度看，系统已将基础灰度巡线、编码器速度闭环、</w:t>
      </w:r>
      <w:r>
        <w:rPr>
          <w:rFonts w:ascii="黑体" w:eastAsia="黑体" w:hAnsi="黑体"/>
          <w:b/>
          <w:sz w:val="24"/>
        </w:rPr>
        <w:t>IMU 航向保持与 T4 状态机集成在统一控制框架中，能够针对无额外标记的场地建立可解释的过点与重捕获逻辑。该方案的优势是计算量低、模块边界清晰，并允许按任务切换目标圈数。其局限在于灰度特征会受传感器高度、环境光和线宽影响，里程计受轮胎打滑影响，IMU 存在零偏与航向漂移；因此最终性能必须以第五章实测数据为准，并根据实车日志迭代阈值与增益。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5.3 创新特色与展望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本设计以“循线优先、惯导补偿、已知点校正”的分层方式完成复杂路段控制：正常情况下由低成本灰度阵列完成闭环循迹，失线或跨越路段由</w:t>
      </w:r>
      <w:r>
        <w:rPr>
          <w:rFonts w:ascii="黑体" w:eastAsia="黑体" w:hAnsi="黑体"/>
          <w:b/>
          <w:sz w:val="24"/>
        </w:rPr>
        <w:t xml:space="preserve"> IMU 保持航向，重回已知点后以位姿快照抑制误差累积。后续可基于黑匣子遥测记录分析误差分布，采用自适应速度规划、灰度阈值在线校准和航向零偏补偿，提高不同场地和电池状态下的重复性。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6. 参考资料及文献</w:t>
      </w:r>
    </w:p>
    <w:p w:rsidR="0037313A" w:rsidRDefault="0037313A" w:rsidP="0037313A">
      <w:pPr>
        <w:spacing w:before="240" w:after="120"/>
        <w:ind w:firstLine="420"/>
        <w:jc w:val="left"/>
        <w:rPr>
          <w:rFonts w:ascii="黑体" w:eastAsia="黑体" w:hAnsi="黑体"/>
          <w:b/>
          <w:sz w:val="30"/>
        </w:rPr>
      </w:pPr>
      <w:r>
        <w:rPr>
          <w:rFonts w:ascii="黑体" w:eastAsia="黑体" w:hAnsi="黑体"/>
          <w:b/>
          <w:sz w:val="30"/>
        </w:rPr>
        <w:t>[1] 2024年全国大学生电子设计竞赛江苏赛区（TI杯）自动行驶小车（H题）试题。</w:t>
      </w:r>
    </w:p>
    <w:p w:rsidR="0037313A" w:rsidRDefault="0037313A" w:rsidP="0037313A">
      <w:pPr>
        <w:spacing w:before="240" w:after="120"/>
        <w:jc w:val="left"/>
        <w:rPr>
          <w:rFonts w:ascii="宋体" w:hAnsi="宋体"/>
        </w:rPr>
      </w:pPr>
      <w:r>
        <w:rPr>
          <w:rFonts w:ascii="宋体" w:hAnsi="宋体"/>
        </w:rPr>
        <w:t>[2] 项目资料：H题路线分解与代码适配，docs_2024/H题路线分解.md。</w:t>
      </w:r>
    </w:p>
    <w:p w:rsidR="0037313A" w:rsidRDefault="0037313A" w:rsidP="0037313A">
      <w:pPr>
        <w:spacing w:before="240" w:after="120"/>
        <w:jc w:val="left"/>
        <w:rPr>
          <w:rFonts w:ascii="宋体" w:hAnsi="宋体"/>
        </w:rPr>
      </w:pPr>
      <w:r>
        <w:rPr>
          <w:rFonts w:ascii="宋体" w:hAnsi="宋体"/>
        </w:rPr>
        <w:t>[3] 项目资料：H题核心算法详解，docs_2024/H题算法详解.md。</w:t>
      </w:r>
    </w:p>
    <w:p w:rsidR="0037313A" w:rsidRDefault="0037313A" w:rsidP="0037313A">
      <w:pPr>
        <w:spacing w:before="240" w:after="120"/>
        <w:jc w:val="left"/>
        <w:rPr>
          <w:rFonts w:ascii="宋体" w:hAnsi="宋体"/>
        </w:rPr>
      </w:pPr>
      <w:r>
        <w:rPr>
          <w:rFonts w:ascii="宋体" w:hAnsi="宋体"/>
        </w:rPr>
        <w:t xml:space="preserve">[4] Texas Instruments. MSPM0G3507 Microcontrollers Technical Reference Manual. </w:t>
      </w:r>
    </w:p>
    <w:p w:rsidR="0037313A" w:rsidRDefault="0037313A" w:rsidP="0037313A">
      <w:pPr>
        <w:spacing w:before="240" w:after="120"/>
        <w:jc w:val="left"/>
        <w:rPr>
          <w:rFonts w:ascii="宋体" w:hAnsi="宋体"/>
        </w:rPr>
      </w:pPr>
      <w:r>
        <w:rPr>
          <w:rFonts w:ascii="宋体" w:hAnsi="宋体"/>
        </w:rPr>
        <w:t>[5] JY62 使用说明书：串口姿态数据帧与角速度数据格式。</w:t>
      </w:r>
    </w:p>
    <w:p w:rsidR="0037313A" w:rsidRDefault="0037313A" w:rsidP="0037313A">
      <w:pPr>
        <w:spacing w:before="240" w:after="120"/>
        <w:jc w:val="left"/>
        <w:rPr>
          <w:rFonts w:ascii="宋体" w:hAnsi="宋体"/>
        </w:rPr>
      </w:pPr>
      <w:r>
        <w:rPr>
          <w:rFonts w:ascii="宋体" w:hAnsi="宋体"/>
        </w:rPr>
        <w:t>7. 附件材料</w:t>
      </w:r>
    </w:p>
    <w:p w:rsidR="0037313A" w:rsidRDefault="0037313A" w:rsidP="0037313A">
      <w:pPr>
        <w:spacing w:before="240" w:after="120"/>
        <w:jc w:val="left"/>
        <w:rPr>
          <w:rFonts w:ascii="黑体" w:eastAsia="黑体" w:hAnsi="黑体"/>
          <w:b/>
          <w:sz w:val="30"/>
        </w:rPr>
      </w:pPr>
      <w:r>
        <w:rPr>
          <w:rFonts w:ascii="黑体" w:eastAsia="黑体" w:hAnsi="黑体"/>
          <w:b/>
          <w:sz w:val="30"/>
        </w:rPr>
        <w:t>7.1 工程文件与关键源代码</w:t>
      </w:r>
    </w:p>
    <w:p w:rsidR="0037313A" w:rsidRDefault="0037313A" w:rsidP="0037313A">
      <w:pPr>
        <w:spacing w:before="160" w:after="8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工程文件位于</w:t>
      </w:r>
      <w:r>
        <w:rPr>
          <w:rFonts w:ascii="黑体" w:eastAsia="黑体" w:hAnsi="黑体"/>
          <w:b/>
          <w:sz w:val="24"/>
        </w:rPr>
        <w:t xml:space="preserve"> firmware/WHEELTEC_C07A_CAR_JY62_GapBridge/。其中 Control/control.c 实现 5 ms 控制中断、灰度循迹、T4 位姿导航与速度闭环；Hardware/jy62.c 实现姿态数据帧解析；Hardware/motor.c、encoder.c 与 CCD.c 分别实现电机、编码器和灰度外设驱动。</w:t>
      </w:r>
    </w:p>
    <w:p w:rsidR="0037313A" w:rsidRDefault="0037313A" w:rsidP="0037313A">
      <w:pPr>
        <w:spacing w:before="160" w:after="120"/>
        <w:ind w:firstLine="420"/>
        <w:jc w:val="left"/>
        <w:rPr>
          <w:rFonts w:ascii="宋体" w:hAnsi="宋体"/>
        </w:rPr>
      </w:pPr>
      <w:r>
        <w:rPr>
          <w:rFonts w:ascii="宋体" w:hAnsi="宋体"/>
        </w:rPr>
        <w:t>7.2 最终提交前检查清单</w:t>
      </w:r>
    </w:p>
    <w:p w:rsidR="0037313A" w:rsidRDefault="0037313A" w:rsidP="0037313A">
      <w:pPr>
        <w:spacing w:before="160" w:after="80"/>
        <w:ind w:firstLine="420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（</w:t>
      </w:r>
      <w:r>
        <w:rPr>
          <w:rFonts w:ascii="黑体" w:eastAsia="黑体" w:hAnsi="黑体"/>
          <w:b/>
          <w:sz w:val="24"/>
        </w:rPr>
        <w:t xml:space="preserve"> ）核对 MCU 型号、车体尺寸、前进限制和无摄像头要求。</w:t>
      </w:r>
    </w:p>
    <w:p w:rsidR="0037313A" w:rsidRDefault="0037313A" w:rsidP="0037313A">
      <w:pPr>
        <w:spacing w:before="160" w:after="120"/>
        <w:jc w:val="left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 xml:space="preserve"> ）补录全部实测数据、测试视频编号及异常现象。</w:t>
      </w:r>
    </w:p>
    <w:p w:rsidR="0037313A" w:rsidRDefault="0037313A" w:rsidP="0037313A">
      <w:pPr>
        <w:spacing w:before="160" w:after="120"/>
        <w:jc w:val="left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 xml:space="preserve"> ）核验声光提示、最终停车位置及连续四圈完成情况。</w:t>
      </w:r>
    </w:p>
    <w:p w:rsidR="0037313A" w:rsidRDefault="0037313A" w:rsidP="0037313A">
      <w:pPr>
        <w:spacing w:before="160" w:after="120"/>
        <w:jc w:val="left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 xml:space="preserve"> ）复查电源容量、接线可靠性和现场光照下的传感器阈值。</w:t>
      </w:r>
    </w:p>
    <w:p w:rsidR="001309F3" w:rsidRPr="0037313A" w:rsidRDefault="001309F3" w:rsidP="0037313A">
      <w:pPr>
        <w:spacing w:before="160" w:after="120"/>
        <w:jc w:val="left"/>
        <w:rPr>
          <w:rFonts w:ascii="宋体" w:hAnsi="宋体"/>
        </w:rPr>
      </w:pPr>
    </w:p>
    <w:sectPr w:rsidR="001309F3" w:rsidRPr="0037313A" w:rsidSect="0037313A">
      <w:footerReference w:type="default" r:id="rId9"/>
      <w:pgSz w:w="11906" w:h="16838"/>
      <w:pgMar w:top="1417" w:right="1417" w:bottom="1417" w:left="1417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54BF" w:rsidRDefault="008A54BF">
      <w:r>
        <w:separator/>
      </w:r>
    </w:p>
  </w:endnote>
  <w:endnote w:type="continuationSeparator" w:id="0">
    <w:p w:rsidR="008A54BF" w:rsidRDefault="008A5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9F3" w:rsidRDefault="0037313A">
    <w:pPr>
      <w:pStyle w:val="a7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5" o:spid="_x0000_s2053" type="#_x0000_t202" style="position:absolute;margin-left:185.6pt;margin-top:0;width:2in;height:2in;z-index:251657728;mso-wrap-style:none;mso-position-horizontal:right;mso-position-horizontal-relative:margin" filled="f" stroked="f" strokeweight="1.25pt">
          <v:fill o:detectmouseclick="t"/>
          <v:textbox style="mso-fit-shape-to-text:t" inset="0,0,0,0">
            <w:txbxContent>
              <w:p w:rsidR="001309F3" w:rsidRDefault="001309F3">
                <w:pPr>
                  <w:pStyle w:val="a7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 w:rsidR="008B7907">
                  <w:rPr>
                    <w:noProof/>
                  </w:rPr>
                  <w:t>1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54BF" w:rsidRDefault="008A54BF">
      <w:r>
        <w:separator/>
      </w:r>
    </w:p>
  </w:footnote>
  <w:footnote w:type="continuationSeparator" w:id="0">
    <w:p w:rsidR="008A54BF" w:rsidRDefault="008A5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17E2E47"/>
    <w:multiLevelType w:val="singleLevel"/>
    <w:tmpl w:val="917E2E47"/>
    <w:lvl w:ilvl="0">
      <w:start w:val="1"/>
      <w:numFmt w:val="decimal"/>
      <w:suff w:val="nothing"/>
      <w:lvlText w:val="（%1）"/>
      <w:lvlJc w:val="left"/>
      <w:pPr>
        <w:ind w:left="465" w:firstLine="0"/>
      </w:pPr>
    </w:lvl>
  </w:abstractNum>
  <w:abstractNum w:abstractNumId="1" w15:restartNumberingAfterBreak="0">
    <w:nsid w:val="2363577C"/>
    <w:multiLevelType w:val="multilevel"/>
    <w:tmpl w:val="2363577C"/>
    <w:lvl w:ilvl="0">
      <w:start w:val="1"/>
      <w:numFmt w:val="decimal"/>
      <w:lvlText w:val="%1、"/>
      <w:lvlJc w:val="left"/>
      <w:pPr>
        <w:ind w:left="5888" w:hanging="360"/>
      </w:pPr>
      <w:rPr>
        <w:rFonts w:hint="default"/>
        <w:color w:val="000000"/>
      </w:rPr>
    </w:lvl>
    <w:lvl w:ilvl="1">
      <w:start w:val="1"/>
      <w:numFmt w:val="lowerLetter"/>
      <w:lvlText w:val="%2)"/>
      <w:lvlJc w:val="left"/>
      <w:pPr>
        <w:ind w:left="6368" w:hanging="420"/>
      </w:pPr>
    </w:lvl>
    <w:lvl w:ilvl="2">
      <w:start w:val="1"/>
      <w:numFmt w:val="lowerRoman"/>
      <w:lvlText w:val="%3."/>
      <w:lvlJc w:val="right"/>
      <w:pPr>
        <w:ind w:left="6788" w:hanging="420"/>
      </w:pPr>
    </w:lvl>
    <w:lvl w:ilvl="3">
      <w:start w:val="1"/>
      <w:numFmt w:val="decimal"/>
      <w:lvlText w:val="%4."/>
      <w:lvlJc w:val="left"/>
      <w:pPr>
        <w:ind w:left="7208" w:hanging="420"/>
      </w:pPr>
    </w:lvl>
    <w:lvl w:ilvl="4">
      <w:start w:val="1"/>
      <w:numFmt w:val="lowerLetter"/>
      <w:lvlText w:val="%5)"/>
      <w:lvlJc w:val="left"/>
      <w:pPr>
        <w:ind w:left="7628" w:hanging="420"/>
      </w:pPr>
    </w:lvl>
    <w:lvl w:ilvl="5">
      <w:start w:val="1"/>
      <w:numFmt w:val="lowerRoman"/>
      <w:lvlText w:val="%6."/>
      <w:lvlJc w:val="right"/>
      <w:pPr>
        <w:ind w:left="8048" w:hanging="420"/>
      </w:pPr>
    </w:lvl>
    <w:lvl w:ilvl="6">
      <w:start w:val="1"/>
      <w:numFmt w:val="decimal"/>
      <w:lvlText w:val="%7."/>
      <w:lvlJc w:val="left"/>
      <w:pPr>
        <w:ind w:left="8468" w:hanging="420"/>
      </w:pPr>
    </w:lvl>
    <w:lvl w:ilvl="7">
      <w:start w:val="1"/>
      <w:numFmt w:val="lowerLetter"/>
      <w:lvlText w:val="%8)"/>
      <w:lvlJc w:val="left"/>
      <w:pPr>
        <w:ind w:left="8888" w:hanging="420"/>
      </w:pPr>
    </w:lvl>
    <w:lvl w:ilvl="8">
      <w:start w:val="1"/>
      <w:numFmt w:val="lowerRoman"/>
      <w:lvlText w:val="%9."/>
      <w:lvlJc w:val="right"/>
      <w:pPr>
        <w:ind w:left="9308" w:hanging="420"/>
      </w:pPr>
    </w:lvl>
  </w:abstractNum>
  <w:abstractNum w:abstractNumId="2" w15:restartNumberingAfterBreak="0">
    <w:nsid w:val="47895DF6"/>
    <w:multiLevelType w:val="singleLevel"/>
    <w:tmpl w:val="47895DF6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49226227"/>
    <w:multiLevelType w:val="multilevel"/>
    <w:tmpl w:val="C49622F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207807A"/>
    <w:multiLevelType w:val="singleLevel"/>
    <w:tmpl w:val="6207807A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78AA4FCD"/>
    <w:multiLevelType w:val="singleLevel"/>
    <w:tmpl w:val="78AA4FCD"/>
    <w:lvl w:ilvl="0">
      <w:start w:val="2"/>
      <w:numFmt w:val="decimal"/>
      <w:lvlText w:val="%1."/>
      <w:lvlJc w:val="left"/>
      <w:pPr>
        <w:tabs>
          <w:tab w:val="num" w:pos="312"/>
        </w:tabs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2055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60210"/>
    <w:rsid w:val="0008194E"/>
    <w:rsid w:val="00090F72"/>
    <w:rsid w:val="000A7E59"/>
    <w:rsid w:val="000D4825"/>
    <w:rsid w:val="000E1F7F"/>
    <w:rsid w:val="000F23B5"/>
    <w:rsid w:val="00103885"/>
    <w:rsid w:val="00106206"/>
    <w:rsid w:val="00111CC6"/>
    <w:rsid w:val="001309F3"/>
    <w:rsid w:val="00172A27"/>
    <w:rsid w:val="001C4DF0"/>
    <w:rsid w:val="00202FAF"/>
    <w:rsid w:val="00251363"/>
    <w:rsid w:val="00255BD3"/>
    <w:rsid w:val="0028528F"/>
    <w:rsid w:val="00294053"/>
    <w:rsid w:val="002A6775"/>
    <w:rsid w:val="002A678D"/>
    <w:rsid w:val="002B3E7C"/>
    <w:rsid w:val="002C2391"/>
    <w:rsid w:val="002D01EA"/>
    <w:rsid w:val="002D32D8"/>
    <w:rsid w:val="003159C3"/>
    <w:rsid w:val="0035099E"/>
    <w:rsid w:val="0036518E"/>
    <w:rsid w:val="0037313A"/>
    <w:rsid w:val="003A0F71"/>
    <w:rsid w:val="003E5CBA"/>
    <w:rsid w:val="00403C2F"/>
    <w:rsid w:val="00456F17"/>
    <w:rsid w:val="00525453"/>
    <w:rsid w:val="005410A4"/>
    <w:rsid w:val="00587CE6"/>
    <w:rsid w:val="00596F6D"/>
    <w:rsid w:val="00636A81"/>
    <w:rsid w:val="00645802"/>
    <w:rsid w:val="006530C3"/>
    <w:rsid w:val="00662836"/>
    <w:rsid w:val="006703E8"/>
    <w:rsid w:val="0068671E"/>
    <w:rsid w:val="006C3728"/>
    <w:rsid w:val="006C69A3"/>
    <w:rsid w:val="006D4E49"/>
    <w:rsid w:val="006E17AC"/>
    <w:rsid w:val="006E466B"/>
    <w:rsid w:val="006E63ED"/>
    <w:rsid w:val="00705621"/>
    <w:rsid w:val="00775CDA"/>
    <w:rsid w:val="00817B45"/>
    <w:rsid w:val="0083019E"/>
    <w:rsid w:val="008438B6"/>
    <w:rsid w:val="008602E9"/>
    <w:rsid w:val="00871F13"/>
    <w:rsid w:val="008A54BF"/>
    <w:rsid w:val="008B7907"/>
    <w:rsid w:val="00925ACC"/>
    <w:rsid w:val="009309F6"/>
    <w:rsid w:val="00953320"/>
    <w:rsid w:val="009551FF"/>
    <w:rsid w:val="00956155"/>
    <w:rsid w:val="00971DDF"/>
    <w:rsid w:val="0097301A"/>
    <w:rsid w:val="00A06289"/>
    <w:rsid w:val="00A14807"/>
    <w:rsid w:val="00A239A3"/>
    <w:rsid w:val="00A53A1F"/>
    <w:rsid w:val="00A72AD8"/>
    <w:rsid w:val="00A7500B"/>
    <w:rsid w:val="00A959C4"/>
    <w:rsid w:val="00AA20B6"/>
    <w:rsid w:val="00AD71C4"/>
    <w:rsid w:val="00B02D8C"/>
    <w:rsid w:val="00B94D9A"/>
    <w:rsid w:val="00BE4FBA"/>
    <w:rsid w:val="00BF3FEE"/>
    <w:rsid w:val="00BF41DD"/>
    <w:rsid w:val="00C0529E"/>
    <w:rsid w:val="00C73381"/>
    <w:rsid w:val="00CB0149"/>
    <w:rsid w:val="00D10479"/>
    <w:rsid w:val="00D31DFC"/>
    <w:rsid w:val="00D529E8"/>
    <w:rsid w:val="00D5663A"/>
    <w:rsid w:val="00D72458"/>
    <w:rsid w:val="00D750FC"/>
    <w:rsid w:val="00DF0E9C"/>
    <w:rsid w:val="00E74387"/>
    <w:rsid w:val="00E954E0"/>
    <w:rsid w:val="00EC5D47"/>
    <w:rsid w:val="00ED55EA"/>
    <w:rsid w:val="00EF1477"/>
    <w:rsid w:val="00F144B6"/>
    <w:rsid w:val="00F367E7"/>
    <w:rsid w:val="00F44D5A"/>
    <w:rsid w:val="00F478B9"/>
    <w:rsid w:val="00F67332"/>
    <w:rsid w:val="01C62C88"/>
    <w:rsid w:val="040013F5"/>
    <w:rsid w:val="04D0535A"/>
    <w:rsid w:val="04D22006"/>
    <w:rsid w:val="052F51BF"/>
    <w:rsid w:val="06E3105D"/>
    <w:rsid w:val="085753EF"/>
    <w:rsid w:val="09304847"/>
    <w:rsid w:val="0AC857FE"/>
    <w:rsid w:val="0DAB65C6"/>
    <w:rsid w:val="0DFB3B04"/>
    <w:rsid w:val="132E4142"/>
    <w:rsid w:val="133E0E60"/>
    <w:rsid w:val="15DC3747"/>
    <w:rsid w:val="16374D18"/>
    <w:rsid w:val="16EB5B33"/>
    <w:rsid w:val="18394839"/>
    <w:rsid w:val="1A4D76A7"/>
    <w:rsid w:val="1AF86B4B"/>
    <w:rsid w:val="1B7351F5"/>
    <w:rsid w:val="1BC641E6"/>
    <w:rsid w:val="1BFA2FC3"/>
    <w:rsid w:val="1C3F180B"/>
    <w:rsid w:val="1C582C00"/>
    <w:rsid w:val="1E801E55"/>
    <w:rsid w:val="1EBA23CA"/>
    <w:rsid w:val="20371FDB"/>
    <w:rsid w:val="221968AF"/>
    <w:rsid w:val="239B2731"/>
    <w:rsid w:val="24CC4D70"/>
    <w:rsid w:val="276E50E9"/>
    <w:rsid w:val="28B1282F"/>
    <w:rsid w:val="29AB6537"/>
    <w:rsid w:val="29FC1DD2"/>
    <w:rsid w:val="2B0E2410"/>
    <w:rsid w:val="2B8427D7"/>
    <w:rsid w:val="2BAE49F1"/>
    <w:rsid w:val="2BFA334D"/>
    <w:rsid w:val="31424814"/>
    <w:rsid w:val="333A105E"/>
    <w:rsid w:val="34860B8B"/>
    <w:rsid w:val="348F3AF0"/>
    <w:rsid w:val="356123EF"/>
    <w:rsid w:val="38572A3B"/>
    <w:rsid w:val="38A87CAD"/>
    <w:rsid w:val="3D112EC3"/>
    <w:rsid w:val="3E0E54E4"/>
    <w:rsid w:val="3E2D2B2D"/>
    <w:rsid w:val="3F223DC2"/>
    <w:rsid w:val="40823800"/>
    <w:rsid w:val="41384ED7"/>
    <w:rsid w:val="41D433D5"/>
    <w:rsid w:val="42F017E6"/>
    <w:rsid w:val="43BC5DDE"/>
    <w:rsid w:val="451B2686"/>
    <w:rsid w:val="45C105B9"/>
    <w:rsid w:val="45E25B6B"/>
    <w:rsid w:val="475F5112"/>
    <w:rsid w:val="47BF56C7"/>
    <w:rsid w:val="489B1D70"/>
    <w:rsid w:val="4A2509A2"/>
    <w:rsid w:val="4A9C7D10"/>
    <w:rsid w:val="4C0A70A4"/>
    <w:rsid w:val="4CC73450"/>
    <w:rsid w:val="4D33189C"/>
    <w:rsid w:val="4EA446A8"/>
    <w:rsid w:val="4ED138B2"/>
    <w:rsid w:val="4F4621F1"/>
    <w:rsid w:val="50522E12"/>
    <w:rsid w:val="50FA2366"/>
    <w:rsid w:val="51180ADA"/>
    <w:rsid w:val="512A5DEF"/>
    <w:rsid w:val="515F0A24"/>
    <w:rsid w:val="527162D6"/>
    <w:rsid w:val="54577FF4"/>
    <w:rsid w:val="55987BAC"/>
    <w:rsid w:val="55B66E0F"/>
    <w:rsid w:val="569B117A"/>
    <w:rsid w:val="57656754"/>
    <w:rsid w:val="5809474C"/>
    <w:rsid w:val="58202B9F"/>
    <w:rsid w:val="59312B34"/>
    <w:rsid w:val="5A215FA5"/>
    <w:rsid w:val="5A873DE6"/>
    <w:rsid w:val="5AA773CD"/>
    <w:rsid w:val="5AC0351D"/>
    <w:rsid w:val="5CFC1540"/>
    <w:rsid w:val="5E597AD8"/>
    <w:rsid w:val="5F621809"/>
    <w:rsid w:val="5FDD6FA2"/>
    <w:rsid w:val="60433D6C"/>
    <w:rsid w:val="6187342D"/>
    <w:rsid w:val="64587DBE"/>
    <w:rsid w:val="6A992AEB"/>
    <w:rsid w:val="6B4C2AF9"/>
    <w:rsid w:val="6BC96404"/>
    <w:rsid w:val="6C2318EB"/>
    <w:rsid w:val="6D703F16"/>
    <w:rsid w:val="6D712465"/>
    <w:rsid w:val="6DBB44F7"/>
    <w:rsid w:val="709049EC"/>
    <w:rsid w:val="75765C5C"/>
    <w:rsid w:val="758567BD"/>
    <w:rsid w:val="75ED5416"/>
    <w:rsid w:val="76115063"/>
    <w:rsid w:val="777F4629"/>
    <w:rsid w:val="778D184E"/>
    <w:rsid w:val="787E2404"/>
    <w:rsid w:val="79021841"/>
    <w:rsid w:val="7B1F77A7"/>
    <w:rsid w:val="7B775DE6"/>
    <w:rsid w:val="7DF63259"/>
    <w:rsid w:val="7F191813"/>
    <w:rsid w:val="7F943654"/>
    <w:rsid w:val="7FED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13FBD854-E2FF-4812-B0F0-F75AE60D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semiHidden/>
    <w:rPr>
      <w:kern w:val="2"/>
      <w:sz w:val="18"/>
      <w:szCs w:val="18"/>
    </w:rPr>
  </w:style>
  <w:style w:type="character" w:styleId="a5">
    <w:name w:val="Hyperlink"/>
    <w:uiPriority w:val="99"/>
    <w:unhideWhenUsed/>
    <w:rPr>
      <w:color w:val="0000FF"/>
      <w:u w:val="single"/>
    </w:rPr>
  </w:style>
  <w:style w:type="character" w:customStyle="1" w:styleId="a6">
    <w:name w:val="页脚 字符"/>
    <w:link w:val="a7"/>
    <w:uiPriority w:val="99"/>
    <w:semiHidden/>
    <w:rPr>
      <w:kern w:val="2"/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8">
    <w:name w:val="列出段落"/>
    <w:basedOn w:val="a"/>
    <w:pPr>
      <w:ind w:firstLineChars="200" w:firstLine="420"/>
    </w:pPr>
    <w:rPr>
      <w:rFonts w:cs="Calibri"/>
      <w:szCs w:val="21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table" w:styleId="aa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出段落1"/>
    <w:basedOn w:val="a"/>
    <w:rsid w:val="00525453"/>
    <w:pPr>
      <w:ind w:firstLineChars="200" w:firstLine="420"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1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E4133-C9E9-49CC-98CA-C4021A77A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860</Words>
  <Characters>4905</Characters>
  <Application>Microsoft Office Word</Application>
  <DocSecurity>0</DocSecurity>
  <PresentationFormat/>
  <Lines>40</Lines>
  <Paragraphs>11</Paragraphs>
  <Slides>0</Slides>
  <Notes>0</Notes>
  <HiddenSlides>0</HiddenSlides>
  <MMClips>0</MMClips>
  <ScaleCrop>false</ScaleCrop>
  <Manager/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2013年全国大学生电子设计竞赛优秀设计方案选编</dc:title>
  <dc:subject/>
  <dc:creator>堵国梁</dc:creator>
  <cp:keywords/>
  <dc:description/>
  <cp:lastModifiedBy>Mashed Potato</cp:lastModifiedBy>
  <cp:revision>3</cp:revision>
  <cp:lastPrinted>2014-05-05T05:42:00Z</cp:lastPrinted>
  <dcterms:created xsi:type="dcterms:W3CDTF">2026-07-20T14:50:00Z</dcterms:created>
  <dcterms:modified xsi:type="dcterms:W3CDTF">2026-07-20T14:50:00Z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