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3D7C" w14:textId="77777777" w:rsidR="001917B3" w:rsidRDefault="009077D6">
      <w:pPr>
        <w:spacing w:after="80"/>
        <w:jc w:val="center"/>
      </w:pPr>
      <w:r>
        <w:rPr>
          <w:b/>
        </w:rPr>
        <w:t>IUBAT School of Computer Science and Engineering</w:t>
      </w:r>
    </w:p>
    <w:p w14:paraId="44BE8A06" w14:textId="77777777" w:rsidR="001917B3" w:rsidRDefault="009077D6">
      <w:pPr>
        <w:spacing w:after="80"/>
        <w:jc w:val="center"/>
      </w:pPr>
      <w:r>
        <w:rPr>
          <w:b/>
        </w:rPr>
        <w:t>Department of Computer Science and Engineering</w:t>
      </w:r>
    </w:p>
    <w:p w14:paraId="5CC1E90F" w14:textId="77777777" w:rsidR="001917B3" w:rsidRDefault="009077D6">
      <w:pPr>
        <w:spacing w:after="80"/>
        <w:jc w:val="center"/>
      </w:pPr>
      <w:r>
        <w:rPr>
          <w:b/>
        </w:rPr>
        <w:t>Bachelor of Computer Science and Engineering (BCSE)</w:t>
      </w:r>
    </w:p>
    <w:p w14:paraId="1616DF56" w14:textId="77777777" w:rsidR="001917B3" w:rsidRDefault="009077D6">
      <w:pPr>
        <w:spacing w:after="80"/>
        <w:jc w:val="center"/>
      </w:pPr>
      <w:r>
        <w:rPr>
          <w:b/>
        </w:rPr>
        <w:t>Practicum along with</w:t>
      </w:r>
    </w:p>
    <w:p w14:paraId="06829587" w14:textId="77777777" w:rsidR="001917B3" w:rsidRDefault="009077D6">
      <w:pPr>
        <w:spacing w:after="80"/>
        <w:jc w:val="center"/>
      </w:pPr>
      <w:r>
        <w:rPr>
          <w:b/>
        </w:rPr>
        <w:t>Complex Engineering Problem (CEP) and Complex Engineering Activities (CEA)</w:t>
      </w:r>
    </w:p>
    <w:p w14:paraId="5AAF00C2" w14:textId="77777777" w:rsidR="001917B3" w:rsidRDefault="001917B3">
      <w:pPr>
        <w:spacing w:after="80"/>
      </w:pPr>
    </w:p>
    <w:p w14:paraId="06BCEC78" w14:textId="77777777" w:rsidR="001917B3" w:rsidRPr="00D74288" w:rsidRDefault="009077D6">
      <w:pPr>
        <w:pStyle w:val="ListBullet"/>
        <w:spacing w:before="120" w:after="120"/>
      </w:pPr>
      <w:r>
        <w:t xml:space="preserve">Course Code and Title: </w:t>
      </w:r>
      <w:r w:rsidRPr="00D74288">
        <w:t>CSC 490: Practicum</w:t>
      </w:r>
    </w:p>
    <w:p w14:paraId="18C870D7" w14:textId="77777777" w:rsidR="001917B3" w:rsidRDefault="009077D6">
      <w:pPr>
        <w:pStyle w:val="ListBullet"/>
        <w:spacing w:before="120" w:after="120"/>
      </w:pPr>
      <w:r>
        <w:t xml:space="preserve">Title of the Practicum: </w:t>
      </w:r>
      <w:r w:rsidRPr="00D74288">
        <w:t>Human Resource Management (HRM) System – a multi-company web platform for attendance, leave, payroll and an AI HR assistant</w:t>
      </w:r>
    </w:p>
    <w:p w14:paraId="5C9DB940" w14:textId="0DFDE0DE" w:rsidR="001917B3" w:rsidRDefault="009077D6">
      <w:pPr>
        <w:pStyle w:val="ListBullet"/>
        <w:spacing w:before="120" w:after="120"/>
      </w:pPr>
      <w:r>
        <w:t xml:space="preserve">Organization Name: </w:t>
      </w:r>
      <w:r w:rsidR="00D74288">
        <w:t>AKIJ iBOS Ltd.</w:t>
      </w:r>
    </w:p>
    <w:p w14:paraId="29D8C197" w14:textId="67E3184B" w:rsidR="001917B3" w:rsidRDefault="009077D6">
      <w:pPr>
        <w:pStyle w:val="ListBullet"/>
        <w:spacing w:before="120" w:after="120"/>
      </w:pPr>
      <w:r>
        <w:t xml:space="preserve">Semester: </w:t>
      </w:r>
      <w:r w:rsidR="00D74288">
        <w:t>Summer 2026</w:t>
      </w:r>
    </w:p>
    <w:p w14:paraId="7B878290" w14:textId="25EB10FB" w:rsidR="001917B3" w:rsidRDefault="009077D6">
      <w:pPr>
        <w:pStyle w:val="ListBullet"/>
        <w:spacing w:before="120" w:after="120"/>
      </w:pPr>
      <w:r>
        <w:t xml:space="preserve">Student Name: </w:t>
      </w:r>
      <w:r w:rsidR="00D74288">
        <w:t>Mashrafe Uddin Tarafder</w:t>
      </w:r>
    </w:p>
    <w:p w14:paraId="18A8BDCF" w14:textId="1647996D" w:rsidR="001917B3" w:rsidRPr="00D74288" w:rsidRDefault="009077D6">
      <w:pPr>
        <w:pStyle w:val="ListBullet"/>
        <w:spacing w:before="120" w:after="120"/>
      </w:pPr>
      <w:r>
        <w:t>Student ID</w:t>
      </w:r>
      <w:r w:rsidRPr="00D74288">
        <w:t xml:space="preserve">: </w:t>
      </w:r>
      <w:r w:rsidR="00D74288">
        <w:t>22303075</w:t>
      </w:r>
    </w:p>
    <w:p w14:paraId="1C866C78" w14:textId="0342EE15" w:rsidR="001917B3" w:rsidRDefault="009077D6">
      <w:pPr>
        <w:pStyle w:val="ListBullet"/>
        <w:spacing w:before="120" w:after="120"/>
      </w:pPr>
      <w:r>
        <w:t xml:space="preserve">Supervisor (Faculty) Name: </w:t>
      </w:r>
      <w:r w:rsidR="00D74288">
        <w:t>Rubayea Ferdows</w:t>
      </w:r>
    </w:p>
    <w:p w14:paraId="6BFBE8E5" w14:textId="77777777" w:rsidR="001917B3" w:rsidRDefault="009077D6">
      <w:pPr>
        <w:pStyle w:val="ListBullet"/>
        <w:spacing w:before="160" w:after="120"/>
      </w:pPr>
      <w:r>
        <w:t>How the Knowledge Profile K’s (K1, K2, and K7) are addressed (which are not part of P’s)?</w:t>
      </w:r>
    </w:p>
    <w:p w14:paraId="56820284" w14:textId="77777777" w:rsidR="00D74288" w:rsidRDefault="00D74288" w:rsidP="00D74288">
      <w:pPr>
        <w:pStyle w:val="ListBullet"/>
        <w:numPr>
          <w:ilvl w:val="0"/>
          <w:numId w:val="0"/>
        </w:numPr>
        <w:spacing w:before="160" w:after="120"/>
      </w:pPr>
    </w:p>
    <w:p w14:paraId="33652D53" w14:textId="77777777" w:rsidR="00D74288" w:rsidRDefault="00D74288" w:rsidP="00D74288">
      <w:pPr>
        <w:pStyle w:val="ListBullet"/>
        <w:numPr>
          <w:ilvl w:val="0"/>
          <w:numId w:val="0"/>
        </w:numPr>
        <w:spacing w:before="160" w:after="120"/>
      </w:pPr>
    </w:p>
    <w:p w14:paraId="52636D25" w14:textId="77777777" w:rsidR="00D74288" w:rsidRDefault="00D74288" w:rsidP="00D74288">
      <w:pPr>
        <w:pStyle w:val="ListBullet"/>
        <w:numPr>
          <w:ilvl w:val="0"/>
          <w:numId w:val="0"/>
        </w:numPr>
        <w:spacing w:before="160" w:after="120"/>
      </w:pPr>
    </w:p>
    <w:p w14:paraId="17E32F99" w14:textId="77777777" w:rsidR="00D74288" w:rsidRDefault="00D74288" w:rsidP="00D74288">
      <w:pPr>
        <w:pStyle w:val="ListBullet"/>
        <w:numPr>
          <w:ilvl w:val="0"/>
          <w:numId w:val="0"/>
        </w:numPr>
        <w:spacing w:before="160" w:after="120"/>
      </w:pPr>
    </w:p>
    <w:p w14:paraId="4C109F99" w14:textId="77777777" w:rsidR="00D74288" w:rsidRDefault="00D74288" w:rsidP="00D74288">
      <w:pPr>
        <w:pStyle w:val="ListBullet"/>
        <w:numPr>
          <w:ilvl w:val="0"/>
          <w:numId w:val="0"/>
        </w:numPr>
        <w:spacing w:before="160" w:after="120"/>
      </w:pPr>
    </w:p>
    <w:tbl>
      <w:tblPr>
        <w:tblStyle w:val="TableGrid"/>
        <w:tblW w:w="0" w:type="auto"/>
        <w:jc w:val="center"/>
        <w:tblLayout w:type="fixed"/>
        <w:tblCellMar>
          <w:top w:w="60" w:type="dxa"/>
          <w:left w:w="80" w:type="dxa"/>
          <w:bottom w:w="60" w:type="dxa"/>
          <w:right w:w="80" w:type="dxa"/>
        </w:tblCellMar>
        <w:tblLook w:val="04A0" w:firstRow="1" w:lastRow="0" w:firstColumn="1" w:lastColumn="0" w:noHBand="0" w:noVBand="1"/>
      </w:tblPr>
      <w:tblGrid>
        <w:gridCol w:w="2381"/>
        <w:gridCol w:w="6973"/>
      </w:tblGrid>
      <w:tr w:rsidR="001917B3" w14:paraId="79F2ACF0" w14:textId="77777777">
        <w:trPr>
          <w:cantSplit/>
          <w:jc w:val="center"/>
        </w:trPr>
        <w:tc>
          <w:tcPr>
            <w:tcW w:w="2381" w:type="dxa"/>
          </w:tcPr>
          <w:p w14:paraId="3A2286F6" w14:textId="77777777" w:rsidR="001917B3" w:rsidRDefault="009077D6">
            <w:pPr>
              <w:jc w:val="center"/>
            </w:pPr>
            <w:r>
              <w:rPr>
                <w:b/>
                <w:sz w:val="21"/>
              </w:rPr>
              <w:t>Knowledge Profile K’s</w:t>
            </w:r>
          </w:p>
        </w:tc>
        <w:tc>
          <w:tcPr>
            <w:tcW w:w="6973" w:type="dxa"/>
          </w:tcPr>
          <w:p w14:paraId="59A06940" w14:textId="77777777" w:rsidR="001917B3" w:rsidRDefault="009077D6">
            <w:pPr>
              <w:jc w:val="center"/>
            </w:pPr>
            <w:r>
              <w:rPr>
                <w:b/>
                <w:sz w:val="21"/>
              </w:rPr>
              <w:t>Addressed (Explain how it was addressed?) or —</w:t>
            </w:r>
          </w:p>
        </w:tc>
      </w:tr>
      <w:tr w:rsidR="001917B3" w14:paraId="740F8FD6" w14:textId="77777777">
        <w:trPr>
          <w:cantSplit/>
          <w:jc w:val="center"/>
        </w:trPr>
        <w:tc>
          <w:tcPr>
            <w:tcW w:w="2381" w:type="dxa"/>
            <w:vAlign w:val="center"/>
          </w:tcPr>
          <w:p w14:paraId="6DE17A95" w14:textId="77777777" w:rsidR="001917B3" w:rsidRDefault="009077D6">
            <w:pPr>
              <w:jc w:val="center"/>
            </w:pPr>
            <w:r>
              <w:rPr>
                <w:b/>
                <w:sz w:val="21"/>
              </w:rPr>
              <w:t>K1</w:t>
            </w:r>
          </w:p>
        </w:tc>
        <w:tc>
          <w:tcPr>
            <w:tcW w:w="6973" w:type="dxa"/>
          </w:tcPr>
          <w:p w14:paraId="7E2888A8" w14:textId="77777777" w:rsidR="001917B3" w:rsidRDefault="009077D6">
            <w:pPr>
              <w:jc w:val="both"/>
            </w:pPr>
            <w:r>
              <w:rPr>
                <w:sz w:val="21"/>
              </w:rPr>
              <w:t>Time is the physical quantity at the core of the system: attendance, late minutes, working hours and the 09:30 absent-marking schedule are all computed from clock time converted between UTC and Bangladesh Standard Time, with calendar rules (weekly holidays, month boundaries). Shift and break rules were grounded in the physiological basis of an 8-hour working day (09:00–18:00).</w:t>
            </w:r>
          </w:p>
        </w:tc>
      </w:tr>
      <w:tr w:rsidR="001917B3" w14:paraId="1858C0F0" w14:textId="77777777">
        <w:trPr>
          <w:cantSplit/>
          <w:jc w:val="center"/>
        </w:trPr>
        <w:tc>
          <w:tcPr>
            <w:tcW w:w="2381" w:type="dxa"/>
            <w:vAlign w:val="center"/>
          </w:tcPr>
          <w:p w14:paraId="140DF9DC" w14:textId="77777777" w:rsidR="001917B3" w:rsidRDefault="009077D6">
            <w:pPr>
              <w:jc w:val="center"/>
            </w:pPr>
            <w:r>
              <w:rPr>
                <w:b/>
                <w:sz w:val="21"/>
              </w:rPr>
              <w:t>K2</w:t>
            </w:r>
          </w:p>
        </w:tc>
        <w:tc>
          <w:tcPr>
            <w:tcW w:w="6973" w:type="dxa"/>
          </w:tcPr>
          <w:p w14:paraId="77371CCC" w14:textId="77777777" w:rsidR="001917B3" w:rsidRDefault="009077D6">
            <w:pPr>
              <w:jc w:val="both"/>
            </w:pPr>
            <w:r>
              <w:rPr>
                <w:sz w:val="21"/>
              </w:rPr>
              <w:t>Function Point Analysis (weighted sums of EI/EO/EQ/ILF, VAF = 0.65 + 0.01 × TDI, AFP = 233.2) and effort/cost estimation with depreciation formulas were applied. Payroll uses integer arithmetic (every 3 late arrivals = 1 absence, net = basic − deductions), and attendance analytics use rates, averages and tie detection (max with multiple maxima); set-based relational logic (SQL joins, subqueries) underlies the data layer.</w:t>
            </w:r>
          </w:p>
        </w:tc>
      </w:tr>
      <w:tr w:rsidR="001917B3" w14:paraId="10833E0B" w14:textId="77777777">
        <w:trPr>
          <w:cantSplit/>
          <w:jc w:val="center"/>
        </w:trPr>
        <w:tc>
          <w:tcPr>
            <w:tcW w:w="2381" w:type="dxa"/>
            <w:vAlign w:val="center"/>
          </w:tcPr>
          <w:p w14:paraId="1FEE705C" w14:textId="77777777" w:rsidR="001917B3" w:rsidRDefault="009077D6">
            <w:pPr>
              <w:jc w:val="center"/>
            </w:pPr>
            <w:r>
              <w:rPr>
                <w:b/>
                <w:sz w:val="21"/>
              </w:rPr>
              <w:t>K7</w:t>
            </w:r>
          </w:p>
        </w:tc>
        <w:tc>
          <w:tcPr>
            <w:tcW w:w="6973" w:type="dxa"/>
          </w:tcPr>
          <w:p w14:paraId="1959439B" w14:textId="77777777" w:rsidR="001917B3" w:rsidRDefault="009077D6">
            <w:pPr>
              <w:jc w:val="both"/>
            </w:pPr>
            <w:r>
              <w:rPr>
                <w:sz w:val="21"/>
              </w:rPr>
              <w:t>The system holds salaries and personal data, so privacy, access control (JWT, roles, company-level isolation), fairness of automated deductions and the employee’s right to see and correct their own records were treated as professional responsibilities (report Chapter 9). Economic, social and environmental sustainability were assessed, and the AI assistant was constrained to read-only, auditable data tools so that human decision-making remains responsible.</w:t>
            </w:r>
          </w:p>
        </w:tc>
      </w:tr>
    </w:tbl>
    <w:p w14:paraId="15EFF055" w14:textId="77777777" w:rsidR="001917B3" w:rsidRDefault="009077D6">
      <w:r>
        <w:br w:type="page"/>
      </w:r>
    </w:p>
    <w:p w14:paraId="30E3B988" w14:textId="77777777" w:rsidR="001917B3" w:rsidRDefault="009077D6">
      <w:pPr>
        <w:pStyle w:val="ListBullet"/>
        <w:spacing w:after="120"/>
      </w:pPr>
      <w:r>
        <w:lastRenderedPageBreak/>
        <w:t xml:space="preserve">Which </w:t>
      </w:r>
      <w:proofErr w:type="gramStart"/>
      <w:r>
        <w:t>P’s</w:t>
      </w:r>
      <w:proofErr w:type="gramEnd"/>
      <w:r>
        <w:t xml:space="preserve"> are addressed (Requirements: P1 is must and Some or all P2 to P7)?</w:t>
      </w:r>
    </w:p>
    <w:tbl>
      <w:tblPr>
        <w:tblStyle w:val="TableGrid"/>
        <w:tblW w:w="0" w:type="auto"/>
        <w:jc w:val="center"/>
        <w:tblLayout w:type="fixed"/>
        <w:tblCellMar>
          <w:top w:w="60" w:type="dxa"/>
          <w:left w:w="80" w:type="dxa"/>
          <w:bottom w:w="60" w:type="dxa"/>
          <w:right w:w="80" w:type="dxa"/>
        </w:tblCellMar>
        <w:tblLook w:val="04A0" w:firstRow="1" w:lastRow="0" w:firstColumn="1" w:lastColumn="0" w:noHBand="0" w:noVBand="1"/>
      </w:tblPr>
      <w:tblGrid>
        <w:gridCol w:w="2948"/>
        <w:gridCol w:w="737"/>
        <w:gridCol w:w="5669"/>
      </w:tblGrid>
      <w:tr w:rsidR="001917B3" w14:paraId="6310B981" w14:textId="77777777">
        <w:trPr>
          <w:cantSplit/>
          <w:jc w:val="center"/>
        </w:trPr>
        <w:tc>
          <w:tcPr>
            <w:tcW w:w="2948" w:type="dxa"/>
          </w:tcPr>
          <w:p w14:paraId="2B516947" w14:textId="77777777" w:rsidR="001917B3" w:rsidRDefault="009077D6">
            <w:pPr>
              <w:jc w:val="center"/>
            </w:pPr>
            <w:r>
              <w:rPr>
                <w:b/>
                <w:sz w:val="21"/>
              </w:rPr>
              <w:t>Name of CEP (P’s)</w:t>
            </w:r>
          </w:p>
        </w:tc>
        <w:tc>
          <w:tcPr>
            <w:tcW w:w="6406" w:type="dxa"/>
            <w:gridSpan w:val="2"/>
          </w:tcPr>
          <w:p w14:paraId="6D409E95" w14:textId="77777777" w:rsidR="001917B3" w:rsidRDefault="009077D6">
            <w:pPr>
              <w:jc w:val="center"/>
            </w:pPr>
            <w:r>
              <w:rPr>
                <w:b/>
                <w:sz w:val="21"/>
              </w:rPr>
              <w:t>Addressed (Explain how it was addressed?) or —</w:t>
            </w:r>
          </w:p>
        </w:tc>
      </w:tr>
      <w:tr w:rsidR="001917B3" w14:paraId="602B6008" w14:textId="77777777">
        <w:trPr>
          <w:cantSplit/>
          <w:jc w:val="center"/>
        </w:trPr>
        <w:tc>
          <w:tcPr>
            <w:tcW w:w="2948" w:type="dxa"/>
            <w:vMerge w:val="restart"/>
            <w:vAlign w:val="center"/>
          </w:tcPr>
          <w:p w14:paraId="13A981FA" w14:textId="77777777" w:rsidR="001917B3" w:rsidRDefault="009077D6">
            <w:pPr>
              <w:jc w:val="center"/>
            </w:pPr>
            <w:r>
              <w:rPr>
                <w:b/>
                <w:sz w:val="22"/>
              </w:rPr>
              <w:t>P1: Depth of Knowledge</w:t>
            </w:r>
            <w:r>
              <w:rPr>
                <w:sz w:val="22"/>
              </w:rPr>
              <w:br/>
              <w:t>(Required one or more K from K3, K4, K5, K6, or K8)</w:t>
            </w:r>
          </w:p>
        </w:tc>
        <w:tc>
          <w:tcPr>
            <w:tcW w:w="737" w:type="dxa"/>
          </w:tcPr>
          <w:p w14:paraId="68EC0DD0" w14:textId="77777777" w:rsidR="001917B3" w:rsidRDefault="009077D6">
            <w:r>
              <w:rPr>
                <w:b/>
                <w:sz w:val="21"/>
              </w:rPr>
              <w:t>K3</w:t>
            </w:r>
          </w:p>
        </w:tc>
        <w:tc>
          <w:tcPr>
            <w:tcW w:w="5669" w:type="dxa"/>
          </w:tcPr>
          <w:p w14:paraId="42DAD508" w14:textId="77777777" w:rsidR="001917B3" w:rsidRDefault="009077D6">
            <w:pPr>
              <w:jc w:val="both"/>
            </w:pPr>
            <w:r>
              <w:rPr>
                <w:sz w:val="21"/>
              </w:rPr>
              <w:t>Client–server architecture, HTTP/REST, relational database normalization, data structures and algorithms (paging, aggregation, tie handling) form the fundamentals on which every module is built.</w:t>
            </w:r>
          </w:p>
        </w:tc>
      </w:tr>
      <w:tr w:rsidR="001917B3" w14:paraId="5F5C8BD8" w14:textId="77777777">
        <w:trPr>
          <w:cantSplit/>
          <w:jc w:val="center"/>
        </w:trPr>
        <w:tc>
          <w:tcPr>
            <w:tcW w:w="2948" w:type="dxa"/>
            <w:vMerge/>
          </w:tcPr>
          <w:p w14:paraId="7B1001B9" w14:textId="77777777" w:rsidR="001917B3" w:rsidRDefault="001917B3"/>
        </w:tc>
        <w:tc>
          <w:tcPr>
            <w:tcW w:w="737" w:type="dxa"/>
          </w:tcPr>
          <w:p w14:paraId="301F08D9" w14:textId="77777777" w:rsidR="001917B3" w:rsidRDefault="009077D6">
            <w:r>
              <w:rPr>
                <w:b/>
                <w:sz w:val="21"/>
              </w:rPr>
              <w:t>K4</w:t>
            </w:r>
          </w:p>
        </w:tc>
        <w:tc>
          <w:tcPr>
            <w:tcW w:w="5669" w:type="dxa"/>
          </w:tcPr>
          <w:p w14:paraId="31A34360" w14:textId="77777777" w:rsidR="001917B3" w:rsidRDefault="009077D6">
            <w:pPr>
              <w:jc w:val="both"/>
            </w:pPr>
            <w:r>
              <w:rPr>
                <w:sz w:val="21"/>
              </w:rPr>
              <w:t>Specialist knowledge of Clean Architecture with CQRS (</w:t>
            </w:r>
            <w:proofErr w:type="spellStart"/>
            <w:r>
              <w:rPr>
                <w:sz w:val="21"/>
              </w:rPr>
              <w:t>MediatR</w:t>
            </w:r>
            <w:proofErr w:type="spellEnd"/>
            <w:r>
              <w:rPr>
                <w:sz w:val="21"/>
              </w:rPr>
              <w:t xml:space="preserve">), JWT/refresh-token security, EF Core ORM </w:t>
            </w:r>
            <w:proofErr w:type="spellStart"/>
            <w:r>
              <w:rPr>
                <w:sz w:val="21"/>
              </w:rPr>
              <w:t>behaviour</w:t>
            </w:r>
            <w:proofErr w:type="spellEnd"/>
            <w:r>
              <w:rPr>
                <w:sz w:val="21"/>
              </w:rPr>
              <w:t xml:space="preserve"> (e.g. inner-join row loss), idempotent hosted background services and LLM tool calling (Microsoft.Extensions.AI) was required.</w:t>
            </w:r>
          </w:p>
        </w:tc>
      </w:tr>
      <w:tr w:rsidR="001917B3" w14:paraId="7CBF325A" w14:textId="77777777">
        <w:trPr>
          <w:cantSplit/>
          <w:jc w:val="center"/>
        </w:trPr>
        <w:tc>
          <w:tcPr>
            <w:tcW w:w="2948" w:type="dxa"/>
            <w:vMerge/>
          </w:tcPr>
          <w:p w14:paraId="7C6DD2BA" w14:textId="77777777" w:rsidR="001917B3" w:rsidRDefault="001917B3"/>
        </w:tc>
        <w:tc>
          <w:tcPr>
            <w:tcW w:w="737" w:type="dxa"/>
          </w:tcPr>
          <w:p w14:paraId="1C3A340A" w14:textId="77777777" w:rsidR="001917B3" w:rsidRDefault="009077D6">
            <w:r>
              <w:rPr>
                <w:b/>
                <w:sz w:val="21"/>
              </w:rPr>
              <w:t>K5</w:t>
            </w:r>
          </w:p>
        </w:tc>
        <w:tc>
          <w:tcPr>
            <w:tcW w:w="5669" w:type="dxa"/>
          </w:tcPr>
          <w:p w14:paraId="7FEB30E1" w14:textId="77777777" w:rsidR="001917B3" w:rsidRDefault="009077D6">
            <w:pPr>
              <w:jc w:val="both"/>
            </w:pPr>
            <w:r>
              <w:rPr>
                <w:sz w:val="21"/>
              </w:rPr>
              <w:t>The system was designed through use case, ER, DFD (levels 0–2), activity, sequence and swim-lane models, a normalized 12-table schema with tenant scoping, and a documented REST/</w:t>
            </w:r>
            <w:proofErr w:type="spellStart"/>
            <w:r>
              <w:rPr>
                <w:sz w:val="21"/>
              </w:rPr>
              <w:t>OpenAPI</w:t>
            </w:r>
            <w:proofErr w:type="spellEnd"/>
            <w:r>
              <w:rPr>
                <w:sz w:val="21"/>
              </w:rPr>
              <w:t xml:space="preserve"> contract for the Angular frontend.</w:t>
            </w:r>
          </w:p>
        </w:tc>
      </w:tr>
      <w:tr w:rsidR="001917B3" w14:paraId="7E49DC09" w14:textId="77777777">
        <w:trPr>
          <w:cantSplit/>
          <w:jc w:val="center"/>
        </w:trPr>
        <w:tc>
          <w:tcPr>
            <w:tcW w:w="2948" w:type="dxa"/>
            <w:vMerge/>
          </w:tcPr>
          <w:p w14:paraId="4DFBA865" w14:textId="77777777" w:rsidR="001917B3" w:rsidRDefault="001917B3"/>
        </w:tc>
        <w:tc>
          <w:tcPr>
            <w:tcW w:w="737" w:type="dxa"/>
          </w:tcPr>
          <w:p w14:paraId="4A7814B7" w14:textId="77777777" w:rsidR="001917B3" w:rsidRDefault="009077D6">
            <w:r>
              <w:rPr>
                <w:b/>
                <w:sz w:val="21"/>
              </w:rPr>
              <w:t>K6</w:t>
            </w:r>
          </w:p>
        </w:tc>
        <w:tc>
          <w:tcPr>
            <w:tcW w:w="5669" w:type="dxa"/>
          </w:tcPr>
          <w:p w14:paraId="7BBF8B24" w14:textId="77777777" w:rsidR="001917B3" w:rsidRDefault="009077D6">
            <w:pPr>
              <w:jc w:val="both"/>
            </w:pPr>
            <w:r>
              <w:rPr>
                <w:sz w:val="21"/>
              </w:rPr>
              <w:t>Engineering practice with .NET 10, Angular, SQL Server, Git/GitHub, Swagger, user-secrets for key management, Rider/Visual Studio, agile sprints, manual and grey-box testing, and defect diagnosis in a professional environment.</w:t>
            </w:r>
          </w:p>
        </w:tc>
      </w:tr>
      <w:tr w:rsidR="001917B3" w14:paraId="7AF9B4DA" w14:textId="77777777">
        <w:trPr>
          <w:cantSplit/>
          <w:jc w:val="center"/>
        </w:trPr>
        <w:tc>
          <w:tcPr>
            <w:tcW w:w="2948" w:type="dxa"/>
            <w:vMerge/>
          </w:tcPr>
          <w:p w14:paraId="728B3E20" w14:textId="77777777" w:rsidR="001917B3" w:rsidRDefault="001917B3"/>
        </w:tc>
        <w:tc>
          <w:tcPr>
            <w:tcW w:w="737" w:type="dxa"/>
          </w:tcPr>
          <w:p w14:paraId="62DB5160" w14:textId="77777777" w:rsidR="001917B3" w:rsidRDefault="009077D6">
            <w:r>
              <w:rPr>
                <w:b/>
                <w:sz w:val="21"/>
              </w:rPr>
              <w:t>K8</w:t>
            </w:r>
          </w:p>
        </w:tc>
        <w:tc>
          <w:tcPr>
            <w:tcW w:w="5669" w:type="dxa"/>
          </w:tcPr>
          <w:p w14:paraId="12CDC48B" w14:textId="77777777" w:rsidR="001917B3" w:rsidRDefault="009077D6">
            <w:pPr>
              <w:jc w:val="both"/>
            </w:pPr>
            <w:r>
              <w:rPr>
                <w:sz w:val="21"/>
              </w:rPr>
              <w:t>Design decisions were informed by the literature: Pressman &amp; Maxim and Sommerville (process, estimation, risk), Martin’s Clean Architecture, RFC 7519 (JWT), Longstreet’s function point analysis and Microsoft’s documentation on ASP.NET Core, EF Core and Microsoft.Extensions.AI.</w:t>
            </w:r>
          </w:p>
        </w:tc>
      </w:tr>
      <w:tr w:rsidR="001917B3" w14:paraId="38D48C12" w14:textId="77777777">
        <w:trPr>
          <w:cantSplit/>
          <w:jc w:val="center"/>
        </w:trPr>
        <w:tc>
          <w:tcPr>
            <w:tcW w:w="2948" w:type="dxa"/>
            <w:vAlign w:val="center"/>
          </w:tcPr>
          <w:p w14:paraId="589BFD6A" w14:textId="77777777" w:rsidR="001917B3" w:rsidRDefault="009077D6">
            <w:r>
              <w:rPr>
                <w:b/>
                <w:sz w:val="21"/>
              </w:rPr>
              <w:t>P2: Conflicting Requirements</w:t>
            </w:r>
          </w:p>
        </w:tc>
        <w:tc>
          <w:tcPr>
            <w:tcW w:w="6406" w:type="dxa"/>
            <w:gridSpan w:val="2"/>
          </w:tcPr>
          <w:p w14:paraId="7355ACD6" w14:textId="77777777" w:rsidR="001917B3" w:rsidRDefault="009077D6">
            <w:pPr>
              <w:jc w:val="both"/>
            </w:pPr>
            <w:r>
              <w:rPr>
                <w:sz w:val="21"/>
              </w:rPr>
              <w:t xml:space="preserve">Accuracy required marking absentees early (09:30) while fairness required accepting late arrivals; resolved by converting an auto-Absent record to Late on check-in. Convenience of an AI assistant conflicted with privacy of salary data; resolved with read-only, company-scoped tools that never expose salaries. Short-lived tokens (security) versus not re-logging in (usability) were balanced with </w:t>
            </w:r>
            <w:proofErr w:type="spellStart"/>
            <w:r>
              <w:rPr>
                <w:sz w:val="21"/>
              </w:rPr>
              <w:t>HttpOnly</w:t>
            </w:r>
            <w:proofErr w:type="spellEnd"/>
            <w:r>
              <w:rPr>
                <w:sz w:val="21"/>
              </w:rPr>
              <w:t xml:space="preserve"> refresh-token rotation.</w:t>
            </w:r>
          </w:p>
        </w:tc>
      </w:tr>
      <w:tr w:rsidR="001917B3" w14:paraId="61C8100A" w14:textId="77777777">
        <w:trPr>
          <w:cantSplit/>
          <w:jc w:val="center"/>
        </w:trPr>
        <w:tc>
          <w:tcPr>
            <w:tcW w:w="2948" w:type="dxa"/>
            <w:vAlign w:val="center"/>
          </w:tcPr>
          <w:p w14:paraId="4D0E71F8" w14:textId="77777777" w:rsidR="001917B3" w:rsidRDefault="009077D6">
            <w:r>
              <w:rPr>
                <w:b/>
                <w:sz w:val="21"/>
              </w:rPr>
              <w:t>P3: Depth of Analysis</w:t>
            </w:r>
          </w:p>
        </w:tc>
        <w:tc>
          <w:tcPr>
            <w:tcW w:w="6406" w:type="dxa"/>
            <w:gridSpan w:val="2"/>
          </w:tcPr>
          <w:p w14:paraId="3E37125B" w14:textId="77777777" w:rsidR="001917B3" w:rsidRDefault="009077D6">
            <w:pPr>
              <w:jc w:val="both"/>
            </w:pPr>
            <w:r>
              <w:rPr>
                <w:sz w:val="21"/>
              </w:rPr>
              <w:t xml:space="preserve">There was no ready-made solution for guaranteeing exactly-once payroll and catch-up of missed absent-marking across server restarts, for keeping generated payroll and the live projection consistent, or for grounding an LLM in company data; each required abstract modelling (idempotency checks, a single shared formula service, a tool-calling protocol with audited </w:t>
            </w:r>
            <w:proofErr w:type="spellStart"/>
            <w:r>
              <w:rPr>
                <w:sz w:val="21"/>
              </w:rPr>
              <w:t>toolsUsed</w:t>
            </w:r>
            <w:proofErr w:type="spellEnd"/>
            <w:r>
              <w:rPr>
                <w:sz w:val="21"/>
              </w:rPr>
              <w:t>) and function-point modelling of the product.</w:t>
            </w:r>
          </w:p>
        </w:tc>
      </w:tr>
      <w:tr w:rsidR="001917B3" w14:paraId="0E6946D5" w14:textId="77777777">
        <w:trPr>
          <w:cantSplit/>
          <w:jc w:val="center"/>
        </w:trPr>
        <w:tc>
          <w:tcPr>
            <w:tcW w:w="2948" w:type="dxa"/>
            <w:vAlign w:val="center"/>
          </w:tcPr>
          <w:p w14:paraId="531C2773" w14:textId="77777777" w:rsidR="001917B3" w:rsidRDefault="009077D6">
            <w:r>
              <w:rPr>
                <w:b/>
                <w:sz w:val="21"/>
              </w:rPr>
              <w:t>P4: Familiarity of Issues</w:t>
            </w:r>
          </w:p>
        </w:tc>
        <w:tc>
          <w:tcPr>
            <w:tcW w:w="6406" w:type="dxa"/>
            <w:gridSpan w:val="2"/>
          </w:tcPr>
          <w:p w14:paraId="7A223C1E" w14:textId="77777777" w:rsidR="001917B3" w:rsidRDefault="009077D6">
            <w:pPr>
              <w:jc w:val="both"/>
            </w:pPr>
            <w:r>
              <w:rPr>
                <w:sz w:val="21"/>
              </w:rPr>
              <w:t>Infrequently encountered issues arose: the provider retired the configured LLM model mid-project (</w:t>
            </w:r>
            <w:proofErr w:type="spellStart"/>
            <w:r>
              <w:rPr>
                <w:sz w:val="21"/>
              </w:rPr>
              <w:t>model_not_found</w:t>
            </w:r>
            <w:proofErr w:type="spellEnd"/>
            <w:r>
              <w:rPr>
                <w:sz w:val="21"/>
              </w:rPr>
              <w:t xml:space="preserve">), a breaking change in the </w:t>
            </w:r>
            <w:proofErr w:type="spellStart"/>
            <w:r>
              <w:rPr>
                <w:sz w:val="21"/>
              </w:rPr>
              <w:t>OpenAPI</w:t>
            </w:r>
            <w:proofErr w:type="spellEnd"/>
            <w:r>
              <w:rPr>
                <w:sz w:val="21"/>
              </w:rPr>
              <w:t xml:space="preserve"> library silently produced an empty Swagger security requirement, EF Core’s required navigation turned a LEFT JOIN into an INNER JOIN and hid employees with stale role references, and a late check-in collided with the scheduled absent record.</w:t>
            </w:r>
          </w:p>
        </w:tc>
      </w:tr>
      <w:tr w:rsidR="001917B3" w14:paraId="1FE4FB7C" w14:textId="77777777">
        <w:trPr>
          <w:cantSplit/>
          <w:jc w:val="center"/>
        </w:trPr>
        <w:tc>
          <w:tcPr>
            <w:tcW w:w="2948" w:type="dxa"/>
            <w:vAlign w:val="center"/>
          </w:tcPr>
          <w:p w14:paraId="77CF1DA3" w14:textId="77777777" w:rsidR="001917B3" w:rsidRDefault="009077D6">
            <w:r>
              <w:rPr>
                <w:b/>
                <w:sz w:val="21"/>
              </w:rPr>
              <w:t>P5: Extent of Applicable Codes</w:t>
            </w:r>
          </w:p>
        </w:tc>
        <w:tc>
          <w:tcPr>
            <w:tcW w:w="6406" w:type="dxa"/>
            <w:gridSpan w:val="2"/>
          </w:tcPr>
          <w:p w14:paraId="5FB0E243" w14:textId="77777777" w:rsidR="001917B3" w:rsidRDefault="009077D6">
            <w:pPr>
              <w:jc w:val="both"/>
            </w:pPr>
            <w:r>
              <w:rPr>
                <w:sz w:val="21"/>
              </w:rPr>
              <w:t>No standard or code of practice prescribes how to integrate a large language model into an HR data system, how to scope AI tools per tenant, or how to define attendance/late-to-absence deduction rules; these were derived from first principles (least privilege, auditability, idempotency, fairness) rather than from an existing professional code.</w:t>
            </w:r>
          </w:p>
        </w:tc>
      </w:tr>
      <w:tr w:rsidR="001917B3" w14:paraId="0D68DB34" w14:textId="77777777">
        <w:trPr>
          <w:cantSplit/>
          <w:jc w:val="center"/>
        </w:trPr>
        <w:tc>
          <w:tcPr>
            <w:tcW w:w="2948" w:type="dxa"/>
            <w:vAlign w:val="center"/>
          </w:tcPr>
          <w:p w14:paraId="2E90810A" w14:textId="77777777" w:rsidR="001917B3" w:rsidRDefault="009077D6">
            <w:r>
              <w:rPr>
                <w:b/>
                <w:sz w:val="21"/>
              </w:rPr>
              <w:lastRenderedPageBreak/>
              <w:t>P6: Extent of Stakeholders</w:t>
            </w:r>
          </w:p>
        </w:tc>
        <w:tc>
          <w:tcPr>
            <w:tcW w:w="6406" w:type="dxa"/>
            <w:gridSpan w:val="2"/>
          </w:tcPr>
          <w:p w14:paraId="78B330ED" w14:textId="77777777" w:rsidR="001917B3" w:rsidRDefault="009077D6">
            <w:pPr>
              <w:jc w:val="both"/>
            </w:pPr>
            <w:r>
              <w:rPr>
                <w:sz w:val="21"/>
              </w:rPr>
              <w:t xml:space="preserve">Stakeholders with differing needs were involved: the platform Super Admin (multi-company onboarding), Company Admins/HR (strict automation, reporting, quick answers), employees (fair marks, transparency, self-service), organization management (cost and maintainability) and the academic supervisor (engineering </w:t>
            </w:r>
            <w:proofErr w:type="spellStart"/>
            <w:r>
              <w:rPr>
                <w:sz w:val="21"/>
              </w:rPr>
              <w:t>rigour</w:t>
            </w:r>
            <w:proofErr w:type="spellEnd"/>
            <w:r>
              <w:rPr>
                <w:sz w:val="21"/>
              </w:rPr>
              <w:t>). Features such as the live payroll projection and employee self-service reconcile HR control with employee trust.</w:t>
            </w:r>
          </w:p>
        </w:tc>
      </w:tr>
      <w:tr w:rsidR="001917B3" w14:paraId="3EB0352D" w14:textId="77777777">
        <w:trPr>
          <w:cantSplit/>
          <w:jc w:val="center"/>
        </w:trPr>
        <w:tc>
          <w:tcPr>
            <w:tcW w:w="2948" w:type="dxa"/>
            <w:vAlign w:val="center"/>
          </w:tcPr>
          <w:p w14:paraId="0AAE0AF9" w14:textId="77777777" w:rsidR="001917B3" w:rsidRDefault="009077D6">
            <w:r>
              <w:rPr>
                <w:b/>
                <w:sz w:val="21"/>
              </w:rPr>
              <w:t>P7: Interdependence</w:t>
            </w:r>
          </w:p>
        </w:tc>
        <w:tc>
          <w:tcPr>
            <w:tcW w:w="6406" w:type="dxa"/>
            <w:gridSpan w:val="2"/>
          </w:tcPr>
          <w:p w14:paraId="51E7A4F5" w14:textId="77777777" w:rsidR="001917B3" w:rsidRDefault="009077D6">
            <w:pPr>
              <w:jc w:val="both"/>
            </w:pPr>
            <w:r>
              <w:rPr>
                <w:sz w:val="21"/>
              </w:rPr>
              <w:t>The product is a system of interdependent sub-problems: authentication → organization management → attendance → leave → payroll → analytics → AI assistant. The absent-marking job depends on the holiday calendar and approved leave, payroll depends on attendance and the late rule, the projection depends on the same formula as generation, and the AI tools depend on the same repositories as the REST API.</w:t>
            </w:r>
          </w:p>
        </w:tc>
      </w:tr>
    </w:tbl>
    <w:p w14:paraId="08F4E7F4" w14:textId="77777777" w:rsidR="001917B3" w:rsidRDefault="001917B3">
      <w:pPr>
        <w:spacing w:after="120"/>
      </w:pPr>
    </w:p>
    <w:p w14:paraId="36731EA2" w14:textId="77777777" w:rsidR="001917B3" w:rsidRDefault="009077D6">
      <w:pPr>
        <w:pStyle w:val="ListBullet"/>
        <w:spacing w:after="120"/>
      </w:pPr>
      <w:r>
        <w:t xml:space="preserve">Which </w:t>
      </w:r>
      <w:proofErr w:type="gramStart"/>
      <w:r>
        <w:t>A’s</w:t>
      </w:r>
      <w:proofErr w:type="gramEnd"/>
      <w:r>
        <w:t xml:space="preserve"> are addressed (Requirements: Some or all A1 to A5)? [Only Relates to PO(j)]</w:t>
      </w:r>
    </w:p>
    <w:tbl>
      <w:tblPr>
        <w:tblStyle w:val="TableGrid"/>
        <w:tblW w:w="0" w:type="auto"/>
        <w:jc w:val="center"/>
        <w:tblLayout w:type="fixed"/>
        <w:tblCellMar>
          <w:top w:w="60" w:type="dxa"/>
          <w:left w:w="80" w:type="dxa"/>
          <w:bottom w:w="60" w:type="dxa"/>
          <w:right w:w="80" w:type="dxa"/>
        </w:tblCellMar>
        <w:tblLook w:val="04A0" w:firstRow="1" w:lastRow="0" w:firstColumn="1" w:lastColumn="0" w:noHBand="0" w:noVBand="1"/>
      </w:tblPr>
      <w:tblGrid>
        <w:gridCol w:w="2948"/>
        <w:gridCol w:w="6406"/>
      </w:tblGrid>
      <w:tr w:rsidR="001917B3" w14:paraId="4B61AAA7" w14:textId="77777777">
        <w:trPr>
          <w:cantSplit/>
          <w:jc w:val="center"/>
        </w:trPr>
        <w:tc>
          <w:tcPr>
            <w:tcW w:w="2948" w:type="dxa"/>
          </w:tcPr>
          <w:p w14:paraId="796B0005" w14:textId="77777777" w:rsidR="001917B3" w:rsidRDefault="009077D6">
            <w:pPr>
              <w:jc w:val="center"/>
            </w:pPr>
            <w:r>
              <w:rPr>
                <w:b/>
                <w:sz w:val="21"/>
              </w:rPr>
              <w:t>Attributes of CEA</w:t>
            </w:r>
          </w:p>
        </w:tc>
        <w:tc>
          <w:tcPr>
            <w:tcW w:w="6406" w:type="dxa"/>
          </w:tcPr>
          <w:p w14:paraId="18ECB17C" w14:textId="77777777" w:rsidR="001917B3" w:rsidRDefault="009077D6">
            <w:pPr>
              <w:jc w:val="center"/>
            </w:pPr>
            <w:r>
              <w:rPr>
                <w:b/>
                <w:sz w:val="21"/>
              </w:rPr>
              <w:t>Addressed (Explain how it was addressed?) or —</w:t>
            </w:r>
          </w:p>
        </w:tc>
      </w:tr>
      <w:tr w:rsidR="001917B3" w14:paraId="33683079" w14:textId="77777777">
        <w:trPr>
          <w:cantSplit/>
          <w:jc w:val="center"/>
        </w:trPr>
        <w:tc>
          <w:tcPr>
            <w:tcW w:w="2948" w:type="dxa"/>
            <w:vAlign w:val="center"/>
          </w:tcPr>
          <w:p w14:paraId="7CDCA2E1" w14:textId="77777777" w:rsidR="001917B3" w:rsidRDefault="009077D6">
            <w:pPr>
              <w:jc w:val="center"/>
            </w:pPr>
            <w:r>
              <w:rPr>
                <w:b/>
                <w:sz w:val="21"/>
              </w:rPr>
              <w:t>A1: Range of Resources</w:t>
            </w:r>
          </w:p>
        </w:tc>
        <w:tc>
          <w:tcPr>
            <w:tcW w:w="6406" w:type="dxa"/>
          </w:tcPr>
          <w:p w14:paraId="37618641" w14:textId="77777777" w:rsidR="001917B3" w:rsidRDefault="009077D6">
            <w:pPr>
              <w:jc w:val="both"/>
            </w:pPr>
            <w:r>
              <w:rPr>
                <w:sz w:val="21"/>
              </w:rPr>
              <w:t xml:space="preserve">Diverse resources were used: people (academic and organizational supervisors, HR staff as domain experts), technologies (.NET 10, Angular, SQL Server, EF Core, </w:t>
            </w:r>
            <w:proofErr w:type="spellStart"/>
            <w:r>
              <w:rPr>
                <w:sz w:val="21"/>
              </w:rPr>
              <w:t>MediatR</w:t>
            </w:r>
            <w:proofErr w:type="spellEnd"/>
            <w:r>
              <w:rPr>
                <w:sz w:val="21"/>
              </w:rPr>
              <w:t xml:space="preserve">, Swagger, Git, </w:t>
            </w:r>
            <w:proofErr w:type="spellStart"/>
            <w:r>
              <w:rPr>
                <w:sz w:val="21"/>
              </w:rPr>
              <w:t>Groq</w:t>
            </w:r>
            <w:proofErr w:type="spellEnd"/>
            <w:r>
              <w:rPr>
                <w:sz w:val="21"/>
              </w:rPr>
              <w:t xml:space="preserve"> LLM API), information (standards, documentation, textbooks), equipment (development workstation, server) and a costed budget (illustrative BDT 135,533 covering personnel, hardware and operating costs).</w:t>
            </w:r>
          </w:p>
        </w:tc>
      </w:tr>
      <w:tr w:rsidR="001917B3" w14:paraId="609D7E17" w14:textId="77777777">
        <w:trPr>
          <w:cantSplit/>
          <w:jc w:val="center"/>
        </w:trPr>
        <w:tc>
          <w:tcPr>
            <w:tcW w:w="2948" w:type="dxa"/>
            <w:vAlign w:val="center"/>
          </w:tcPr>
          <w:p w14:paraId="3F186906" w14:textId="77777777" w:rsidR="001917B3" w:rsidRDefault="009077D6">
            <w:pPr>
              <w:jc w:val="center"/>
            </w:pPr>
            <w:r>
              <w:rPr>
                <w:b/>
                <w:sz w:val="21"/>
              </w:rPr>
              <w:t>A2: Level of Interaction</w:t>
            </w:r>
          </w:p>
        </w:tc>
        <w:tc>
          <w:tcPr>
            <w:tcW w:w="6406" w:type="dxa"/>
          </w:tcPr>
          <w:p w14:paraId="2681E791" w14:textId="77777777" w:rsidR="001917B3" w:rsidRDefault="009077D6">
            <w:pPr>
              <w:jc w:val="both"/>
            </w:pPr>
            <w:r>
              <w:rPr>
                <w:sz w:val="21"/>
              </w:rPr>
              <w:t>Significant problems arose from interactions between components: the scheduler’s timing versus user check-ins, the JWT/authorization layer versus Swagger and the Angular client, pagination versus EF Core join semantics, and the external LLM provider’s model and rate-limit constraints versus the application’s answer-quality and latency requirements; each was diagnosed and resolved at the interface between the parts.</w:t>
            </w:r>
          </w:p>
        </w:tc>
      </w:tr>
      <w:tr w:rsidR="001917B3" w14:paraId="5001E553" w14:textId="77777777">
        <w:trPr>
          <w:cantSplit/>
          <w:jc w:val="center"/>
        </w:trPr>
        <w:tc>
          <w:tcPr>
            <w:tcW w:w="2948" w:type="dxa"/>
            <w:vAlign w:val="center"/>
          </w:tcPr>
          <w:p w14:paraId="14FB1F16" w14:textId="77777777" w:rsidR="001917B3" w:rsidRDefault="009077D6">
            <w:pPr>
              <w:jc w:val="center"/>
            </w:pPr>
            <w:r>
              <w:rPr>
                <w:b/>
                <w:sz w:val="21"/>
              </w:rPr>
              <w:t>A3: Innovation</w:t>
            </w:r>
          </w:p>
        </w:tc>
        <w:tc>
          <w:tcPr>
            <w:tcW w:w="6406" w:type="dxa"/>
          </w:tcPr>
          <w:p w14:paraId="00E44399" w14:textId="77777777" w:rsidR="001917B3" w:rsidRDefault="009077D6">
            <w:pPr>
              <w:jc w:val="both"/>
            </w:pPr>
            <w:r>
              <w:rPr>
                <w:sz w:val="21"/>
              </w:rPr>
              <w:t>Engineering principles were applied in novel ways: an HR assistant grounded by LLM tool calling over company-scoped repositories that returns the tools used for auditability; a live, non-persisted payroll projection sharing the generation formula; and self-healing scheduled jobs that catch up on missed runs idempotently.</w:t>
            </w:r>
          </w:p>
        </w:tc>
      </w:tr>
      <w:tr w:rsidR="001917B3" w14:paraId="6191456A" w14:textId="77777777">
        <w:trPr>
          <w:cantSplit/>
          <w:jc w:val="center"/>
        </w:trPr>
        <w:tc>
          <w:tcPr>
            <w:tcW w:w="2948" w:type="dxa"/>
            <w:vAlign w:val="center"/>
          </w:tcPr>
          <w:p w14:paraId="73C78973" w14:textId="77777777" w:rsidR="001917B3" w:rsidRDefault="009077D6">
            <w:pPr>
              <w:jc w:val="center"/>
            </w:pPr>
            <w:r>
              <w:rPr>
                <w:b/>
                <w:sz w:val="21"/>
              </w:rPr>
              <w:t>A4: Consequences to Society and Environment</w:t>
            </w:r>
          </w:p>
        </w:tc>
        <w:tc>
          <w:tcPr>
            <w:tcW w:w="6406" w:type="dxa"/>
          </w:tcPr>
          <w:p w14:paraId="48F10673" w14:textId="77777777" w:rsidR="001917B3" w:rsidRDefault="009077D6">
            <w:pPr>
              <w:jc w:val="both"/>
            </w:pPr>
            <w:r>
              <w:rPr>
                <w:sz w:val="21"/>
              </w:rPr>
              <w:t xml:space="preserve">An incorrect Absent or Late mark directly changes an employee’s salary and can affect livelihoods and trust, and salary and personal data are sensitive; prediction and mitigation are difficult, so transparency (own records, projection), correction paths, audit logging and strict access control were built in. Environmental impact is minimized through set-based database jobs and bounded AI calls; social benefit lies in </w:t>
            </w:r>
            <w:proofErr w:type="gramStart"/>
            <w:r>
              <w:rPr>
                <w:sz w:val="21"/>
              </w:rPr>
              <w:t>fair,</w:t>
            </w:r>
            <w:proofErr w:type="gramEnd"/>
            <w:r>
              <w:rPr>
                <w:sz w:val="21"/>
              </w:rPr>
              <w:t xml:space="preserve"> consistent rules applied identically to all employees.</w:t>
            </w:r>
          </w:p>
        </w:tc>
      </w:tr>
      <w:tr w:rsidR="001917B3" w14:paraId="2D38828E" w14:textId="77777777">
        <w:trPr>
          <w:cantSplit/>
          <w:jc w:val="center"/>
        </w:trPr>
        <w:tc>
          <w:tcPr>
            <w:tcW w:w="2948" w:type="dxa"/>
            <w:vAlign w:val="center"/>
          </w:tcPr>
          <w:p w14:paraId="1D20D2F8" w14:textId="77777777" w:rsidR="001917B3" w:rsidRDefault="009077D6">
            <w:pPr>
              <w:jc w:val="center"/>
            </w:pPr>
            <w:r>
              <w:rPr>
                <w:b/>
                <w:sz w:val="21"/>
              </w:rPr>
              <w:t>A5: Familiarity</w:t>
            </w:r>
          </w:p>
        </w:tc>
        <w:tc>
          <w:tcPr>
            <w:tcW w:w="6406" w:type="dxa"/>
          </w:tcPr>
          <w:p w14:paraId="0F4A374F" w14:textId="77777777" w:rsidR="001917B3" w:rsidRDefault="009077D6">
            <w:pPr>
              <w:jc w:val="both"/>
            </w:pPr>
            <w:r>
              <w:rPr>
                <w:sz w:val="21"/>
              </w:rPr>
              <w:t>The project extended well beyond previous coursework: first experience with multi-tenant design, JWT refresh-token rotation, hosted background services, Clean Architecture/CQRS at scale and LLM tool calling. Principles-based approaches (least privilege, idempotency, separation of concerns, single source of truth) were applied to reach working solutions in unfamiliar territory.</w:t>
            </w:r>
          </w:p>
        </w:tc>
      </w:tr>
    </w:tbl>
    <w:p w14:paraId="24A3F9B9" w14:textId="6FB96A5D" w:rsidR="001917B3" w:rsidRDefault="009077D6" w:rsidP="00D74288">
      <w:pPr>
        <w:spacing w:before="120" w:after="200"/>
      </w:pPr>
      <w:r>
        <w:br w:type="page"/>
      </w:r>
    </w:p>
    <w:p w14:paraId="41AFF4A4" w14:textId="77777777" w:rsidR="001917B3" w:rsidRDefault="009077D6">
      <w:pPr>
        <w:spacing w:after="40"/>
        <w:jc w:val="center"/>
      </w:pPr>
      <w:r>
        <w:rPr>
          <w:b/>
        </w:rPr>
        <w:lastRenderedPageBreak/>
        <w:t>Knowledge Profile, Complex Engineering Problem, and Complex Engineering Activities</w:t>
      </w:r>
    </w:p>
    <w:tbl>
      <w:tblPr>
        <w:tblStyle w:val="TableGrid"/>
        <w:tblW w:w="0" w:type="auto"/>
        <w:jc w:val="center"/>
        <w:tblLayout w:type="fixed"/>
        <w:tblCellMar>
          <w:top w:w="60" w:type="dxa"/>
          <w:left w:w="80" w:type="dxa"/>
          <w:bottom w:w="60" w:type="dxa"/>
          <w:right w:w="80" w:type="dxa"/>
        </w:tblCellMar>
        <w:tblLook w:val="04A0" w:firstRow="1" w:lastRow="0" w:firstColumn="1" w:lastColumn="0" w:noHBand="0" w:noVBand="1"/>
      </w:tblPr>
      <w:tblGrid>
        <w:gridCol w:w="9354"/>
      </w:tblGrid>
      <w:tr w:rsidR="001917B3" w14:paraId="0AB2989E" w14:textId="77777777">
        <w:trPr>
          <w:cantSplit/>
          <w:jc w:val="center"/>
        </w:trPr>
        <w:tc>
          <w:tcPr>
            <w:tcW w:w="9354" w:type="dxa"/>
          </w:tcPr>
          <w:p w14:paraId="16490788" w14:textId="77777777" w:rsidR="001917B3" w:rsidRDefault="009077D6">
            <w:pPr>
              <w:jc w:val="center"/>
            </w:pPr>
            <w:r>
              <w:rPr>
                <w:b/>
                <w:sz w:val="18"/>
              </w:rPr>
              <w:t>Knowledge Profile (K)</w:t>
            </w:r>
          </w:p>
        </w:tc>
      </w:tr>
      <w:tr w:rsidR="001917B3" w14:paraId="070DCFEE" w14:textId="77777777">
        <w:trPr>
          <w:cantSplit/>
          <w:jc w:val="center"/>
        </w:trPr>
        <w:tc>
          <w:tcPr>
            <w:tcW w:w="9354" w:type="dxa"/>
          </w:tcPr>
          <w:p w14:paraId="00959F52" w14:textId="77777777" w:rsidR="001917B3" w:rsidRDefault="009077D6">
            <w:pPr>
              <w:jc w:val="both"/>
            </w:pPr>
            <w:r>
              <w:rPr>
                <w:b/>
                <w:sz w:val="18"/>
              </w:rPr>
              <w:t>K1 Natural Sciences:</w:t>
            </w:r>
            <w:r>
              <w:rPr>
                <w:sz w:val="18"/>
              </w:rPr>
              <w:t xml:space="preserve"> A systematic, theory-based understanding of the natural sciences applicable to the discipline.</w:t>
            </w:r>
          </w:p>
        </w:tc>
      </w:tr>
      <w:tr w:rsidR="001917B3" w14:paraId="54CB34EA" w14:textId="77777777">
        <w:trPr>
          <w:cantSplit/>
          <w:jc w:val="center"/>
        </w:trPr>
        <w:tc>
          <w:tcPr>
            <w:tcW w:w="9354" w:type="dxa"/>
          </w:tcPr>
          <w:p w14:paraId="37EE8759" w14:textId="77777777" w:rsidR="001917B3" w:rsidRDefault="009077D6">
            <w:pPr>
              <w:jc w:val="both"/>
            </w:pPr>
            <w:r>
              <w:rPr>
                <w:b/>
                <w:sz w:val="18"/>
              </w:rPr>
              <w:t>K2 Mathematics:</w:t>
            </w:r>
            <w:r>
              <w:rPr>
                <w:sz w:val="18"/>
              </w:rPr>
              <w:t xml:space="preserve"> Conceptually-based mathematics, numerical analysis, statistics and formal aspects of computer and information science to support analysis and modeling applicable to the discipline.</w:t>
            </w:r>
          </w:p>
        </w:tc>
      </w:tr>
      <w:tr w:rsidR="001917B3" w14:paraId="7DF0849D" w14:textId="77777777">
        <w:trPr>
          <w:cantSplit/>
          <w:jc w:val="center"/>
        </w:trPr>
        <w:tc>
          <w:tcPr>
            <w:tcW w:w="9354" w:type="dxa"/>
          </w:tcPr>
          <w:p w14:paraId="12B9D36C" w14:textId="77777777" w:rsidR="001917B3" w:rsidRDefault="009077D6">
            <w:pPr>
              <w:jc w:val="both"/>
            </w:pPr>
            <w:r>
              <w:rPr>
                <w:b/>
                <w:sz w:val="18"/>
              </w:rPr>
              <w:t>K3 Engineering Fundamentals:</w:t>
            </w:r>
            <w:r>
              <w:rPr>
                <w:sz w:val="18"/>
              </w:rPr>
              <w:t xml:space="preserve"> A systematic, theory-based formulation of Engineering fundamentals required in the Engineering discipline.</w:t>
            </w:r>
          </w:p>
        </w:tc>
      </w:tr>
      <w:tr w:rsidR="001917B3" w14:paraId="4F71EA5B" w14:textId="77777777">
        <w:trPr>
          <w:cantSplit/>
          <w:jc w:val="center"/>
        </w:trPr>
        <w:tc>
          <w:tcPr>
            <w:tcW w:w="9354" w:type="dxa"/>
          </w:tcPr>
          <w:p w14:paraId="0F1C6596" w14:textId="77777777" w:rsidR="001917B3" w:rsidRDefault="009077D6">
            <w:pPr>
              <w:jc w:val="both"/>
            </w:pPr>
            <w:r>
              <w:rPr>
                <w:b/>
                <w:sz w:val="18"/>
              </w:rPr>
              <w:t>K4 Engineering specialist knowledge:</w:t>
            </w:r>
            <w:r>
              <w:rPr>
                <w:sz w:val="18"/>
              </w:rPr>
              <w:t xml:space="preserve"> It provides theoretical frameworks and bodies of knowledge for the accepted practice areas in the engineering discipline; much is at the forefront of the discipline.</w:t>
            </w:r>
          </w:p>
        </w:tc>
      </w:tr>
      <w:tr w:rsidR="001917B3" w14:paraId="74B094F8" w14:textId="77777777">
        <w:trPr>
          <w:cantSplit/>
          <w:jc w:val="center"/>
        </w:trPr>
        <w:tc>
          <w:tcPr>
            <w:tcW w:w="9354" w:type="dxa"/>
          </w:tcPr>
          <w:p w14:paraId="60388E1B" w14:textId="77777777" w:rsidR="001917B3" w:rsidRDefault="009077D6">
            <w:pPr>
              <w:jc w:val="both"/>
            </w:pPr>
            <w:r>
              <w:rPr>
                <w:b/>
                <w:sz w:val="18"/>
              </w:rPr>
              <w:t>K5 Engineering Design:</w:t>
            </w:r>
            <w:r>
              <w:rPr>
                <w:sz w:val="18"/>
              </w:rPr>
              <w:t xml:space="preserve"> Knowledge that supports engineering design in a practice area.</w:t>
            </w:r>
          </w:p>
        </w:tc>
      </w:tr>
      <w:tr w:rsidR="001917B3" w14:paraId="5780FF41" w14:textId="77777777">
        <w:trPr>
          <w:cantSplit/>
          <w:jc w:val="center"/>
        </w:trPr>
        <w:tc>
          <w:tcPr>
            <w:tcW w:w="9354" w:type="dxa"/>
          </w:tcPr>
          <w:p w14:paraId="354FF544" w14:textId="77777777" w:rsidR="001917B3" w:rsidRDefault="009077D6">
            <w:pPr>
              <w:jc w:val="both"/>
            </w:pPr>
            <w:r>
              <w:rPr>
                <w:b/>
                <w:sz w:val="18"/>
              </w:rPr>
              <w:t>K6 Engineering Practice:</w:t>
            </w:r>
            <w:r>
              <w:rPr>
                <w:sz w:val="18"/>
              </w:rPr>
              <w:t xml:space="preserve"> Knowledge of engineering practice (technology) in the practice areas in the engineering discipline.</w:t>
            </w:r>
          </w:p>
        </w:tc>
      </w:tr>
      <w:tr w:rsidR="001917B3" w14:paraId="7E4565F0" w14:textId="77777777">
        <w:trPr>
          <w:cantSplit/>
          <w:jc w:val="center"/>
        </w:trPr>
        <w:tc>
          <w:tcPr>
            <w:tcW w:w="9354" w:type="dxa"/>
          </w:tcPr>
          <w:p w14:paraId="0ACD3A62" w14:textId="77777777" w:rsidR="001917B3" w:rsidRDefault="009077D6">
            <w:pPr>
              <w:jc w:val="both"/>
            </w:pPr>
            <w:r>
              <w:rPr>
                <w:b/>
                <w:sz w:val="18"/>
              </w:rPr>
              <w:t>K7 Comprehension:</w:t>
            </w:r>
            <w:r>
              <w:rPr>
                <w:sz w:val="18"/>
              </w:rPr>
              <w:t xml:space="preserve"> Comprehension of the role of engineering in society and identified issues in engineering practice in the discipline: ethics and the professional responsibility of an engineer to public safety; the impacts of engineering activity: economic, social, cultural, environmental and sustainability.</w:t>
            </w:r>
          </w:p>
        </w:tc>
      </w:tr>
      <w:tr w:rsidR="001917B3" w14:paraId="7C29AFA9" w14:textId="77777777">
        <w:trPr>
          <w:cantSplit/>
          <w:jc w:val="center"/>
        </w:trPr>
        <w:tc>
          <w:tcPr>
            <w:tcW w:w="9354" w:type="dxa"/>
          </w:tcPr>
          <w:p w14:paraId="4764AC10" w14:textId="77777777" w:rsidR="001917B3" w:rsidRDefault="009077D6">
            <w:pPr>
              <w:jc w:val="both"/>
            </w:pPr>
            <w:r>
              <w:rPr>
                <w:b/>
                <w:sz w:val="18"/>
              </w:rPr>
              <w:t>K8 Research Literature:</w:t>
            </w:r>
            <w:r>
              <w:rPr>
                <w:sz w:val="18"/>
              </w:rPr>
              <w:t xml:space="preserve"> Engagement with selected knowledge in the research literature of the discipline.</w:t>
            </w:r>
          </w:p>
        </w:tc>
      </w:tr>
    </w:tbl>
    <w:p w14:paraId="6644DC08" w14:textId="77777777" w:rsidR="001917B3" w:rsidRDefault="001917B3">
      <w:pPr>
        <w:spacing w:after="60"/>
      </w:pPr>
    </w:p>
    <w:tbl>
      <w:tblPr>
        <w:tblStyle w:val="TableGrid"/>
        <w:tblW w:w="0" w:type="auto"/>
        <w:jc w:val="center"/>
        <w:tblLayout w:type="fixed"/>
        <w:tblCellMar>
          <w:top w:w="60" w:type="dxa"/>
          <w:left w:w="80" w:type="dxa"/>
          <w:bottom w:w="60" w:type="dxa"/>
          <w:right w:w="80" w:type="dxa"/>
        </w:tblCellMar>
        <w:tblLook w:val="04A0" w:firstRow="1" w:lastRow="0" w:firstColumn="1" w:lastColumn="0" w:noHBand="0" w:noVBand="1"/>
      </w:tblPr>
      <w:tblGrid>
        <w:gridCol w:w="2835"/>
        <w:gridCol w:w="6520"/>
      </w:tblGrid>
      <w:tr w:rsidR="001917B3" w14:paraId="4C90FD29" w14:textId="77777777">
        <w:trPr>
          <w:cantSplit/>
          <w:jc w:val="center"/>
        </w:trPr>
        <w:tc>
          <w:tcPr>
            <w:tcW w:w="9355" w:type="dxa"/>
            <w:gridSpan w:val="2"/>
          </w:tcPr>
          <w:p w14:paraId="7AB9FFA3" w14:textId="77777777" w:rsidR="001917B3" w:rsidRDefault="009077D6">
            <w:pPr>
              <w:jc w:val="center"/>
            </w:pPr>
            <w:r>
              <w:rPr>
                <w:b/>
                <w:sz w:val="18"/>
              </w:rPr>
              <w:t>Complex Engineering Problem (P)</w:t>
            </w:r>
          </w:p>
        </w:tc>
      </w:tr>
      <w:tr w:rsidR="001917B3" w14:paraId="42F77583" w14:textId="77777777">
        <w:trPr>
          <w:cantSplit/>
          <w:jc w:val="center"/>
        </w:trPr>
        <w:tc>
          <w:tcPr>
            <w:tcW w:w="2835" w:type="dxa"/>
          </w:tcPr>
          <w:p w14:paraId="714CEBED" w14:textId="77777777" w:rsidR="001917B3" w:rsidRDefault="009077D6">
            <w:pPr>
              <w:jc w:val="center"/>
            </w:pPr>
            <w:r>
              <w:rPr>
                <w:b/>
                <w:sz w:val="18"/>
              </w:rPr>
              <w:t>Attribute</w:t>
            </w:r>
          </w:p>
        </w:tc>
        <w:tc>
          <w:tcPr>
            <w:tcW w:w="6520" w:type="dxa"/>
          </w:tcPr>
          <w:p w14:paraId="2F03E1BA" w14:textId="77777777" w:rsidR="001917B3" w:rsidRDefault="009077D6">
            <w:pPr>
              <w:jc w:val="center"/>
            </w:pPr>
            <w:r>
              <w:rPr>
                <w:b/>
                <w:sz w:val="18"/>
              </w:rPr>
              <w:t>Complex Engineering Problems have characteristic P1 and some or all of P2 to P7</w:t>
            </w:r>
          </w:p>
        </w:tc>
      </w:tr>
      <w:tr w:rsidR="001917B3" w14:paraId="567BD137" w14:textId="77777777">
        <w:trPr>
          <w:cantSplit/>
          <w:jc w:val="center"/>
        </w:trPr>
        <w:tc>
          <w:tcPr>
            <w:tcW w:w="2835" w:type="dxa"/>
            <w:vAlign w:val="center"/>
          </w:tcPr>
          <w:p w14:paraId="2A63ED5F" w14:textId="77777777" w:rsidR="001917B3" w:rsidRDefault="009077D6">
            <w:pPr>
              <w:jc w:val="center"/>
            </w:pPr>
            <w:r>
              <w:rPr>
                <w:b/>
                <w:sz w:val="18"/>
              </w:rPr>
              <w:t>Depth of Knowledge Required</w:t>
            </w:r>
          </w:p>
        </w:tc>
        <w:tc>
          <w:tcPr>
            <w:tcW w:w="6520" w:type="dxa"/>
          </w:tcPr>
          <w:p w14:paraId="569613A0" w14:textId="77777777" w:rsidR="001917B3" w:rsidRDefault="009077D6">
            <w:pPr>
              <w:jc w:val="both"/>
            </w:pPr>
            <w:r>
              <w:rPr>
                <w:b/>
                <w:sz w:val="18"/>
              </w:rPr>
              <w:t>P1:</w:t>
            </w:r>
            <w:r>
              <w:rPr>
                <w:sz w:val="18"/>
              </w:rPr>
              <w:t xml:space="preserve"> Cannot be resolved without in-depth engineering knowledge at the level of one or more of K3, K4, K5, K6 or K8 which allows a fundamentals-based, first principles analytical approach.</w:t>
            </w:r>
          </w:p>
        </w:tc>
      </w:tr>
      <w:tr w:rsidR="001917B3" w14:paraId="31C6E6A6" w14:textId="77777777">
        <w:trPr>
          <w:cantSplit/>
          <w:jc w:val="center"/>
        </w:trPr>
        <w:tc>
          <w:tcPr>
            <w:tcW w:w="2835" w:type="dxa"/>
            <w:vAlign w:val="center"/>
          </w:tcPr>
          <w:p w14:paraId="671620FE" w14:textId="77777777" w:rsidR="001917B3" w:rsidRDefault="009077D6">
            <w:pPr>
              <w:jc w:val="center"/>
            </w:pPr>
            <w:r>
              <w:rPr>
                <w:b/>
                <w:sz w:val="18"/>
              </w:rPr>
              <w:t>Range of Conflicting Requirements</w:t>
            </w:r>
          </w:p>
        </w:tc>
        <w:tc>
          <w:tcPr>
            <w:tcW w:w="6520" w:type="dxa"/>
          </w:tcPr>
          <w:p w14:paraId="56FC8D55" w14:textId="77777777" w:rsidR="001917B3" w:rsidRDefault="009077D6">
            <w:pPr>
              <w:jc w:val="both"/>
            </w:pPr>
            <w:r>
              <w:rPr>
                <w:b/>
                <w:sz w:val="18"/>
              </w:rPr>
              <w:t>P2:</w:t>
            </w:r>
            <w:r>
              <w:rPr>
                <w:sz w:val="18"/>
              </w:rPr>
              <w:t xml:space="preserve"> Involve wide-ranging or conflicting technical, engineering and other issues.</w:t>
            </w:r>
          </w:p>
        </w:tc>
      </w:tr>
      <w:tr w:rsidR="001917B3" w14:paraId="6736E83D" w14:textId="77777777">
        <w:trPr>
          <w:cantSplit/>
          <w:jc w:val="center"/>
        </w:trPr>
        <w:tc>
          <w:tcPr>
            <w:tcW w:w="2835" w:type="dxa"/>
            <w:vAlign w:val="center"/>
          </w:tcPr>
          <w:p w14:paraId="368B2FF1" w14:textId="77777777" w:rsidR="001917B3" w:rsidRDefault="009077D6">
            <w:pPr>
              <w:jc w:val="center"/>
            </w:pPr>
            <w:r>
              <w:rPr>
                <w:b/>
                <w:sz w:val="18"/>
              </w:rPr>
              <w:t>Depth of Analysis Required</w:t>
            </w:r>
          </w:p>
        </w:tc>
        <w:tc>
          <w:tcPr>
            <w:tcW w:w="6520" w:type="dxa"/>
          </w:tcPr>
          <w:p w14:paraId="14BB0EE3" w14:textId="77777777" w:rsidR="001917B3" w:rsidRDefault="009077D6">
            <w:pPr>
              <w:jc w:val="both"/>
            </w:pPr>
            <w:r>
              <w:rPr>
                <w:b/>
                <w:sz w:val="18"/>
              </w:rPr>
              <w:t>P3:</w:t>
            </w:r>
            <w:r>
              <w:rPr>
                <w:sz w:val="18"/>
              </w:rPr>
              <w:t xml:space="preserve"> Have no obvious solution and require abstract thinking; originality in analysis to formulate suitable models.</w:t>
            </w:r>
          </w:p>
        </w:tc>
      </w:tr>
      <w:tr w:rsidR="001917B3" w14:paraId="3A68807B" w14:textId="77777777">
        <w:trPr>
          <w:cantSplit/>
          <w:jc w:val="center"/>
        </w:trPr>
        <w:tc>
          <w:tcPr>
            <w:tcW w:w="2835" w:type="dxa"/>
            <w:vAlign w:val="center"/>
          </w:tcPr>
          <w:p w14:paraId="40785AD4" w14:textId="77777777" w:rsidR="001917B3" w:rsidRDefault="009077D6">
            <w:pPr>
              <w:jc w:val="center"/>
            </w:pPr>
            <w:r>
              <w:rPr>
                <w:b/>
                <w:sz w:val="18"/>
              </w:rPr>
              <w:t>Familiarity of Issues</w:t>
            </w:r>
          </w:p>
        </w:tc>
        <w:tc>
          <w:tcPr>
            <w:tcW w:w="6520" w:type="dxa"/>
          </w:tcPr>
          <w:p w14:paraId="64415BB8" w14:textId="77777777" w:rsidR="001917B3" w:rsidRDefault="009077D6">
            <w:pPr>
              <w:jc w:val="both"/>
            </w:pPr>
            <w:r>
              <w:rPr>
                <w:b/>
                <w:sz w:val="18"/>
              </w:rPr>
              <w:t>P4:</w:t>
            </w:r>
            <w:r>
              <w:rPr>
                <w:sz w:val="18"/>
              </w:rPr>
              <w:t xml:space="preserve"> Involve infrequently encountered issues.</w:t>
            </w:r>
          </w:p>
        </w:tc>
      </w:tr>
      <w:tr w:rsidR="001917B3" w14:paraId="13296B00" w14:textId="77777777">
        <w:trPr>
          <w:cantSplit/>
          <w:jc w:val="center"/>
        </w:trPr>
        <w:tc>
          <w:tcPr>
            <w:tcW w:w="2835" w:type="dxa"/>
            <w:vAlign w:val="center"/>
          </w:tcPr>
          <w:p w14:paraId="5615B1F8" w14:textId="77777777" w:rsidR="001917B3" w:rsidRDefault="009077D6">
            <w:pPr>
              <w:jc w:val="center"/>
            </w:pPr>
            <w:r>
              <w:rPr>
                <w:b/>
                <w:sz w:val="18"/>
              </w:rPr>
              <w:t>Extent of Applicable Codes</w:t>
            </w:r>
          </w:p>
        </w:tc>
        <w:tc>
          <w:tcPr>
            <w:tcW w:w="6520" w:type="dxa"/>
          </w:tcPr>
          <w:p w14:paraId="19595548" w14:textId="77777777" w:rsidR="001917B3" w:rsidRDefault="009077D6">
            <w:pPr>
              <w:jc w:val="both"/>
            </w:pPr>
            <w:r>
              <w:rPr>
                <w:b/>
                <w:sz w:val="18"/>
              </w:rPr>
              <w:t>P5:</w:t>
            </w:r>
            <w:r>
              <w:rPr>
                <w:sz w:val="18"/>
              </w:rPr>
              <w:t xml:space="preserve"> Are outside problems encompassed by standards and codes of practice for professional engineering.</w:t>
            </w:r>
          </w:p>
        </w:tc>
      </w:tr>
      <w:tr w:rsidR="001917B3" w14:paraId="3FA05639" w14:textId="77777777">
        <w:trPr>
          <w:cantSplit/>
          <w:jc w:val="center"/>
        </w:trPr>
        <w:tc>
          <w:tcPr>
            <w:tcW w:w="2835" w:type="dxa"/>
            <w:vAlign w:val="center"/>
          </w:tcPr>
          <w:p w14:paraId="36FA892F" w14:textId="77777777" w:rsidR="001917B3" w:rsidRDefault="009077D6">
            <w:pPr>
              <w:jc w:val="center"/>
            </w:pPr>
            <w:r>
              <w:rPr>
                <w:b/>
                <w:sz w:val="18"/>
              </w:rPr>
              <w:t>Extent of Stakeholder Involvement and Conflicting Requirements</w:t>
            </w:r>
          </w:p>
        </w:tc>
        <w:tc>
          <w:tcPr>
            <w:tcW w:w="6520" w:type="dxa"/>
          </w:tcPr>
          <w:p w14:paraId="446DB407" w14:textId="77777777" w:rsidR="001917B3" w:rsidRDefault="009077D6">
            <w:pPr>
              <w:jc w:val="both"/>
            </w:pPr>
            <w:r>
              <w:rPr>
                <w:b/>
                <w:sz w:val="18"/>
              </w:rPr>
              <w:t>P6:</w:t>
            </w:r>
            <w:r>
              <w:rPr>
                <w:sz w:val="18"/>
              </w:rPr>
              <w:t xml:space="preserve"> Involve diverse groups of stakeholders with widely varying needs.</w:t>
            </w:r>
          </w:p>
        </w:tc>
      </w:tr>
      <w:tr w:rsidR="001917B3" w14:paraId="3E4ABF8D" w14:textId="77777777">
        <w:trPr>
          <w:cantSplit/>
          <w:jc w:val="center"/>
        </w:trPr>
        <w:tc>
          <w:tcPr>
            <w:tcW w:w="2835" w:type="dxa"/>
            <w:vAlign w:val="center"/>
          </w:tcPr>
          <w:p w14:paraId="05188ED8" w14:textId="77777777" w:rsidR="001917B3" w:rsidRDefault="009077D6">
            <w:pPr>
              <w:jc w:val="center"/>
            </w:pPr>
            <w:r>
              <w:rPr>
                <w:b/>
                <w:sz w:val="18"/>
              </w:rPr>
              <w:t>Interdependence</w:t>
            </w:r>
          </w:p>
        </w:tc>
        <w:tc>
          <w:tcPr>
            <w:tcW w:w="6520" w:type="dxa"/>
          </w:tcPr>
          <w:p w14:paraId="1A2CA88C" w14:textId="77777777" w:rsidR="001917B3" w:rsidRDefault="009077D6">
            <w:pPr>
              <w:jc w:val="both"/>
            </w:pPr>
            <w:r>
              <w:rPr>
                <w:b/>
                <w:sz w:val="18"/>
              </w:rPr>
              <w:t>P7:</w:t>
            </w:r>
            <w:r>
              <w:rPr>
                <w:sz w:val="18"/>
              </w:rPr>
              <w:t xml:space="preserve"> High level problems including many component parts or sub problems.</w:t>
            </w:r>
          </w:p>
        </w:tc>
      </w:tr>
    </w:tbl>
    <w:p w14:paraId="54A36302" w14:textId="77777777" w:rsidR="001917B3" w:rsidRDefault="001917B3">
      <w:pPr>
        <w:spacing w:after="60"/>
      </w:pPr>
    </w:p>
    <w:tbl>
      <w:tblPr>
        <w:tblStyle w:val="TableGrid"/>
        <w:tblW w:w="0" w:type="auto"/>
        <w:jc w:val="center"/>
        <w:tblLayout w:type="fixed"/>
        <w:tblCellMar>
          <w:top w:w="60" w:type="dxa"/>
          <w:left w:w="80" w:type="dxa"/>
          <w:bottom w:w="60" w:type="dxa"/>
          <w:right w:w="80" w:type="dxa"/>
        </w:tblCellMar>
        <w:tblLook w:val="04A0" w:firstRow="1" w:lastRow="0" w:firstColumn="1" w:lastColumn="0" w:noHBand="0" w:noVBand="1"/>
      </w:tblPr>
      <w:tblGrid>
        <w:gridCol w:w="2381"/>
        <w:gridCol w:w="6973"/>
      </w:tblGrid>
      <w:tr w:rsidR="001917B3" w14:paraId="52A28438" w14:textId="77777777">
        <w:trPr>
          <w:cantSplit/>
          <w:jc w:val="center"/>
        </w:trPr>
        <w:tc>
          <w:tcPr>
            <w:tcW w:w="9354" w:type="dxa"/>
            <w:gridSpan w:val="2"/>
          </w:tcPr>
          <w:p w14:paraId="1B1A14F4" w14:textId="77777777" w:rsidR="001917B3" w:rsidRDefault="009077D6">
            <w:pPr>
              <w:jc w:val="center"/>
            </w:pPr>
            <w:r>
              <w:rPr>
                <w:b/>
                <w:sz w:val="18"/>
              </w:rPr>
              <w:t>Complex Engineering Activities (A)</w:t>
            </w:r>
          </w:p>
        </w:tc>
      </w:tr>
      <w:tr w:rsidR="001917B3" w14:paraId="5AEB09A4" w14:textId="77777777">
        <w:trPr>
          <w:cantSplit/>
          <w:jc w:val="center"/>
        </w:trPr>
        <w:tc>
          <w:tcPr>
            <w:tcW w:w="2381" w:type="dxa"/>
          </w:tcPr>
          <w:p w14:paraId="3FB73F4C" w14:textId="77777777" w:rsidR="001917B3" w:rsidRDefault="009077D6">
            <w:pPr>
              <w:jc w:val="center"/>
            </w:pPr>
            <w:r>
              <w:rPr>
                <w:b/>
                <w:sz w:val="18"/>
              </w:rPr>
              <w:t>Attribute</w:t>
            </w:r>
          </w:p>
        </w:tc>
        <w:tc>
          <w:tcPr>
            <w:tcW w:w="6973" w:type="dxa"/>
          </w:tcPr>
          <w:p w14:paraId="7404101C" w14:textId="77777777" w:rsidR="001917B3" w:rsidRDefault="009077D6">
            <w:pPr>
              <w:jc w:val="center"/>
            </w:pPr>
            <w:r>
              <w:rPr>
                <w:b/>
                <w:sz w:val="18"/>
              </w:rPr>
              <w:t xml:space="preserve">Complex activities </w:t>
            </w:r>
            <w:proofErr w:type="gramStart"/>
            <w:r>
              <w:rPr>
                <w:b/>
                <w:sz w:val="18"/>
              </w:rPr>
              <w:t>means</w:t>
            </w:r>
            <w:proofErr w:type="gramEnd"/>
            <w:r>
              <w:rPr>
                <w:b/>
                <w:sz w:val="18"/>
              </w:rPr>
              <w:t xml:space="preserve"> activities or projects that have some or all of the following characteristics</w:t>
            </w:r>
          </w:p>
        </w:tc>
      </w:tr>
      <w:tr w:rsidR="001917B3" w14:paraId="6BA9AB24" w14:textId="77777777">
        <w:trPr>
          <w:cantSplit/>
          <w:jc w:val="center"/>
        </w:trPr>
        <w:tc>
          <w:tcPr>
            <w:tcW w:w="2381" w:type="dxa"/>
            <w:vAlign w:val="center"/>
          </w:tcPr>
          <w:p w14:paraId="05DDC202" w14:textId="77777777" w:rsidR="001917B3" w:rsidRDefault="009077D6">
            <w:pPr>
              <w:jc w:val="center"/>
            </w:pPr>
            <w:r>
              <w:rPr>
                <w:b/>
                <w:sz w:val="18"/>
              </w:rPr>
              <w:t>Range of Resources</w:t>
            </w:r>
          </w:p>
        </w:tc>
        <w:tc>
          <w:tcPr>
            <w:tcW w:w="6973" w:type="dxa"/>
          </w:tcPr>
          <w:p w14:paraId="276869A5" w14:textId="77777777" w:rsidR="001917B3" w:rsidRDefault="009077D6">
            <w:pPr>
              <w:jc w:val="both"/>
            </w:pPr>
            <w:r>
              <w:rPr>
                <w:b/>
                <w:sz w:val="18"/>
              </w:rPr>
              <w:t>A1:</w:t>
            </w:r>
            <w:r>
              <w:rPr>
                <w:sz w:val="18"/>
              </w:rPr>
              <w:t xml:space="preserve"> Involve the use of diverse resources (and for this purpose resources include people, money, equipment, materials, information and technologies).</w:t>
            </w:r>
          </w:p>
        </w:tc>
      </w:tr>
      <w:tr w:rsidR="001917B3" w14:paraId="5D71129A" w14:textId="77777777">
        <w:trPr>
          <w:cantSplit/>
          <w:jc w:val="center"/>
        </w:trPr>
        <w:tc>
          <w:tcPr>
            <w:tcW w:w="2381" w:type="dxa"/>
            <w:vAlign w:val="center"/>
          </w:tcPr>
          <w:p w14:paraId="671779DD" w14:textId="77777777" w:rsidR="001917B3" w:rsidRDefault="009077D6">
            <w:pPr>
              <w:jc w:val="center"/>
            </w:pPr>
            <w:r>
              <w:rPr>
                <w:b/>
                <w:sz w:val="18"/>
              </w:rPr>
              <w:t>Level of Interaction</w:t>
            </w:r>
          </w:p>
        </w:tc>
        <w:tc>
          <w:tcPr>
            <w:tcW w:w="6973" w:type="dxa"/>
          </w:tcPr>
          <w:p w14:paraId="0AAB01CF" w14:textId="77777777" w:rsidR="001917B3" w:rsidRDefault="009077D6">
            <w:pPr>
              <w:jc w:val="both"/>
            </w:pPr>
            <w:r>
              <w:rPr>
                <w:b/>
                <w:sz w:val="18"/>
              </w:rPr>
              <w:t>A2:</w:t>
            </w:r>
            <w:r>
              <w:rPr>
                <w:sz w:val="18"/>
              </w:rPr>
              <w:t xml:space="preserve"> Require resolution of significant problems arising from interactions between wide-ranging or conflicting technical, engineering or other issues.</w:t>
            </w:r>
          </w:p>
        </w:tc>
      </w:tr>
      <w:tr w:rsidR="001917B3" w14:paraId="74AFF7AA" w14:textId="77777777">
        <w:trPr>
          <w:cantSplit/>
          <w:jc w:val="center"/>
        </w:trPr>
        <w:tc>
          <w:tcPr>
            <w:tcW w:w="2381" w:type="dxa"/>
            <w:vAlign w:val="center"/>
          </w:tcPr>
          <w:p w14:paraId="55E384D2" w14:textId="77777777" w:rsidR="001917B3" w:rsidRDefault="009077D6">
            <w:pPr>
              <w:jc w:val="center"/>
            </w:pPr>
            <w:r>
              <w:rPr>
                <w:b/>
                <w:sz w:val="18"/>
              </w:rPr>
              <w:t>Innovation</w:t>
            </w:r>
          </w:p>
        </w:tc>
        <w:tc>
          <w:tcPr>
            <w:tcW w:w="6973" w:type="dxa"/>
          </w:tcPr>
          <w:p w14:paraId="146B5531" w14:textId="77777777" w:rsidR="001917B3" w:rsidRDefault="009077D6">
            <w:pPr>
              <w:jc w:val="both"/>
            </w:pPr>
            <w:r>
              <w:rPr>
                <w:b/>
                <w:sz w:val="18"/>
              </w:rPr>
              <w:t>A3:</w:t>
            </w:r>
            <w:r>
              <w:rPr>
                <w:sz w:val="18"/>
              </w:rPr>
              <w:t xml:space="preserve"> Involve creative use of engineering principles and research-based knowledge in novel ways.</w:t>
            </w:r>
          </w:p>
        </w:tc>
      </w:tr>
      <w:tr w:rsidR="001917B3" w14:paraId="160EAF8D" w14:textId="77777777">
        <w:trPr>
          <w:cantSplit/>
          <w:jc w:val="center"/>
        </w:trPr>
        <w:tc>
          <w:tcPr>
            <w:tcW w:w="2381" w:type="dxa"/>
            <w:vAlign w:val="center"/>
          </w:tcPr>
          <w:p w14:paraId="1DBD1DCF" w14:textId="77777777" w:rsidR="001917B3" w:rsidRDefault="009077D6">
            <w:pPr>
              <w:jc w:val="center"/>
            </w:pPr>
            <w:r>
              <w:rPr>
                <w:b/>
                <w:sz w:val="18"/>
              </w:rPr>
              <w:t>Consequences for Society and the Environment</w:t>
            </w:r>
          </w:p>
        </w:tc>
        <w:tc>
          <w:tcPr>
            <w:tcW w:w="6973" w:type="dxa"/>
          </w:tcPr>
          <w:p w14:paraId="7B2D5B26" w14:textId="77777777" w:rsidR="001917B3" w:rsidRDefault="009077D6">
            <w:pPr>
              <w:jc w:val="both"/>
            </w:pPr>
            <w:r>
              <w:rPr>
                <w:b/>
                <w:sz w:val="18"/>
              </w:rPr>
              <w:t>A4:</w:t>
            </w:r>
            <w:r>
              <w:rPr>
                <w:sz w:val="18"/>
              </w:rPr>
              <w:t xml:space="preserve"> Have significant consequences in a range of contexts, characterized by difficulty of prediction and mitigation.</w:t>
            </w:r>
          </w:p>
        </w:tc>
      </w:tr>
      <w:tr w:rsidR="001917B3" w14:paraId="53FE652D" w14:textId="77777777">
        <w:trPr>
          <w:cantSplit/>
          <w:jc w:val="center"/>
        </w:trPr>
        <w:tc>
          <w:tcPr>
            <w:tcW w:w="2381" w:type="dxa"/>
            <w:vAlign w:val="center"/>
          </w:tcPr>
          <w:p w14:paraId="4C7179AE" w14:textId="77777777" w:rsidR="001917B3" w:rsidRDefault="009077D6">
            <w:pPr>
              <w:jc w:val="center"/>
            </w:pPr>
            <w:r>
              <w:rPr>
                <w:b/>
                <w:sz w:val="18"/>
              </w:rPr>
              <w:t>Familiarity</w:t>
            </w:r>
          </w:p>
        </w:tc>
        <w:tc>
          <w:tcPr>
            <w:tcW w:w="6973" w:type="dxa"/>
          </w:tcPr>
          <w:p w14:paraId="3855F0A9" w14:textId="77777777" w:rsidR="001917B3" w:rsidRDefault="009077D6">
            <w:pPr>
              <w:jc w:val="both"/>
            </w:pPr>
            <w:r>
              <w:rPr>
                <w:b/>
                <w:sz w:val="18"/>
              </w:rPr>
              <w:t>A5:</w:t>
            </w:r>
            <w:r>
              <w:rPr>
                <w:sz w:val="18"/>
              </w:rPr>
              <w:t xml:space="preserve"> Can extend beyond previous experiences by applying principles-based approaches.</w:t>
            </w:r>
          </w:p>
        </w:tc>
      </w:tr>
    </w:tbl>
    <w:p w14:paraId="617C4AC2" w14:textId="77777777" w:rsidR="009077D6" w:rsidRDefault="009077D6"/>
    <w:sectPr w:rsidR="009077D6" w:rsidSect="00034616">
      <w:headerReference w:type="default" r:id="rId8"/>
      <w:footerReference w:type="default" r:id="rId9"/>
      <w:pgSz w:w="12240" w:h="15840"/>
      <w:pgMar w:top="576" w:right="1440" w:bottom="864"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FDDCF" w14:textId="77777777" w:rsidR="009373A8" w:rsidRDefault="009373A8">
      <w:r>
        <w:separator/>
      </w:r>
    </w:p>
  </w:endnote>
  <w:endnote w:type="continuationSeparator" w:id="0">
    <w:p w14:paraId="40E9E399" w14:textId="77777777" w:rsidR="009373A8" w:rsidRDefault="00937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C3B4" w14:textId="77777777" w:rsidR="001917B3" w:rsidRDefault="009077D6">
    <w:pPr>
      <w:pStyle w:val="Footer"/>
      <w:jc w:val="right"/>
    </w:pPr>
    <w:r>
      <w:rPr>
        <w:sz w:val="22"/>
      </w:rPr>
      <w:t xml:space="preserve">Page </w:t>
    </w:r>
    <w:r>
      <w:rPr>
        <w:b/>
        <w:sz w:val="22"/>
      </w:rPr>
      <w:fldChar w:fldCharType="begin"/>
    </w:r>
    <w:r>
      <w:rPr>
        <w:b/>
        <w:sz w:val="22"/>
      </w:rPr>
      <w:instrText xml:space="preserve"> PAGE </w:instrText>
    </w:r>
    <w:r>
      <w:rPr>
        <w:b/>
        <w:sz w:val="22"/>
      </w:rPr>
      <w:fldChar w:fldCharType="separate"/>
    </w:r>
    <w:r>
      <w:rPr>
        <w:b/>
        <w:sz w:val="22"/>
      </w:rPr>
      <w:t>1</w:t>
    </w:r>
    <w:r>
      <w:rPr>
        <w:b/>
        <w:sz w:val="22"/>
      </w:rPr>
      <w:fldChar w:fldCharType="end"/>
    </w:r>
    <w:r>
      <w:rPr>
        <w:sz w:val="22"/>
      </w:rPr>
      <w:t xml:space="preserve"> of </w:t>
    </w:r>
    <w:r>
      <w:rPr>
        <w:b/>
        <w:sz w:val="22"/>
      </w:rPr>
      <w:fldChar w:fldCharType="begin"/>
    </w:r>
    <w:r>
      <w:rPr>
        <w:b/>
        <w:sz w:val="22"/>
      </w:rPr>
      <w:instrText xml:space="preserve"> NUMPAGES </w:instrText>
    </w:r>
    <w:r>
      <w:rPr>
        <w:b/>
        <w:sz w:val="22"/>
      </w:rPr>
      <w:fldChar w:fldCharType="separate"/>
    </w:r>
    <w:r>
      <w:rPr>
        <w:b/>
        <w:sz w:val="22"/>
      </w:rPr>
      <w:t>1</w:t>
    </w:r>
    <w:r>
      <w:rPr>
        <w:b/>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C33F5" w14:textId="77777777" w:rsidR="009373A8" w:rsidRDefault="009373A8">
      <w:r>
        <w:separator/>
      </w:r>
    </w:p>
  </w:footnote>
  <w:footnote w:type="continuationSeparator" w:id="0">
    <w:p w14:paraId="7BBE9896" w14:textId="77777777" w:rsidR="009373A8" w:rsidRDefault="00937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D9DBD" w14:textId="77777777" w:rsidR="001917B3" w:rsidRDefault="009077D6">
    <w:pPr>
      <w:pStyle w:val="Header"/>
      <w:jc w:val="center"/>
    </w:pPr>
    <w:r>
      <w:rPr>
        <w:noProof/>
      </w:rPr>
      <w:drawing>
        <wp:inline distT="0" distB="0" distL="0" distR="0" wp14:anchorId="699EDCAC" wp14:editId="0E84B47D">
          <wp:extent cx="6035040" cy="634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1"/>
                  <a:stretch>
                    <a:fillRect/>
                  </a:stretch>
                </pic:blipFill>
                <pic:spPr>
                  <a:xfrm>
                    <a:off x="0" y="0"/>
                    <a:ext cx="6035040" cy="6344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C72425C"/>
    <w:lvl w:ilvl="0">
      <w:start w:val="1"/>
      <w:numFmt w:val="bullet"/>
      <w:pStyle w:val="ListBullet"/>
      <w:lvlText w:val=""/>
      <w:lvlJc w:val="left"/>
      <w:pPr>
        <w:tabs>
          <w:tab w:val="num" w:pos="360"/>
        </w:tabs>
        <w:ind w:left="360" w:hanging="360"/>
      </w:pPr>
      <w:rPr>
        <w:rFonts w:ascii="Symbol" w:hAnsi="Symbol" w:hint="default"/>
      </w:rPr>
    </w:lvl>
  </w:abstractNum>
  <w:num w:numId="1" w16cid:durableId="1225141714">
    <w:abstractNumId w:val="8"/>
  </w:num>
  <w:num w:numId="2" w16cid:durableId="1567957249">
    <w:abstractNumId w:val="6"/>
  </w:num>
  <w:num w:numId="3" w16cid:durableId="459154199">
    <w:abstractNumId w:val="5"/>
  </w:num>
  <w:num w:numId="4" w16cid:durableId="873735366">
    <w:abstractNumId w:val="4"/>
  </w:num>
  <w:num w:numId="5" w16cid:durableId="68581943">
    <w:abstractNumId w:val="7"/>
  </w:num>
  <w:num w:numId="6" w16cid:durableId="594092893">
    <w:abstractNumId w:val="3"/>
  </w:num>
  <w:num w:numId="7" w16cid:durableId="2028630484">
    <w:abstractNumId w:val="2"/>
  </w:num>
  <w:num w:numId="8" w16cid:durableId="358510583">
    <w:abstractNumId w:val="1"/>
  </w:num>
  <w:num w:numId="9" w16cid:durableId="1886870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7B3"/>
    <w:rsid w:val="00221AA8"/>
    <w:rsid w:val="0029639D"/>
    <w:rsid w:val="00326F90"/>
    <w:rsid w:val="009077D6"/>
    <w:rsid w:val="009373A8"/>
    <w:rsid w:val="00952F29"/>
    <w:rsid w:val="00AA1D8D"/>
    <w:rsid w:val="00B052CB"/>
    <w:rsid w:val="00B47730"/>
    <w:rsid w:val="00CB0664"/>
    <w:rsid w:val="00D742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A3313E"/>
  <w14:defaultImageDpi w14:val="300"/>
  <w15:docId w15:val="{E0792F91-52DF-47FB-A7E7-FC311B8D6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Mashrafe Uddin Tarafder</cp:lastModifiedBy>
  <cp:revision>4</cp:revision>
  <cp:lastPrinted>2026-09-15T09:42:00Z</cp:lastPrinted>
  <dcterms:created xsi:type="dcterms:W3CDTF">2013-12-23T23:15:00Z</dcterms:created>
  <dcterms:modified xsi:type="dcterms:W3CDTF">2026-09-15T09:52:00Z</dcterms:modified>
  <cp:category/>
</cp:coreProperties>
</file>