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5" Type="http://purl.oclc.org/ooxml/officeDocument/relationships/customProperties" Target="docProps/custom.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7EDFAC9D" w14:textId="59339719" w:rsidR="001D626D" w:rsidRPr="00942DBF" w:rsidRDefault="001D626D" w:rsidP="00942DBF">
      <w:pPr>
        <w:pStyle w:val="Author"/>
        <w:spacing w:before="5pt" w:beforeAutospacing="1" w:after="5pt" w:afterAutospacing="1" w:line="13.80pt" w:lineRule="auto"/>
        <w:rPr>
          <w:color w:val="000000" w:themeColor="text1"/>
          <w:sz w:val="32"/>
          <w:szCs w:val="32"/>
        </w:rPr>
      </w:pPr>
      <w:r w:rsidRPr="00942DBF">
        <w:rPr>
          <w:color w:val="000000" w:themeColor="text1"/>
          <w:sz w:val="32"/>
          <w:szCs w:val="32"/>
        </w:rPr>
        <w:t>Attention-Based Bidirectional LSTM for Multi-Class Hand Gesture Recognition Using sEMG Signals from NinaPro DB2</w:t>
      </w:r>
    </w:p>
    <w:p w14:paraId="1F960E65" w14:textId="2B387F50" w:rsidR="00D7522C" w:rsidRPr="00430D5C" w:rsidRDefault="00D7522C" w:rsidP="00942DBF">
      <w:pPr>
        <w:pStyle w:val="Author"/>
        <w:tabs>
          <w:tab w:val="start" w:pos="329.05pt"/>
        </w:tabs>
        <w:spacing w:before="5pt" w:beforeAutospacing="1" w:after="5pt" w:afterAutospacing="1" w:line="6pt" w:lineRule="auto"/>
        <w:jc w:val="both"/>
        <w:rPr>
          <w:color w:val="000000" w:themeColor="text1"/>
          <w:sz w:val="20"/>
          <w:szCs w:val="20"/>
        </w:rPr>
        <w:sectPr w:rsidR="00D7522C" w:rsidRPr="00430D5C" w:rsidSect="003B4E04">
          <w:footerReference w:type="first" r:id="rId8"/>
          <w:pgSz w:w="595.30pt" w:h="841.90pt" w:code="9"/>
          <w:pgMar w:top="27pt" w:right="44.65pt" w:bottom="72pt" w:left="44.65pt" w:header="36pt" w:footer="36pt" w:gutter="0pt"/>
          <w:cols w:space="36pt"/>
          <w:titlePg/>
          <w:docGrid w:linePitch="360"/>
        </w:sectPr>
      </w:pPr>
    </w:p>
    <w:p w14:paraId="4E1F112B" w14:textId="0E223067" w:rsidR="008371A6" w:rsidRDefault="008371A6" w:rsidP="008371A6">
      <w:pPr>
        <w:pStyle w:val="Author"/>
        <w:spacing w:before="5pt" w:beforeAutospacing="1"/>
        <w:rPr>
          <w:sz w:val="18"/>
          <w:szCs w:val="18"/>
        </w:rPr>
      </w:pPr>
      <w:r>
        <w:rPr>
          <w:sz w:val="18"/>
          <w:szCs w:val="18"/>
        </w:rPr>
        <w:t>Mashrafe Uddin Tarafder</w:t>
      </w:r>
      <w:r w:rsidRPr="00F847A6">
        <w:rPr>
          <w:sz w:val="18"/>
          <w:szCs w:val="18"/>
        </w:rPr>
        <w:t xml:space="preserve"> </w:t>
      </w:r>
      <w:r w:rsidRPr="00F847A6">
        <w:rPr>
          <w:sz w:val="18"/>
          <w:szCs w:val="18"/>
        </w:rPr>
        <w:br/>
      </w:r>
      <w:r>
        <w:rPr>
          <w:i/>
          <w:sz w:val="18"/>
          <w:szCs w:val="18"/>
        </w:rPr>
        <w:t>Department of Computer Science and Engineering</w:t>
      </w:r>
      <w:r w:rsidRPr="00F847A6">
        <w:rPr>
          <w:sz w:val="18"/>
          <w:szCs w:val="18"/>
        </w:rPr>
        <w:br/>
      </w:r>
      <w:r>
        <w:rPr>
          <w:i/>
          <w:sz w:val="18"/>
          <w:szCs w:val="18"/>
        </w:rPr>
        <w:t>International University of Business Agriculture and Technology</w:t>
      </w:r>
      <w:r w:rsidRPr="00F847A6">
        <w:rPr>
          <w:i/>
          <w:sz w:val="18"/>
          <w:szCs w:val="18"/>
        </w:rPr>
        <w:br/>
      </w:r>
      <w:r>
        <w:rPr>
          <w:sz w:val="18"/>
          <w:szCs w:val="18"/>
        </w:rPr>
        <w:t>Dhaka, Bangladesh</w:t>
      </w:r>
      <w:r w:rsidRPr="00F847A6">
        <w:rPr>
          <w:sz w:val="18"/>
          <w:szCs w:val="18"/>
        </w:rPr>
        <w:br/>
      </w:r>
      <w:r>
        <w:rPr>
          <w:sz w:val="18"/>
          <w:szCs w:val="18"/>
        </w:rPr>
        <w:t>mashrafeiubat@gmail.com</w:t>
      </w:r>
    </w:p>
    <w:p w14:paraId="7BE0A787" w14:textId="77777777" w:rsidR="008371A6" w:rsidRDefault="008371A6" w:rsidP="008371A6">
      <w:pPr>
        <w:pStyle w:val="Author"/>
        <w:spacing w:before="0pt"/>
        <w:rPr>
          <w:sz w:val="18"/>
          <w:szCs w:val="18"/>
        </w:rPr>
      </w:pPr>
      <w:r>
        <w:rPr>
          <w:sz w:val="18"/>
          <w:szCs w:val="18"/>
        </w:rPr>
        <w:br w:type="column"/>
      </w:r>
      <w:r>
        <w:rPr>
          <w:sz w:val="18"/>
          <w:szCs w:val="18"/>
        </w:rPr>
        <w:t>Din Islam</w:t>
      </w:r>
    </w:p>
    <w:p w14:paraId="18E28E1E" w14:textId="4C846077" w:rsidR="008371A6" w:rsidRPr="00F847A6" w:rsidRDefault="008371A6" w:rsidP="008371A6">
      <w:pPr>
        <w:pStyle w:val="Author"/>
        <w:spacing w:before="0pt"/>
        <w:rPr>
          <w:sz w:val="18"/>
          <w:szCs w:val="18"/>
        </w:rPr>
      </w:pPr>
      <w:r>
        <w:rPr>
          <w:i/>
          <w:sz w:val="18"/>
          <w:szCs w:val="18"/>
        </w:rPr>
        <w:t>Department of Computer Science and Engineering</w:t>
      </w:r>
      <w:r w:rsidRPr="00F847A6">
        <w:rPr>
          <w:sz w:val="18"/>
          <w:szCs w:val="18"/>
        </w:rPr>
        <w:br/>
      </w:r>
      <w:r>
        <w:rPr>
          <w:i/>
          <w:sz w:val="18"/>
          <w:szCs w:val="18"/>
        </w:rPr>
        <w:t>International University of Business Agriculture and Technology</w:t>
      </w:r>
      <w:r w:rsidRPr="00F847A6">
        <w:rPr>
          <w:i/>
          <w:sz w:val="18"/>
          <w:szCs w:val="18"/>
        </w:rPr>
        <w:br/>
      </w:r>
      <w:r>
        <w:rPr>
          <w:sz w:val="18"/>
          <w:szCs w:val="18"/>
        </w:rPr>
        <w:t>Dhaka, Bangladesh</w:t>
      </w:r>
      <w:r w:rsidRPr="00F847A6">
        <w:rPr>
          <w:sz w:val="18"/>
          <w:szCs w:val="18"/>
        </w:rPr>
        <w:br/>
      </w:r>
      <w:r w:rsidR="00547C07" w:rsidRPr="00547C07">
        <w:rPr>
          <w:sz w:val="18"/>
          <w:szCs w:val="18"/>
        </w:rPr>
        <w:t>dinislamweb402@gmail.com</w:t>
      </w:r>
    </w:p>
    <w:p w14:paraId="12ED0BB1" w14:textId="3D604221" w:rsidR="008371A6" w:rsidRDefault="008371A6" w:rsidP="008371A6">
      <w:pPr>
        <w:pStyle w:val="Author"/>
        <w:spacing w:before="5pt" w:beforeAutospacing="1"/>
        <w:rPr>
          <w:sz w:val="18"/>
          <w:szCs w:val="18"/>
        </w:rPr>
      </w:pPr>
      <w:r>
        <w:rPr>
          <w:sz w:val="18"/>
          <w:szCs w:val="18"/>
        </w:rPr>
        <w:t>Ferdous Anam Jibon</w:t>
      </w:r>
      <w:r w:rsidRPr="00F847A6">
        <w:rPr>
          <w:sz w:val="18"/>
          <w:szCs w:val="18"/>
        </w:rPr>
        <w:br/>
      </w:r>
      <w:r>
        <w:rPr>
          <w:i/>
          <w:sz w:val="18"/>
          <w:szCs w:val="18"/>
        </w:rPr>
        <w:t>Department of Computer Science and Engineering</w:t>
      </w:r>
      <w:r w:rsidRPr="00F847A6">
        <w:rPr>
          <w:sz w:val="18"/>
          <w:szCs w:val="18"/>
        </w:rPr>
        <w:br/>
      </w:r>
      <w:r>
        <w:rPr>
          <w:i/>
          <w:sz w:val="18"/>
          <w:szCs w:val="18"/>
        </w:rPr>
        <w:t>International University of Business Agriculture and Technology</w:t>
      </w:r>
      <w:r w:rsidRPr="00F847A6">
        <w:rPr>
          <w:i/>
          <w:sz w:val="18"/>
          <w:szCs w:val="18"/>
        </w:rPr>
        <w:br/>
      </w:r>
      <w:r>
        <w:rPr>
          <w:sz w:val="18"/>
          <w:szCs w:val="18"/>
        </w:rPr>
        <w:t>Dhaka, Bangladesh</w:t>
      </w:r>
      <w:r w:rsidRPr="00F847A6">
        <w:rPr>
          <w:sz w:val="18"/>
          <w:szCs w:val="18"/>
        </w:rPr>
        <w:br/>
      </w:r>
      <w:r w:rsidR="00547C07" w:rsidRPr="00547C07">
        <w:rPr>
          <w:sz w:val="18"/>
          <w:szCs w:val="18"/>
        </w:rPr>
        <w:t>jibon.cse@iubat.edu</w:t>
      </w:r>
    </w:p>
    <w:p w14:paraId="7C483878" w14:textId="76E16611" w:rsidR="008371A6" w:rsidRDefault="008371A6" w:rsidP="008371A6">
      <w:pPr>
        <w:pStyle w:val="Author"/>
        <w:spacing w:before="0pt"/>
        <w:rPr>
          <w:sz w:val="18"/>
          <w:szCs w:val="18"/>
        </w:rPr>
      </w:pPr>
      <w:r>
        <w:rPr>
          <w:sz w:val="18"/>
          <w:szCs w:val="18"/>
        </w:rPr>
        <w:br w:type="column"/>
      </w:r>
      <w:r>
        <w:rPr>
          <w:sz w:val="18"/>
          <w:szCs w:val="18"/>
        </w:rPr>
        <w:t>Takrim</w:t>
      </w:r>
      <w:r w:rsidR="004D4FCA">
        <w:rPr>
          <w:sz w:val="18"/>
          <w:szCs w:val="18"/>
        </w:rPr>
        <w:t xml:space="preserve"> Uddin Ahmed</w:t>
      </w:r>
      <w:r>
        <w:rPr>
          <w:sz w:val="18"/>
          <w:szCs w:val="18"/>
        </w:rPr>
        <w:t xml:space="preserve"> Jengi</w:t>
      </w:r>
    </w:p>
    <w:p w14:paraId="4672D32A" w14:textId="6EBD45DF" w:rsidR="008371A6" w:rsidRPr="00F847A6" w:rsidRDefault="008371A6" w:rsidP="008371A6">
      <w:pPr>
        <w:pStyle w:val="Author"/>
        <w:spacing w:before="0pt"/>
        <w:rPr>
          <w:sz w:val="18"/>
          <w:szCs w:val="18"/>
        </w:rPr>
      </w:pPr>
      <w:r>
        <w:rPr>
          <w:i/>
          <w:sz w:val="18"/>
          <w:szCs w:val="18"/>
        </w:rPr>
        <w:t xml:space="preserve"> Department of Computer Science and Engineering</w:t>
      </w:r>
      <w:r w:rsidRPr="00F847A6">
        <w:rPr>
          <w:sz w:val="18"/>
          <w:szCs w:val="18"/>
        </w:rPr>
        <w:br/>
      </w:r>
      <w:r>
        <w:rPr>
          <w:i/>
          <w:sz w:val="18"/>
          <w:szCs w:val="18"/>
        </w:rPr>
        <w:t>International University of Business Agriculture and Technology</w:t>
      </w:r>
      <w:r w:rsidRPr="00F847A6">
        <w:rPr>
          <w:i/>
          <w:sz w:val="18"/>
          <w:szCs w:val="18"/>
        </w:rPr>
        <w:br/>
      </w:r>
      <w:r>
        <w:rPr>
          <w:sz w:val="18"/>
          <w:szCs w:val="18"/>
        </w:rPr>
        <w:t>Dhaka, Bangladesh</w:t>
      </w:r>
      <w:r w:rsidRPr="00F847A6">
        <w:rPr>
          <w:sz w:val="18"/>
          <w:szCs w:val="18"/>
        </w:rPr>
        <w:br/>
      </w:r>
      <w:r w:rsidRPr="008371A6">
        <w:rPr>
          <w:sz w:val="18"/>
          <w:szCs w:val="18"/>
        </w:rPr>
        <w:t>takrimahmedjengi@gmail.com</w:t>
      </w:r>
    </w:p>
    <w:p w14:paraId="0A88E65D" w14:textId="2562AFDD" w:rsidR="009303D9" w:rsidRPr="00430D5C" w:rsidRDefault="009303D9" w:rsidP="00391559">
      <w:pPr>
        <w:jc w:val="both"/>
        <w:rPr>
          <w:color w:val="000000" w:themeColor="text1"/>
        </w:rPr>
        <w:sectPr w:rsidR="009303D9" w:rsidRPr="00430D5C" w:rsidSect="003B4E04">
          <w:type w:val="continuous"/>
          <w:pgSz w:w="595.30pt" w:h="841.90pt" w:code="9"/>
          <w:pgMar w:top="22.50pt" w:right="44.65pt" w:bottom="72pt" w:left="44.65pt" w:header="36pt" w:footer="36pt" w:gutter="0pt"/>
          <w:cols w:num="3" w:space="36pt"/>
          <w:docGrid w:linePitch="360"/>
        </w:sectPr>
      </w:pPr>
    </w:p>
    <w:p w14:paraId="5DEF6904" w14:textId="6863FF13" w:rsidR="004D4FCA" w:rsidRDefault="004D4FCA" w:rsidP="00391559">
      <w:pPr>
        <w:pStyle w:val="Keywords"/>
        <w:rPr>
          <w:i w:val="0"/>
          <w:color w:val="000000" w:themeColor="text1"/>
          <w:sz w:val="20"/>
          <w:szCs w:val="20"/>
        </w:rPr>
      </w:pPr>
      <w:bookmarkStart w:id="0" w:name="_Hlk220340308"/>
      <w:r w:rsidRPr="004D4FCA">
        <w:rPr>
          <w:i w:val="0"/>
          <w:color w:val="000000" w:themeColor="text1"/>
          <w:sz w:val="20"/>
          <w:szCs w:val="20"/>
        </w:rPr>
        <w:t xml:space="preserve">Hand gesture recognition is a key research area in human–computer interaction and assistive technologies, with surface electromyography (sEMG) enabling non-invasive acquisition of muscle activation signals. This paper presents a novel deep learning architecture combining Bidirectional Long Short-Term Memory (BiLSTM) networks with an attention mechanism for multi-class hand gesture recognition using the NinaPro Database 2 (DB2). The sEMG signals represent the body movement of a human that can be analyzed and identified through deep learning </w:t>
      </w:r>
      <w:r w:rsidR="00956A4A" w:rsidRPr="004D4FCA">
        <w:rPr>
          <w:i w:val="0"/>
          <w:color w:val="000000" w:themeColor="text1"/>
          <w:sz w:val="20"/>
          <w:szCs w:val="20"/>
        </w:rPr>
        <w:t>models</w:t>
      </w:r>
      <w:r w:rsidR="0023168B">
        <w:rPr>
          <w:i w:val="0"/>
          <w:color w:val="000000" w:themeColor="text1"/>
          <w:sz w:val="20"/>
          <w:szCs w:val="20"/>
        </w:rPr>
        <w:t xml:space="preserve"> </w:t>
      </w:r>
      <w:r w:rsidR="0023168B" w:rsidRPr="0023168B">
        <w:rPr>
          <w:i w:val="0"/>
          <w:color w:val="000000" w:themeColor="text1"/>
          <w:sz w:val="20"/>
          <w:szCs w:val="20"/>
        </w:rPr>
        <w:fldChar w:fldCharType="begin" w:fldLock="1"/>
      </w:r>
      <w:r w:rsidR="0023168B">
        <w:rPr>
          <w:i w:val="0"/>
          <w:color w:val="000000" w:themeColor="text1"/>
          <w:sz w:val="20"/>
          <w:szCs w:val="20"/>
        </w:rPr>
        <w:instrText>ADDIN CSL_CITATION {"citationItems":[{"id":"ITEM-1","itemData":{"DOI":"10.1109/THMS.2014.2302794","ISSN":"21682291","abstract":"An algorithmic framework is proposed to process acceleration and surface electromyographic (SEMG) signals for gesture recognition. It includes a novel segmentation scheme, a score-based sensor fusion scheme, and two new features. A Bayes linear classifier and an improved dynamic time-warping algorithm are utilized in the framework. In addition, a prototype system, including a wearable gesture sensing device (embedded with a three-axis accelerometer and four SEMG sensors) and an application program with the proposed algorithmic framework for a mobile phone, is developed to realize gesture-based real-time interaction. With the device worn on the forearm, the user is able to manipulate a mobile phone using 19 predefined gestures or even personalized ones. Results suggest that the developed prototype responded to each gesture instruction within 300 ms on the mobile phone, with the average accuracy of 95.0% in user-dependent testing and 89.6% in user-independent testing. Such performance during the interaction testing, along with positive user experience questionnaire feedback, demonstrates the utility of the framework. © 2013 IEEE.","author":[{"dropping-particle":"","family":"Lu","given":"Zhiyuan","non-dropping-particle":"","parse-names":false,"suffix":""},{"dropping-particle":"","family":"Chen","given":"Xiang","non-dropping-particle":"","parse-names":false,"suffix":""},{"dropping-particle":"","family":"Li","given":"Qiang","non-dropping-particle":"","parse-names":false,"suffix":""},{"dropping-particle":"","family":"Zhang","given":"Xu","non-dropping-particle":"","parse-names":false,"suffix":""},{"dropping-particle":"","family":"Zhou","given":"Ping","non-dropping-particle":"","parse-names":false,"suffix":""}],"container-title":"IEEE Transactions on Human-Machine Systems","id":"ITEM-1","issue":"2","issued":{"date-parts":[["2014"]]},"page":"293-299","title":"A hand gesture recognition framework and wearable gesture-based interaction prototype for mobile devices","type":"article-journal","volume":"44"},"uris":["http://www.mendeley.com/documents/?uuid=e697bd95-ea59-4223-8a43-9c103ea1ec46"]}],"mendeley":{"formattedCitation":"[1]","plainTextFormattedCitation":"[1]","previouslyFormattedCitation":"[1]"},"properties":{"noteIndex":0},"schema":"https://github.com/citation-style-language/schema/raw/master/csl-citation.json"}</w:instrText>
      </w:r>
      <w:r w:rsidR="0023168B" w:rsidRPr="0023168B">
        <w:rPr>
          <w:i w:val="0"/>
          <w:color w:val="000000" w:themeColor="text1"/>
          <w:sz w:val="20"/>
          <w:szCs w:val="20"/>
        </w:rPr>
        <w:fldChar w:fldCharType="separate"/>
      </w:r>
      <w:r w:rsidR="0023168B" w:rsidRPr="0023168B">
        <w:rPr>
          <w:i w:val="0"/>
          <w:noProof/>
          <w:color w:val="000000" w:themeColor="text1"/>
          <w:sz w:val="20"/>
          <w:szCs w:val="20"/>
        </w:rPr>
        <w:t>[1]</w:t>
      </w:r>
      <w:r w:rsidR="0023168B" w:rsidRPr="0023168B">
        <w:rPr>
          <w:i w:val="0"/>
          <w:color w:val="000000" w:themeColor="text1"/>
          <w:sz w:val="20"/>
          <w:szCs w:val="20"/>
        </w:rPr>
        <w:fldChar w:fldCharType="end"/>
      </w:r>
      <w:r w:rsidR="00956A4A" w:rsidRPr="004D4FCA">
        <w:rPr>
          <w:i w:val="0"/>
          <w:color w:val="000000" w:themeColor="text1"/>
          <w:sz w:val="20"/>
          <w:szCs w:val="20"/>
        </w:rPr>
        <w:t xml:space="preserve">. </w:t>
      </w:r>
      <w:r w:rsidRPr="004D4FCA">
        <w:rPr>
          <w:i w:val="0"/>
          <w:color w:val="000000" w:themeColor="text1"/>
          <w:sz w:val="20"/>
          <w:szCs w:val="20"/>
        </w:rPr>
        <w:t xml:space="preserve"> The proposed attention based BiLSTM model addresses the temporal dependencies inherent in sEMG signals while focusing on the most discriminative features through learned attention weights. We evaluate the proposed model on 49 gestures from 40 subjects in NinaPro DB2. </w:t>
      </w:r>
      <w:r w:rsidR="00291B82" w:rsidRPr="00291B82">
        <w:rPr>
          <w:i w:val="0"/>
          <w:color w:val="000000" w:themeColor="text1"/>
          <w:sz w:val="20"/>
          <w:szCs w:val="20"/>
        </w:rPr>
        <w:t>The model attains a mean accuracy of 67.65% ± 6.76% across subjects (best: 81.68%, worst: 53.87%).</w:t>
      </w:r>
      <w:r w:rsidR="00291B82">
        <w:rPr>
          <w:i w:val="0"/>
          <w:color w:val="000000" w:themeColor="text1"/>
          <w:sz w:val="20"/>
          <w:szCs w:val="20"/>
        </w:rPr>
        <w:t xml:space="preserve"> </w:t>
      </w:r>
      <w:r w:rsidR="00291B82" w:rsidRPr="00291B82">
        <w:rPr>
          <w:i w:val="0"/>
          <w:color w:val="000000" w:themeColor="text1"/>
          <w:sz w:val="20"/>
          <w:szCs w:val="20"/>
        </w:rPr>
        <w:t>Incorporating an</w:t>
      </w:r>
      <w:r w:rsidRPr="004D4FCA">
        <w:rPr>
          <w:i w:val="0"/>
          <w:color w:val="000000" w:themeColor="text1"/>
          <w:sz w:val="20"/>
          <w:szCs w:val="20"/>
        </w:rPr>
        <w:t xml:space="preserve"> attention mechanism provides interpretability by visualizing which temporal segments of the sEMG signal contribute most to gesture classification. </w:t>
      </w:r>
      <w:r w:rsidR="00447087" w:rsidRPr="00447087">
        <w:rPr>
          <w:i w:val="0"/>
          <w:color w:val="000000" w:themeColor="text1"/>
          <w:sz w:val="20"/>
          <w:szCs w:val="20"/>
        </w:rPr>
        <w:t>This study contributes to sEMG-based hand gesture recognition by presenting a reproducible attention-enhanced BiLSTM framework for modeling temporal muscle activation patterns. The analysis highlights the role of temporally informative signal segments in improving gesture discrimination across subjects. The results indicate that incorporating attention mechanisms can enhance both recognition performance and interpretability in myoelectric control systems. Future work will investigate subject adaptation strategies and multimodal sensor integration to further improve robustness and generalization.</w:t>
      </w:r>
      <w:r w:rsidRPr="004D4FCA">
        <w:rPr>
          <w:i w:val="0"/>
          <w:color w:val="000000" w:themeColor="text1"/>
          <w:sz w:val="20"/>
          <w:szCs w:val="20"/>
        </w:rPr>
        <w:t xml:space="preserve"> </w:t>
      </w:r>
    </w:p>
    <w:p w14:paraId="58B10678" w14:textId="627281EE" w:rsidR="009303D9" w:rsidRPr="00430D5C" w:rsidRDefault="004D72B5" w:rsidP="00391559">
      <w:pPr>
        <w:pStyle w:val="Keywords"/>
        <w:rPr>
          <w:color w:val="000000" w:themeColor="text1"/>
          <w:sz w:val="20"/>
          <w:szCs w:val="20"/>
        </w:rPr>
      </w:pPr>
      <w:r w:rsidRPr="00430D5C">
        <w:rPr>
          <w:color w:val="000000" w:themeColor="text1"/>
          <w:sz w:val="20"/>
          <w:szCs w:val="20"/>
        </w:rPr>
        <w:t>Keywords—</w:t>
      </w:r>
      <w:r w:rsidR="00D30E5C" w:rsidRPr="00430D5C">
        <w:rPr>
          <w:color w:val="000000" w:themeColor="text1"/>
          <w:sz w:val="20"/>
          <w:szCs w:val="20"/>
        </w:rPr>
        <w:t xml:space="preserve"> Surface electromyography, Hand gesture recognition, Bidirectional LSTM, Attention mechanism, Deep learning, NinaPro database</w:t>
      </w:r>
    </w:p>
    <w:p w14:paraId="4371101D" w14:textId="59D9A051" w:rsidR="005F3ECF" w:rsidRPr="00942DBF" w:rsidRDefault="009303D9" w:rsidP="00341E0A">
      <w:pPr>
        <w:pStyle w:val="Heading1"/>
      </w:pPr>
      <w:r w:rsidRPr="00942DBF">
        <w:t>Introduction</w:t>
      </w:r>
    </w:p>
    <w:p w14:paraId="53FCF486" w14:textId="62916A44" w:rsidR="004D4FCA" w:rsidRPr="004D4FCA" w:rsidRDefault="004D4FCA" w:rsidP="004D4FCA">
      <w:pPr>
        <w:pStyle w:val="NormalWeb"/>
        <w:jc w:val="both"/>
        <w:rPr>
          <w:sz w:val="20"/>
          <w:szCs w:val="20"/>
        </w:rPr>
      </w:pPr>
      <w:r w:rsidRPr="004D4FCA">
        <w:rPr>
          <w:sz w:val="20"/>
          <w:szCs w:val="20"/>
        </w:rPr>
        <w:t xml:space="preserve">Hand gesture recognition is a fundamental research problem in human–computer interaction, prosthetic control, rehabilitation engineering, and wearable assistive technologies. Accurate recognition of hand gestures enables intuitive and natural communication between humans and </w:t>
      </w:r>
      <w:r w:rsidRPr="004D4FCA">
        <w:rPr>
          <w:sz w:val="20"/>
          <w:szCs w:val="20"/>
        </w:rPr>
        <w:t xml:space="preserve">machines, supporting applications such as upper-limb prostheses, sign-language translation, robotic teleoperation, and virtual and augmented reality systems. Among various sensing modalities, surface electromyography (sEMG) has attracted considerable attention due to its non-invasive nature and its ability to capture neuromuscular activity that directly reflects human motor intention </w:t>
      </w:r>
      <w:r w:rsidR="0023168B">
        <w:rPr>
          <w:sz w:val="20"/>
          <w:szCs w:val="20"/>
        </w:rPr>
        <w:fldChar w:fldCharType="begin" w:fldLock="1"/>
      </w:r>
      <w:r w:rsidR="0023168B">
        <w:rPr>
          <w:sz w:val="20"/>
          <w:szCs w:val="20"/>
        </w:rPr>
        <w:instrText>ADDIN CSL_CITATION {"citationItems":[{"id":"ITEM-1","itemData":{"DOI":"10.1109/THMS.2014.2302794","ISSN":"21682291","abstract":"An algorithmic framework is proposed to process acceleration and surface electromyographic (SEMG) signals for gesture recognition. It includes a novel segmentation scheme, a score-based sensor fusion scheme, and two new features. A Bayes linear classifier and an improved dynamic time-warping algorithm are utilized in the framework. In addition, a prototype system, including a wearable gesture sensing device (embedded with a three-axis accelerometer and four SEMG sensors) and an application program with the proposed algorithmic framework for a mobile phone, is developed to realize gesture-based real-time interaction. With the device worn on the forearm, the user is able to manipulate a mobile phone using 19 predefined gestures or even personalized ones. Results suggest that the developed prototype responded to each gesture instruction within 300 ms on the mobile phone, with the average accuracy of 95.0% in user-dependent testing and 89.6% in user-independent testing. Such performance during the interaction testing, along with positive user experience questionnaire feedback, demonstrates the utility of the framework. © 2013 IEEE.","author":[{"dropping-particle":"","family":"Lu","given":"Zhiyuan","non-dropping-particle":"","parse-names":false,"suffix":""},{"dropping-particle":"","family":"Chen","given":"Xiang","non-dropping-particle":"","parse-names":false,"suffix":""},{"dropping-particle":"","family":"Li","given":"Qiang","non-dropping-particle":"","parse-names":false,"suffix":""},{"dropping-particle":"","family":"Zhang","given":"Xu","non-dropping-particle":"","parse-names":false,"suffix":""},{"dropping-particle":"","family":"Zhou","given":"Ping","non-dropping-particle":"","parse-names":false,"suffix":""}],"container-title":"IEEE Transactions on Human-Machine Systems","id":"ITEM-1","issue":"2","issued":{"date-parts":[["2014"]]},"page":"293-299","title":"A hand gesture recognition framework and wearable gesture-based interaction prototype for mobile devices","type":"article-journal","volume":"44"},"uris":["http://www.mendeley.com/documents/?uuid=e697bd95-ea59-4223-8a43-9c103ea1ec46"]}],"mendeley":{"formattedCitation":"[1]","plainTextFormattedCitation":"[1]","previouslyFormattedCitation":"[1]"},"properties":{"noteIndex":0},"schema":"https://github.com/citation-style-language/schema/raw/master/csl-citation.json"}</w:instrText>
      </w:r>
      <w:r w:rsidR="0023168B">
        <w:rPr>
          <w:sz w:val="20"/>
          <w:szCs w:val="20"/>
        </w:rPr>
        <w:fldChar w:fldCharType="separate"/>
      </w:r>
      <w:r w:rsidR="0023168B" w:rsidRPr="0023168B">
        <w:rPr>
          <w:noProof/>
          <w:sz w:val="20"/>
          <w:szCs w:val="20"/>
        </w:rPr>
        <w:t>[1]</w:t>
      </w:r>
      <w:r w:rsidR="0023168B">
        <w:rPr>
          <w:sz w:val="20"/>
          <w:szCs w:val="20"/>
        </w:rPr>
        <w:fldChar w:fldCharType="end"/>
      </w:r>
      <w:r w:rsidRPr="004D4FCA">
        <w:rPr>
          <w:sz w:val="20"/>
          <w:szCs w:val="20"/>
        </w:rPr>
        <w:t xml:space="preserve">. However, reliable sEMG-based gesture recognition remains challenging because sEMG signals are inherently non-stationary, highly subject-dependent, and sensitive to electrode placement, muscle fatigue, and environmental noise </w:t>
      </w:r>
      <w:r w:rsidR="0023168B">
        <w:rPr>
          <w:sz w:val="20"/>
          <w:szCs w:val="20"/>
        </w:rPr>
        <w:fldChar w:fldCharType="begin" w:fldLock="1"/>
      </w:r>
      <w:r w:rsidR="0023168B">
        <w:rPr>
          <w:sz w:val="20"/>
          <w:szCs w:val="20"/>
        </w:rPr>
        <w:instrText>ADDIN CSL_CITATION {"citationItems":[{"id":"ITEM-1","itemData":{"DOI":"10.1109/ICSP54964.2022.9778406","ISBN":"9781665478571","abstract":"This paper investigates muscle fatigue recognition method by using the deep learning technique. We designed a F_GRU model to classify the surface electromyography (sEMG) collected on the back muscle group of the subjects. A set of nine time-domain and frequency-domain features were first extracted from each sEMG segment along with the sliding time window, and then recombine feature time sequences, which can characterize the original sEMG in both time domain and frequency domain. Next, the trained F_GRU model was used to classify all the sEMG samples to recognize fatigue state. The accuracy of muscle fatigue detection is higher than 98%, The F_GRU model has the advantages of less time-consuming and less memory consumption than the other machine learning methods.","author":[{"dropping-particle":"","family":"Feng","given":"Zhihong","non-dropping-particle":"","parse-names":false,"suffix":""},{"dropping-particle":"","family":"Wang","given":"Yucheng","non-dropping-particle":"","parse-names":false,"suffix":""},{"dropping-particle":"","family":"Liu","given":"Lin","non-dropping-particle":"","parse-names":false,"suffix":""}],"container-title":"2022 7th International Conference on Intelligent Computing and Signal Processing, ICSP 2022","id":"ITEM-1","issued":{"date-parts":[["2022"]]},"page":"97-100","publisher":"IEEE","title":"Muscle fatigue detection method based on feature extraction and deep learning","type":"article-journal"},"uris":["http://www.mendeley.com/documents/?uuid=724332f9-54f1-40e8-823a-0d5929b82d78"]}],"mendeley":{"formattedCitation":"[2]","plainTextFormattedCitation":"[2]","previouslyFormattedCitation":"[2]"},"properties":{"noteIndex":0},"schema":"https://github.com/citation-style-language/schema/raw/master/csl-citation.json"}</w:instrText>
      </w:r>
      <w:r w:rsidR="0023168B">
        <w:rPr>
          <w:sz w:val="20"/>
          <w:szCs w:val="20"/>
        </w:rPr>
        <w:fldChar w:fldCharType="separate"/>
      </w:r>
      <w:r w:rsidR="0023168B" w:rsidRPr="0023168B">
        <w:rPr>
          <w:noProof/>
          <w:sz w:val="20"/>
          <w:szCs w:val="20"/>
        </w:rPr>
        <w:t>[2]</w:t>
      </w:r>
      <w:r w:rsidR="0023168B">
        <w:rPr>
          <w:sz w:val="20"/>
          <w:szCs w:val="20"/>
        </w:rPr>
        <w:fldChar w:fldCharType="end"/>
      </w:r>
      <w:r w:rsidR="0023168B">
        <w:rPr>
          <w:sz w:val="20"/>
          <w:szCs w:val="20"/>
        </w:rPr>
        <w:t>.</w:t>
      </w:r>
    </w:p>
    <w:p w14:paraId="2A3D8D46" w14:textId="77777777" w:rsidR="004D4FCA" w:rsidRPr="004D4FCA" w:rsidRDefault="004D4FCA" w:rsidP="004D4FCA">
      <w:pPr>
        <w:pStyle w:val="NormalWeb"/>
        <w:jc w:val="both"/>
        <w:rPr>
          <w:sz w:val="20"/>
          <w:szCs w:val="20"/>
        </w:rPr>
      </w:pPr>
      <w:r w:rsidRPr="004D4FCA">
        <w:rPr>
          <w:sz w:val="20"/>
          <w:szCs w:val="20"/>
        </w:rPr>
        <w:t>Early sEMG-based gesture recognition approaches primarily relied on handcrafted time-domain or frequency-domain features combined with conventional machine learning classifiers, such as support vector machines and k-nearest neighbors. Although these methods achieved reasonable performance under controlled experimental conditions, their generalization capability across large-scale, multi-class, and multi-subject datasets was limited. In recent years, deep learning techniques have substantially advanced sEMG signal analysis by enabling automatic feature extraction and effective modeling of complex nonlinear temporal dynamics. Recurrent neural networks (RNNs), particularly long short-term memory (LSTM) networks, are well suited for sEMG data due to their ability to capture temporal dependencies. Bidirectional LSTM (BiLSTM) architectures further improve performance by exploiting both past and future contextual information within signal windows.</w:t>
      </w:r>
    </w:p>
    <w:p w14:paraId="4A29F030" w14:textId="1661930B" w:rsidR="005F3ECF" w:rsidRPr="00430D5C" w:rsidRDefault="004D4FCA" w:rsidP="004D4FCA">
      <w:pPr>
        <w:pStyle w:val="NormalWeb"/>
        <w:jc w:val="both"/>
        <w:rPr>
          <w:color w:val="000000" w:themeColor="text1"/>
          <w:sz w:val="20"/>
          <w:szCs w:val="20"/>
        </w:rPr>
      </w:pPr>
      <w:r w:rsidRPr="004D4FCA">
        <w:rPr>
          <w:sz w:val="20"/>
          <w:szCs w:val="20"/>
        </w:rPr>
        <w:t xml:space="preserve">Despite these advances, not all temporal segments of an sEMG sequence contribute equally to gesture discrimination. Attention mechanisms address this limitation by adaptively weighting time steps according to their relevance, allowing models to focus on the most informative signal regions. The integration of attention mechanisms with BiLSTM architectures has shown promising improvements in both classification accuracy and model interpretability. The NinaPro Database 2 (DB2), which contains multi-channel sEMG recordings from 40 subjects performing a wide range of hand gestures, serves as a challenging benchmark for evaluating such models. Nevertheless, achieving consistently high recognition performance across all subjects remains difficult, underscoring the need for robust attention-based </w:t>
      </w:r>
      <w:r w:rsidRPr="004D4FCA">
        <w:rPr>
          <w:sz w:val="20"/>
          <w:szCs w:val="20"/>
        </w:rPr>
        <w:lastRenderedPageBreak/>
        <w:t>deep learning frameworks and systematic evaluation across the full dataset</w:t>
      </w:r>
    </w:p>
    <w:p w14:paraId="179EA777" w14:textId="63B99D6E" w:rsidR="009303D9" w:rsidRPr="00430D5C" w:rsidRDefault="001C7306" w:rsidP="00391559">
      <w:pPr>
        <w:pStyle w:val="Heading1"/>
        <w:rPr>
          <w:color w:val="000000" w:themeColor="text1"/>
        </w:rPr>
      </w:pPr>
      <w:r w:rsidRPr="00430D5C">
        <w:rPr>
          <w:color w:val="000000" w:themeColor="text1"/>
        </w:rPr>
        <w:t>related Work</w:t>
      </w:r>
    </w:p>
    <w:p w14:paraId="6728786A" w14:textId="10A6CB1D" w:rsidR="00CB5CCE" w:rsidRDefault="00956A4A" w:rsidP="00CB5CCE">
      <w:pPr>
        <w:pStyle w:val="NormalWeb"/>
        <w:spacing w:before="0pt" w:beforeAutospacing="0" w:after="0pt" w:afterAutospacing="0"/>
        <w:jc w:val="both"/>
        <w:rPr>
          <w:color w:val="000000" w:themeColor="text1"/>
          <w:sz w:val="20"/>
          <w:szCs w:val="20"/>
        </w:rPr>
      </w:pPr>
      <w:r>
        <w:rPr>
          <w:color w:val="000000" w:themeColor="text1"/>
          <w:sz w:val="20"/>
          <w:szCs w:val="20"/>
        </w:rPr>
        <w:t>In medical sector, the use of machine learning and deep learning models have increased exponentially in last few years for their easier application and human-machine interaction</w:t>
      </w:r>
      <w:r w:rsidR="00CB5CCE" w:rsidRPr="00430D5C">
        <w:rPr>
          <w:color w:val="000000" w:themeColor="text1"/>
          <w:sz w:val="20"/>
          <w:szCs w:val="20"/>
        </w:rPr>
        <w:t>.</w:t>
      </w:r>
      <w:r w:rsidR="00A0664A" w:rsidRPr="00A0664A">
        <w:t xml:space="preserve"> </w:t>
      </w:r>
      <w:r w:rsidR="00A0664A" w:rsidRPr="00A0664A">
        <w:rPr>
          <w:color w:val="000000" w:themeColor="text1"/>
          <w:sz w:val="20"/>
          <w:szCs w:val="20"/>
        </w:rPr>
        <w:t>Surface electromyography (sEMG) is a famous technique mostly used to detect muscle movement using electrophysiological signals and it's very beneficial for acquiring robust muscle information and the functionality</w:t>
      </w:r>
      <w:r w:rsidR="00987B01">
        <w:rPr>
          <w:color w:val="000000" w:themeColor="text1"/>
          <w:sz w:val="20"/>
          <w:szCs w:val="20"/>
        </w:rPr>
        <w:t xml:space="preserve"> </w:t>
      </w:r>
      <w:r w:rsidR="00987B01">
        <w:rPr>
          <w:color w:val="000000" w:themeColor="text1"/>
          <w:sz w:val="20"/>
          <w:szCs w:val="20"/>
        </w:rPr>
        <w:fldChar w:fldCharType="begin" w:fldLock="1"/>
      </w:r>
      <w:r w:rsidR="006014EA">
        <w:rPr>
          <w:color w:val="000000" w:themeColor="text1"/>
          <w:sz w:val="20"/>
          <w:szCs w:val="20"/>
        </w:rPr>
        <w:instrText>ADDIN CSL_CITATION {"citationItems":[{"id":"ITEM-1","itemData":{"ISBN":"0000000000","id":"ITEM-1","issue":"852","issued":{"date-parts":[["2017"]]},"page":"159-161","title":"</w:instrText>
      </w:r>
      <w:r w:rsidR="006014EA">
        <w:rPr>
          <w:rFonts w:ascii="SimSun" w:eastAsia="SimSun" w:hAnsi="SimSun" w:cs="SimSun" w:hint="eastAsia"/>
          <w:color w:val="000000" w:themeColor="text1"/>
          <w:sz w:val="20"/>
          <w:szCs w:val="20"/>
        </w:rPr>
        <w:instrText>陈</w:instrText>
      </w:r>
      <w:r w:rsidR="006014EA">
        <w:rPr>
          <w:color w:val="000000" w:themeColor="text1"/>
          <w:sz w:val="20"/>
          <w:szCs w:val="20"/>
        </w:rPr>
        <w:instrText xml:space="preserve"> </w:instrText>
      </w:r>
      <w:r w:rsidR="006014EA">
        <w:rPr>
          <w:rFonts w:ascii="MS Gothic" w:eastAsia="MS Gothic" w:hAnsi="MS Gothic" w:cs="MS Gothic" w:hint="eastAsia"/>
          <w:color w:val="000000" w:themeColor="text1"/>
          <w:sz w:val="20"/>
          <w:szCs w:val="20"/>
        </w:rPr>
        <w:instrText>云</w:instrText>
      </w:r>
      <w:r w:rsidR="006014EA">
        <w:rPr>
          <w:color w:val="000000" w:themeColor="text1"/>
          <w:sz w:val="20"/>
          <w:szCs w:val="20"/>
        </w:rPr>
        <w:instrText xml:space="preserve"> 1,2 </w:instrText>
      </w:r>
      <w:r w:rsidR="006014EA">
        <w:rPr>
          <w:rFonts w:ascii="MS Gothic" w:eastAsia="MS Gothic" w:hAnsi="MS Gothic" w:cs="MS Gothic" w:hint="eastAsia"/>
          <w:color w:val="000000" w:themeColor="text1"/>
          <w:sz w:val="20"/>
          <w:szCs w:val="20"/>
        </w:rPr>
        <w:instrText>，</w:instrText>
      </w:r>
      <w:r w:rsidR="006014EA">
        <w:rPr>
          <w:color w:val="000000" w:themeColor="text1"/>
          <w:sz w:val="20"/>
          <w:szCs w:val="20"/>
        </w:rPr>
        <w:instrText xml:space="preserve"> </w:instrText>
      </w:r>
      <w:r w:rsidR="006014EA">
        <w:rPr>
          <w:rFonts w:ascii="SimSun" w:eastAsia="SimSun" w:hAnsi="SimSun" w:cs="SimSun" w:hint="eastAsia"/>
          <w:color w:val="000000" w:themeColor="text1"/>
          <w:sz w:val="20"/>
          <w:szCs w:val="20"/>
        </w:rPr>
        <w:instrText>杨晓雪</w:instrText>
      </w:r>
      <w:r w:rsidR="006014EA">
        <w:rPr>
          <w:color w:val="000000" w:themeColor="text1"/>
          <w:sz w:val="20"/>
          <w:szCs w:val="20"/>
        </w:rPr>
        <w:instrText xml:space="preserve"> 1,2","type":"article-journal"},"uris":["http://www.mendeley.com/documents/?uuid=d5a5f30d-2091-4cdb-98f3-074de20d93ce"]},{"id":"ITEM-2","itemData":{"DOI":"10.1109/TNSRE.2025.3636606","ISBN":"2021081109","ISSN":"15580210","PMID":"41289135","abstract":"Hemiplegic shoulder pain (HSP) is a common complication following stroke, significantly affecting upper limb recovery and quality of life. However, the underlying pathophysiological mechanisms of HSP remain poorly understood, which poses a major obstacle to the development of effective therapeutic strategies. This study aims to investigate the underlying mechanism of HSP by evaluating neuro-musculo-vascular activities using high-density surface electromyography (HD-sEMG), musculoskeletal ultrasound, and laser speckle contrast imaging (LSCI). A total of 12 HSP patients and 12 hemiplegic controls without shoulder pain (HNSP) participated in this study. Their neuro-musculo-vascular data in the affected shoulder were collected using a 64-channel HD-sEMG electrode array, a musculoskeletal ultrasonic probe, and a LSCI sensor. Muscle activity was quantified by the root mean square (RMS) of HD-sEMG signals, while neural firing activity was characterized by the discharge rate and coefficient of variation (CoV), decomposed from the HD-sEMG. Meanwhile, structural characteristics were measured by the shoulder subluxation distance (SSD) from ultrasonic image, and blood perfusion was evaluated by perfusion units (PU) from LSCI. Results showed significantly lower RMS and CoV in HSP group versus HNSP group (p&lt;0.05), both strongly correlated with pain intensity (RMS: r=-0.792, p=0.002; CoV: r=-0.698, p=0.012). Pain intensity also linked to greater SSD (p&lt;0.001) but not PU value (p&gt;0.05), while SSD negatively correlated with both RMS and CoV (p&lt;0.05). These findings suggest that HSP is more closely related to neuromuscular control abnormalities and shoulder joint instability than to microcirculatory dysfunction, emphasizing the need for targeted neuromuscular rehabilitation in treating HSP.","author":[{"dropping-particle":"","family":"Xia","given":"Jianwei","non-dropping-particle":"","parse-names":false,"suffix":""},{"dropping-particle":"","family":"Wei","given":"Xinling","non-dropping-particle":"","parse-names":false,"suffix":""},{"dropping-particle":"","family":"Xiang","given":"Guangfa","non-dropping-particle":"","parse-names":false,"suffix":""},{"dropping-particle":"","family":"Ma","given":"Jinting","non-dropping-particle":"","parse-names":false,"suffix":""},{"dropping-particle":"","family":"Luo","given":"Rui","non-dropping-particle":"","parse-names":false,"suffix":""},{"dropping-particle":"","family":"Hu","given":"Peng","non-dropping-particle":"","parse-names":false,"suffix":""},{"dropping-particle":"","family":"Wu","given":"Yuanyuan","non-dropping-particle":"","parse-names":false,"suffix":""},{"dropping-particle":"","family":"Jiang","given":"Naifu","non-dropping-particle":"","parse-names":false,"suffix":""},{"dropping-particle":"","family":"Sui","given":"Minghong","non-dropping-particle":"","parse-names":false,"suffix":""},{"dropping-particle":"","family":"Li","given":"Guqiang","non-dropping-particle":"","parse-names":false,"suffix":""}],"container-title":"IEEE Transactions on Neural Systems and Rehabilitation Engineering","id":"ITEM-2","issued":{"date-parts":[["2025"]]},"page":"490-499","publisher":"IEEE","title":"Assessment of Neuro-Musculo-Vascular Activity in Hemiplegic Shoulder Pain: A Multimodal Study with HD-sEMG, Ultrasonography, and Laser Speckle Imaging","type":"article-journal","volume":"34"},"uris":["http://www.mendeley.com/documents/?uuid=7288790a-4ce8-4b28-8227-d451b699aa7a"]}],"mendeley":{"formattedCitation":"[3], [4]","plainTextFormattedCitation":"[3], [4]","previouslyFormattedCitation":"[3], [4]"},"properties":{"noteIndex":0},"schema":"https://github.com/citation-style-language/schema/raw/master/csl-citation.json"}</w:instrText>
      </w:r>
      <w:r w:rsidR="00987B01">
        <w:rPr>
          <w:color w:val="000000" w:themeColor="text1"/>
          <w:sz w:val="20"/>
          <w:szCs w:val="20"/>
        </w:rPr>
        <w:fldChar w:fldCharType="separate"/>
      </w:r>
      <w:r w:rsidR="00987B01" w:rsidRPr="00987B01">
        <w:rPr>
          <w:noProof/>
          <w:color w:val="000000" w:themeColor="text1"/>
          <w:sz w:val="20"/>
          <w:szCs w:val="20"/>
        </w:rPr>
        <w:t>[3], [4]</w:t>
      </w:r>
      <w:r w:rsidR="00987B01">
        <w:rPr>
          <w:color w:val="000000" w:themeColor="text1"/>
          <w:sz w:val="20"/>
          <w:szCs w:val="20"/>
        </w:rPr>
        <w:fldChar w:fldCharType="end"/>
      </w:r>
      <w:r w:rsidR="00CB5CCE" w:rsidRPr="00430D5C">
        <w:rPr>
          <w:color w:val="000000" w:themeColor="text1"/>
          <w:sz w:val="20"/>
          <w:szCs w:val="20"/>
        </w:rPr>
        <w:t>.</w:t>
      </w:r>
      <w:r w:rsidR="00284AE7" w:rsidRPr="00284AE7">
        <w:t xml:space="preserve"> </w:t>
      </w:r>
      <w:r w:rsidR="00284AE7" w:rsidRPr="00284AE7">
        <w:rPr>
          <w:color w:val="000000" w:themeColor="text1"/>
          <w:sz w:val="20"/>
          <w:szCs w:val="20"/>
        </w:rPr>
        <w:t>Surface electromyography (sEMG) is a famous technique mostly used to detect muscle movement using electrophysiological signals and it's very beneficial for acquiring robust muscle information and the functionality</w:t>
      </w:r>
      <w:r w:rsidR="00CB5CCE" w:rsidRPr="00430D5C">
        <w:rPr>
          <w:color w:val="000000" w:themeColor="text1"/>
          <w:sz w:val="20"/>
          <w:szCs w:val="20"/>
        </w:rPr>
        <w:t>.</w:t>
      </w:r>
    </w:p>
    <w:p w14:paraId="52179204" w14:textId="2DE7E114" w:rsidR="002D26D8" w:rsidRPr="00430D5C" w:rsidRDefault="002D26D8" w:rsidP="00CB5CCE">
      <w:pPr>
        <w:pStyle w:val="NormalWeb"/>
        <w:spacing w:before="0pt" w:beforeAutospacing="0" w:after="0pt" w:afterAutospacing="0"/>
        <w:jc w:val="both"/>
        <w:rPr>
          <w:color w:val="000000" w:themeColor="text1"/>
          <w:sz w:val="20"/>
          <w:szCs w:val="20"/>
        </w:rPr>
      </w:pPr>
      <w:r>
        <w:rPr>
          <w:color w:val="000000" w:themeColor="text1"/>
          <w:sz w:val="20"/>
          <w:szCs w:val="20"/>
        </w:rPr>
        <w:t>Most recently, Sakinala et al.</w:t>
      </w:r>
      <w:r w:rsidR="006014EA">
        <w:rPr>
          <w:color w:val="000000" w:themeColor="text1"/>
          <w:sz w:val="20"/>
          <w:szCs w:val="20"/>
        </w:rPr>
        <w:t xml:space="preserve"> </w:t>
      </w:r>
      <w:r w:rsidR="006014EA">
        <w:rPr>
          <w:color w:val="000000" w:themeColor="text1"/>
          <w:sz w:val="20"/>
          <w:szCs w:val="20"/>
        </w:rPr>
        <w:fldChar w:fldCharType="begin" w:fldLock="1"/>
      </w:r>
      <w:r w:rsidR="00C82237">
        <w:rPr>
          <w:color w:val="000000" w:themeColor="text1"/>
          <w:sz w:val="20"/>
          <w:szCs w:val="20"/>
        </w:rPr>
        <w:instrText>ADDIN CSL_CITATION {"citationItems":[{"id":"ITEM-1","itemData":{"DOI":"10.1109/ACCESS.2025.3559182","ISSN":"21693536","abstract":"Hand gesture recognition is a key aspect of Human Computer Interaction (HCI), that enables recognition of hand movements or gestures through sensors and cameras. Surface Electromyography (sEMG) is a technique used to measure electrical signals generated by human muscle activity. Analyzing sEMG signals are highly influenced by the factors like electrode placement, muscle contraction patterns etc. Existing methodologies for detecting sEMG signals face challenges in interpreting signals and frequency feature variations, primarily due to factors such as noise and motion artifacts, which significantly limit the accuracy and reliability when applied to large sEMG datasets. To overcome these challenges, a cutting-edge deep learning framework is proposed, combining a convolutional autoencoder with a stacking ensemble method that integrates CNN and LSTM models, optimized through particle swarm optimization to fine-tune the hyperparameters for superior training performance. Further to reduce the prediction error, the model employs a Meta classifier technique which incorporates Random Forests approach for improved accuracy. It is evaluated on the NinaPro DB1 dataset with 27 gestures from 52 subjects and a window length of 500 ms. It achieves high accuracy of 85% and effectively mitigates the impact of erroneous data patterns for advancing the robustness of gesture recognition systems.","author":[{"dropping-particle":"","family":"Chandra Sakinala","given":"Umesh","non-dropping-particle":"","parse-names":false,"suffix":""},{"dropping-particle":"","family":"Abinaya","given":"S.","non-dropping-particle":"","parse-names":false,"suffix":""}],"container-title":"IEEE Access","id":"ITEM-1","issue":"March","issued":{"date-parts":[["2025"]]},"page":"63611-63626","title":"Enhanced Detection of Hand Gestures From sEMG Signals Using Stacking Ensemble With Particle Swarm Optimization and Meta-Classifier","type":"article-journal","volume":"13"},"uris":["http://www.mendeley.com/documents/?uuid=06cd6e53-b4e5-40e4-9a5a-1d1671f5e1a2"]}],"mendeley":{"formattedCitation":"[5]","plainTextFormattedCitation":"[5]","previouslyFormattedCitation":"[5]"},"properties":{"noteIndex":0},"schema":"https://github.com/citation-style-language/schema/raw/master/csl-citation.json"}</w:instrText>
      </w:r>
      <w:r w:rsidR="006014EA">
        <w:rPr>
          <w:color w:val="000000" w:themeColor="text1"/>
          <w:sz w:val="20"/>
          <w:szCs w:val="20"/>
        </w:rPr>
        <w:fldChar w:fldCharType="separate"/>
      </w:r>
      <w:r w:rsidR="006014EA" w:rsidRPr="006014EA">
        <w:rPr>
          <w:noProof/>
          <w:color w:val="000000" w:themeColor="text1"/>
          <w:sz w:val="20"/>
          <w:szCs w:val="20"/>
        </w:rPr>
        <w:t>[5]</w:t>
      </w:r>
      <w:r w:rsidR="006014EA">
        <w:rPr>
          <w:color w:val="000000" w:themeColor="text1"/>
          <w:sz w:val="20"/>
          <w:szCs w:val="20"/>
        </w:rPr>
        <w:fldChar w:fldCharType="end"/>
      </w:r>
      <w:r>
        <w:rPr>
          <w:color w:val="000000" w:themeColor="text1"/>
          <w:sz w:val="20"/>
          <w:szCs w:val="20"/>
        </w:rPr>
        <w:t xml:space="preserve"> achieved raw accuracy 85% using stacking ensemble method constituting</w:t>
      </w:r>
      <w:r w:rsidR="006014EA">
        <w:rPr>
          <w:color w:val="000000" w:themeColor="text1"/>
          <w:sz w:val="20"/>
          <w:szCs w:val="20"/>
        </w:rPr>
        <w:t xml:space="preserve"> CNN, LSTM and Random Forest for only 29 gestures of NinaPro DB1 dataset. Similarly, Doostkam et al.</w:t>
      </w:r>
      <w:r w:rsidR="00C82237">
        <w:rPr>
          <w:color w:val="000000" w:themeColor="text1"/>
          <w:sz w:val="20"/>
          <w:szCs w:val="20"/>
        </w:rPr>
        <w:t xml:space="preserve"> </w:t>
      </w:r>
      <w:r w:rsidR="00C82237">
        <w:rPr>
          <w:color w:val="000000" w:themeColor="text1"/>
          <w:sz w:val="20"/>
          <w:szCs w:val="20"/>
        </w:rPr>
        <w:fldChar w:fldCharType="begin" w:fldLock="1"/>
      </w:r>
      <w:r w:rsidR="008E1C37">
        <w:rPr>
          <w:color w:val="000000" w:themeColor="text1"/>
          <w:sz w:val="20"/>
          <w:szCs w:val="20"/>
        </w:rPr>
        <w:instrText>ADDIN CSL_CITATION {"citationItems":[{"id":"ITEM-1","itemData":{"DOI":"10.1109/ACCESS.2025.3616066","ISSN":"21693536","abstract":"This paper introduces the Vision-EMG Transformer (ViEMGT), a novel deep learning architecture designed for hand gesture recognition using high-density surface electromyography (HD-sEMG) in individuals with traumatic brain injury (TBI). ViEMGT reformulates multichannel EMG signals into structured spatio-temporal patches, enabling attention mechanisms to capture intricate neuromuscular patterns. On a dataset of 22 gesture classes from 12 individuals with TBI using 56 electrodes, the model achieved a 95.2% accuracy and a macro-averaged F1-score of 95.1%, surpassing CNN-LSTM, 1D-CNN, LSTM, and SVM baselines by up to 12% in accuracy and F1-score. The approach demonstrated robust performance across gesture types, with F1-scores of 0.955 for grip patterns and 0.930 for finger movements. Attention-based modeling enhanced interpretability and provided valuable insights into neuromuscular control. Data augmentation improved robustness, supporting ViEMGT’s application in real-world rehabilitation, prosthetic systems, and adaptive human-computer interfaces.","author":[{"dropping-particle":"","family":"Doostkam","given":"Saman","non-dropping-particle":"","parse-names":false,"suffix":""},{"dropping-particle":"","family":"Boostani","given":"Reza","non-dropping-particle":"","parse-names":false,"suffix":""},{"dropping-particle":"","family":"Azimifar","given":"Zohreh","non-dropping-particle":"","parse-names":false,"suffix":""}],"container-title":"IEEE Access","id":"ITEM-1","issue":"September","issued":{"date-parts":[["2025"]]},"page":"171009-171024","publisher":"IEEE","title":"ViEMGT: A Novel Transformer Architecture for Enhanced Hand Gesture Recognition From HD-sEMG in Individuals With Traumatic Brain Injury","type":"article-journal","volume":"13"},"uris":["http://www.mendeley.com/documents/?uuid=4ec0173b-03e5-42eb-acbc-b3d693bb297e"]}],"mendeley":{"formattedCitation":"[6]","plainTextFormattedCitation":"[6]","previouslyFormattedCitation":"[6]"},"properties":{"noteIndex":0},"schema":"https://github.com/citation-style-language/schema/raw/master/csl-citation.json"}</w:instrText>
      </w:r>
      <w:r w:rsidR="00C82237">
        <w:rPr>
          <w:color w:val="000000" w:themeColor="text1"/>
          <w:sz w:val="20"/>
          <w:szCs w:val="20"/>
        </w:rPr>
        <w:fldChar w:fldCharType="separate"/>
      </w:r>
      <w:r w:rsidR="00C82237" w:rsidRPr="00C82237">
        <w:rPr>
          <w:noProof/>
          <w:color w:val="000000" w:themeColor="text1"/>
          <w:sz w:val="20"/>
          <w:szCs w:val="20"/>
        </w:rPr>
        <w:t>[6]</w:t>
      </w:r>
      <w:r w:rsidR="00C82237">
        <w:rPr>
          <w:color w:val="000000" w:themeColor="text1"/>
          <w:sz w:val="20"/>
          <w:szCs w:val="20"/>
        </w:rPr>
        <w:fldChar w:fldCharType="end"/>
      </w:r>
      <w:r w:rsidR="006014EA">
        <w:rPr>
          <w:color w:val="000000" w:themeColor="text1"/>
          <w:sz w:val="20"/>
          <w:szCs w:val="20"/>
        </w:rPr>
        <w:t xml:space="preserve"> </w:t>
      </w:r>
      <w:r w:rsidR="00C82237">
        <w:rPr>
          <w:color w:val="000000" w:themeColor="text1"/>
          <w:sz w:val="20"/>
          <w:szCs w:val="20"/>
        </w:rPr>
        <w:t xml:space="preserve">showed ViEMGT, a Vision-EMG Transformer that was able to bring 95.2% accuracy on 22 gestures. Though, this model is heavily dependable on high density sEMG hardware, it’s application for light weight prosthetic devices is limited. To cop up with the problems raised by signal variations, Liu et al. </w:t>
      </w:r>
      <w:r w:rsidR="008E1C37">
        <w:rPr>
          <w:color w:val="000000" w:themeColor="text1"/>
          <w:sz w:val="20"/>
          <w:szCs w:val="20"/>
        </w:rPr>
        <w:fldChar w:fldCharType="begin" w:fldLock="1"/>
      </w:r>
      <w:r w:rsidR="009731F6">
        <w:rPr>
          <w:color w:val="000000" w:themeColor="text1"/>
          <w:sz w:val="20"/>
          <w:szCs w:val="20"/>
        </w:rPr>
        <w:instrText>ADDIN CSL_CITATION {"citationItems":[{"id":"ITEM-1","itemData":{"DOI":"10.1109/TNSRE.2024.3502624","ISBN":"2020082011310","ISSN":"15580210","abstract":"Surface electromyography (sEMG) is a promising technology for hand gesture recognition, yet faces challenges in user mobility and individual calibration. This paper introduces a novel dual-model adaptive continuous learning (DM-ACL) strategy for wrist-based sEMG real-time gesture recognition. The core of the DM-ACL strategy is a semi-supervised online learning algorithm that uses the kNN model to provide auxiliary labels for real-time sEMG signals, enhancing the robustness and adaptability of the deep learning model. Experimental results show that the DM-ACL strategy outperforms conventional transfer learning (TL) methods. Using the CNN-LSTM model as the baseline, the DM-ACL method achieved a recognition accuracy of 95.33% with an average of 33.6 s of sEMG data per gesture, while the conventional TL method attained an accuracy of 82.82%. With the CNN model as the baseline, the DM-ACL method achieved a recognition accuracy of 92.37% with an average of 48 s of sEMG data per gesture, while the conventional TL method attained an accuracy of 84.59%. The DM-ACL strategy efficiently improves performance for new users and maintains high accuracy across sessions, even in the presence of inter-session domain shifts. This enhances the practical usability of sEMG-based gesture recognition systems, particularly in real-time applications.","author":[{"dropping-particle":"","family":"Liu","given":"Yuehan","non-dropping-particle":"","parse-names":false,"suffix":""},{"dropping-particle":"","family":"Wang","given":"Ruxin","non-dropping-particle":"","parse-names":false,"suffix":""},{"dropping-particle":"","family":"Li","given":"Ye","non-dropping-particle":"","parse-names":false,"suffix":""},{"dropping-particle":"","family":"Wang","given":"Yishan","non-dropping-particle":"","parse-names":false,"suffix":""}],"container-title":"IEEE Transactions on Neural Systems and Rehabilitation Engineering","id":"ITEM-1","issued":{"date-parts":[["2024"]]},"page":"4186-4196","title":"A Novel Dual-Model Adaptive Continuous Learning Strategy for Wrist-sEMG Real-Time Gesture Recognition","type":"article-journal","volume":"32"},"uris":["http://www.mendeley.com/documents/?uuid=8a534cf5-023c-4509-9b64-eb2a38d2b6be"]}],"mendeley":{"formattedCitation":"[7]","plainTextFormattedCitation":"[7]","previouslyFormattedCitation":"[7]"},"properties":{"noteIndex":0},"schema":"https://github.com/citation-style-language/schema/raw/master/csl-citation.json"}</w:instrText>
      </w:r>
      <w:r w:rsidR="008E1C37">
        <w:rPr>
          <w:color w:val="000000" w:themeColor="text1"/>
          <w:sz w:val="20"/>
          <w:szCs w:val="20"/>
        </w:rPr>
        <w:fldChar w:fldCharType="separate"/>
      </w:r>
      <w:r w:rsidR="008E1C37" w:rsidRPr="008E1C37">
        <w:rPr>
          <w:noProof/>
          <w:color w:val="000000" w:themeColor="text1"/>
          <w:sz w:val="20"/>
          <w:szCs w:val="20"/>
        </w:rPr>
        <w:t>[7]</w:t>
      </w:r>
      <w:r w:rsidR="008E1C37">
        <w:rPr>
          <w:color w:val="000000" w:themeColor="text1"/>
          <w:sz w:val="20"/>
          <w:szCs w:val="20"/>
        </w:rPr>
        <w:fldChar w:fldCharType="end"/>
      </w:r>
      <w:r w:rsidR="008E1C37">
        <w:rPr>
          <w:color w:val="000000" w:themeColor="text1"/>
          <w:sz w:val="20"/>
          <w:szCs w:val="20"/>
        </w:rPr>
        <w:t xml:space="preserve"> </w:t>
      </w:r>
      <w:r w:rsidR="00C82237">
        <w:rPr>
          <w:color w:val="000000" w:themeColor="text1"/>
          <w:sz w:val="20"/>
          <w:szCs w:val="20"/>
        </w:rPr>
        <w:t xml:space="preserve">introduced a </w:t>
      </w:r>
      <w:r w:rsidR="00C82237" w:rsidRPr="00C82237">
        <w:rPr>
          <w:color w:val="303030"/>
          <w:sz w:val="20"/>
          <w:szCs w:val="20"/>
          <w:shd w:val="clear" w:color="auto" w:fill="FFFFFF"/>
        </w:rPr>
        <w:t>Dual-Model Adaptive Continuous Learning (DM-ACL)</w:t>
      </w:r>
      <w:r w:rsidR="008E1C37">
        <w:rPr>
          <w:color w:val="303030"/>
          <w:sz w:val="20"/>
          <w:szCs w:val="20"/>
          <w:shd w:val="clear" w:color="auto" w:fill="FFFFFF"/>
        </w:rPr>
        <w:t xml:space="preserve"> technique using </w:t>
      </w:r>
      <w:r w:rsidR="008E1C37" w:rsidRPr="008E1C37">
        <w:rPr>
          <w:color w:val="303030"/>
          <w:sz w:val="20"/>
          <w:szCs w:val="20"/>
          <w:shd w:val="clear" w:color="auto" w:fill="FFFFFF"/>
        </w:rPr>
        <w:t>k-Nearest Neighbors(kNN)</w:t>
      </w:r>
      <w:r w:rsidR="008E1C37">
        <w:rPr>
          <w:color w:val="303030"/>
          <w:sz w:val="20"/>
          <w:szCs w:val="20"/>
          <w:shd w:val="clear" w:color="auto" w:fill="FFFFFF"/>
        </w:rPr>
        <w:t xml:space="preserve">, CNN and LSTM, achieving 95.33% on 5 </w:t>
      </w:r>
      <w:r w:rsidR="009731F6">
        <w:rPr>
          <w:color w:val="303030"/>
          <w:sz w:val="20"/>
          <w:szCs w:val="20"/>
          <w:shd w:val="clear" w:color="auto" w:fill="FFFFFF"/>
        </w:rPr>
        <w:t xml:space="preserve">gestures. Later, Aarotale and Rattani </w:t>
      </w:r>
      <w:r w:rsidR="009731F6">
        <w:rPr>
          <w:color w:val="303030"/>
          <w:sz w:val="20"/>
          <w:szCs w:val="20"/>
          <w:shd w:val="clear" w:color="auto" w:fill="FFFFFF"/>
        </w:rPr>
        <w:fldChar w:fldCharType="begin" w:fldLock="1"/>
      </w:r>
      <w:r w:rsidR="00AB5DCE">
        <w:rPr>
          <w:color w:val="303030"/>
          <w:sz w:val="20"/>
          <w:szCs w:val="20"/>
          <w:shd w:val="clear" w:color="auto" w:fill="FFFFFF"/>
        </w:rPr>
        <w:instrText>ADDIN CSL_CITATION {"citationItems":[{"id":"ITEM-1","itemData":{"DOI":"10.1109/BIBM62325.2024.10822133","ISBN":"9798350386226","abstract":"EMG-based hand gesture recognition uses electromyographic (EMG) signals to interpret and classify hand movements by analyzing electrical activity generated by muscle contractions. It has wide applications in prosthesis control, rehabilitation training, and human-computer interaction. Using electrodes placed on the skin, the EMG sensor captures muscle signals, which are processed and filtered to reduce noise. Numerous feature extraction and machine learning algorithms have been proposed to extract and classify muscle signals to distinguish between various hand gestures.This paper aims to benchmark the performance of EMG-based hand gesture recognition using novel feature extraction methods, namely, fused time-domain descriptors, temporal-spatial descriptors, and wavelet transform-based features, combined with the state-of-the-art machine and deep learning models. Experimental investigations on the Grabmyo dataset demonstrate that the 1D Dilated CNN performed the best with an accuracy of 97% using fused time-domain descriptors such as power spectral moments, sparsity, irregularity factor and waveform length ratio. Similarly, on the FORS-EMG dataset, random forest performed the best with an accuracy of 94.95% using temporal-spatial descriptors (which include time domain features along with additional features such as coefficient of variation (COV), and Teager-Kaiser energy operator (TKEO)).","author":[{"dropping-particle":"","family":"Aarotale","given":"Parshuram N.","non-dropping-particle":"","parse-names":false,"suffix":""},{"dropping-particle":"","family":"Rattani","given":"Ajita","non-dropping-particle":"","parse-names":false,"suffix":""}],"container-title":"Proceedings - 2024 IEEE International Conference on Bioinformatics and Biomedicine, BIBM 2024","id":"ITEM-1","issued":{"date-parts":[["2024"]]},"page":"6319-6326","publisher":"IEEE","title":"Machine Learning-based sEMG Signal Classification for Hand Gesture Recognition","type":"article-journal"},"uris":["http://www.mendeley.com/documents/?uuid=3418ebb0-ef72-4fe0-b4ae-15876a99d3e0"]}],"mendeley":{"formattedCitation":"[8]","plainTextFormattedCitation":"[8]","previouslyFormattedCitation":"[8]"},"properties":{"noteIndex":0},"schema":"https://github.com/citation-style-language/schema/raw/master/csl-citation.json"}</w:instrText>
      </w:r>
      <w:r w:rsidR="009731F6">
        <w:rPr>
          <w:color w:val="303030"/>
          <w:sz w:val="20"/>
          <w:szCs w:val="20"/>
          <w:shd w:val="clear" w:color="auto" w:fill="FFFFFF"/>
        </w:rPr>
        <w:fldChar w:fldCharType="separate"/>
      </w:r>
      <w:r w:rsidR="009731F6" w:rsidRPr="009731F6">
        <w:rPr>
          <w:noProof/>
          <w:color w:val="303030"/>
          <w:sz w:val="20"/>
          <w:szCs w:val="20"/>
          <w:shd w:val="clear" w:color="auto" w:fill="FFFFFF"/>
        </w:rPr>
        <w:t>[8]</w:t>
      </w:r>
      <w:r w:rsidR="009731F6">
        <w:rPr>
          <w:color w:val="303030"/>
          <w:sz w:val="20"/>
          <w:szCs w:val="20"/>
          <w:shd w:val="clear" w:color="auto" w:fill="FFFFFF"/>
        </w:rPr>
        <w:fldChar w:fldCharType="end"/>
      </w:r>
      <w:r w:rsidR="009731F6">
        <w:rPr>
          <w:color w:val="303030"/>
          <w:sz w:val="20"/>
          <w:szCs w:val="20"/>
          <w:shd w:val="clear" w:color="auto" w:fill="FFFFFF"/>
        </w:rPr>
        <w:t xml:space="preserve"> published their research showing 97% accuracy using 1D dilated CNN and 94.95% using Random Forest. However, the dataset contained only 12-16 gestures </w:t>
      </w:r>
      <w:r w:rsidR="004C1715">
        <w:rPr>
          <w:color w:val="303030"/>
          <w:sz w:val="20"/>
          <w:szCs w:val="20"/>
          <w:shd w:val="clear" w:color="auto" w:fill="FFFFFF"/>
        </w:rPr>
        <w:t>only. Nahid et al.</w:t>
      </w:r>
      <w:r w:rsidR="00AB5DCE">
        <w:rPr>
          <w:color w:val="303030"/>
          <w:sz w:val="20"/>
          <w:szCs w:val="20"/>
          <w:shd w:val="clear" w:color="auto" w:fill="FFFFFF"/>
        </w:rPr>
        <w:t xml:space="preserve"> </w:t>
      </w:r>
      <w:sdt>
        <w:sdtPr>
          <w:rPr>
            <w:color w:val="303030"/>
            <w:sz w:val="20"/>
            <w:szCs w:val="20"/>
            <w:shd w:val="clear" w:color="auto" w:fill="FFFFFF"/>
          </w:rPr>
          <w:tag w:val="MENDELEY_CITATION_TEMP"/>
          <w:id w:val="-118386083"/>
          <w:placeholder>
            <w:docPart w:val="DefaultPlaceholder_-1854013440"/>
          </w:placeholder>
          <w15:appearance w15:val="hidden"/>
        </w:sdtPr>
        <w:sdtEndPr/>
        <w:sdtContent/>
      </w:sdt>
      <w:r w:rsidR="004C1715">
        <w:rPr>
          <w:color w:val="303030"/>
          <w:sz w:val="20"/>
          <w:szCs w:val="20"/>
          <w:shd w:val="clear" w:color="auto" w:fill="FFFFFF"/>
        </w:rPr>
        <w:t xml:space="preserve"> classified sEMG as an Image Recognition Problem, where he used CNN-LSTM architecture to gain 99.83% on Rami Khusaba repository (10 gestures) and 99.72</w:t>
      </w:r>
      <w:r w:rsidR="00AB5DCE">
        <w:rPr>
          <w:color w:val="303030"/>
          <w:sz w:val="20"/>
          <w:szCs w:val="20"/>
          <w:shd w:val="clear" w:color="auto" w:fill="FFFFFF"/>
        </w:rPr>
        <w:t>% (</w:t>
      </w:r>
      <w:r w:rsidR="004C1715">
        <w:rPr>
          <w:color w:val="303030"/>
          <w:sz w:val="20"/>
          <w:szCs w:val="20"/>
          <w:shd w:val="clear" w:color="auto" w:fill="FFFFFF"/>
        </w:rPr>
        <w:t>6 gestures) in UCI machine learning repository using only 2 channel sEMG system.</w:t>
      </w:r>
    </w:p>
    <w:p w14:paraId="17F150FC" w14:textId="575A026B" w:rsidR="009303D9" w:rsidRPr="00430D5C" w:rsidRDefault="00CB5CCE" w:rsidP="00CB5CCE">
      <w:pPr>
        <w:pStyle w:val="Heading1"/>
        <w:rPr>
          <w:color w:val="000000" w:themeColor="text1"/>
        </w:rPr>
      </w:pPr>
      <w:r w:rsidRPr="00430D5C">
        <w:rPr>
          <w:color w:val="000000" w:themeColor="text1"/>
        </w:rPr>
        <w:t>methodology</w:t>
      </w:r>
    </w:p>
    <w:p w14:paraId="3D4ACEAC" w14:textId="487FAA8A" w:rsidR="00942DBF" w:rsidRPr="00430D5C" w:rsidRDefault="00447087" w:rsidP="00BA5F32">
      <w:pPr>
        <w:jc w:val="both"/>
        <w:rPr>
          <w:color w:val="000000" w:themeColor="text1"/>
        </w:rPr>
      </w:pPr>
      <w:r w:rsidRPr="00447087">
        <w:rPr>
          <w:color w:val="000000" w:themeColor="text1"/>
        </w:rPr>
        <w:t>An attention-based deep learning framework for surface electromyography (sEMG)-based hand gesture identification was developed and assessed using an organized methodology. Dataset selection, signal preprocessing, temporal segmentation, model architecture creation, training, and performance assessment utilizing subject-wise accuracy and statistical variability criteria are all included in the approach. In order to address the difficulties of inter-subject variability and signal non-stationarity in large-scale sEMG datasets as NinaPro DB2</w:t>
      </w:r>
      <w:r w:rsidR="00BA5F32">
        <w:rPr>
          <w:color w:val="000000" w:themeColor="text1"/>
        </w:rPr>
        <w:t>.</w:t>
      </w:r>
      <w:r w:rsidRPr="00447087">
        <w:rPr>
          <w:color w:val="000000" w:themeColor="text1"/>
        </w:rPr>
        <w:t xml:space="preserve"> </w:t>
      </w:r>
      <w:r w:rsidR="00BA5F32">
        <w:rPr>
          <w:color w:val="000000" w:themeColor="text1"/>
        </w:rPr>
        <w:t>T</w:t>
      </w:r>
      <w:r w:rsidRPr="00447087">
        <w:rPr>
          <w:color w:val="000000" w:themeColor="text1"/>
        </w:rPr>
        <w:t>his methodology adopts well-established techniques in myoelectric signal processing and deep learning. Python was used for all of the experiments, and deep learning tools including NumPy, Pandas, Scikit-learn, and TensorFlow/Keras were used. To guarantee reproducibility and transparency, the complete workflow was constructed in a Jupyter Notebook environment.</w:t>
      </w:r>
    </w:p>
    <w:p w14:paraId="1E29B0B5" w14:textId="7ADA634A" w:rsidR="009330E6" w:rsidRPr="00942DBF" w:rsidRDefault="009330E6" w:rsidP="00755EF7">
      <w:pPr>
        <w:pStyle w:val="Heading2"/>
        <w:ind w:start="72pt"/>
      </w:pPr>
      <w:r w:rsidRPr="00942DBF">
        <w:t>Dataset Description</w:t>
      </w:r>
    </w:p>
    <w:p w14:paraId="3A41F0A5" w14:textId="27514B99" w:rsidR="00BA5F32" w:rsidRDefault="00BA5F32" w:rsidP="00BA5F32">
      <w:pPr>
        <w:pStyle w:val="NormalWeb"/>
        <w:jc w:val="both"/>
        <w:rPr>
          <w:sz w:val="20"/>
          <w:szCs w:val="20"/>
        </w:rPr>
      </w:pPr>
      <w:r w:rsidRPr="00BA5F32">
        <w:rPr>
          <w:sz w:val="20"/>
          <w:szCs w:val="20"/>
        </w:rPr>
        <w:t xml:space="preserve">The NinaPro Database 2 (DB2), a popular benchmark dataset for surface electromyography (sEMG)-based hand gesture identification, is used in this study. The dataset offers preprocessed sEMG signals that have been filtered using a band-pass filter between 10 and 1000 Hz and a notch filter at </w:t>
      </w:r>
      <w:r w:rsidRPr="00BA5F32">
        <w:rPr>
          <w:sz w:val="20"/>
          <w:szCs w:val="20"/>
        </w:rPr>
        <w:t>50 Hz</w:t>
      </w:r>
      <w:r w:rsidR="0023168B">
        <w:rPr>
          <w:sz w:val="20"/>
          <w:szCs w:val="20"/>
        </w:rPr>
        <w:t xml:space="preserve"> </w:t>
      </w:r>
      <w:r w:rsidR="0023168B">
        <w:rPr>
          <w:sz w:val="20"/>
          <w:szCs w:val="20"/>
        </w:rPr>
        <w:fldChar w:fldCharType="begin" w:fldLock="1"/>
      </w:r>
      <w:r w:rsidR="00AB5DCE">
        <w:rPr>
          <w:sz w:val="20"/>
          <w:szCs w:val="20"/>
        </w:rPr>
        <w:instrText>ADDIN CSL_CITATION {"citationItems":[{"id":"ITEM-1","itemData":{"DOI":"10.1109/EMBC44109.2020.9175260","ISBN":"9781728119908","ISSN":"1557170X","abstract":"In recent years, many electromyography (EMG) benchmark databases have been made publicly available to the myoelectric control research community. Many small laboratories that lack the instrumentation, access, and experience needed to collect quality EMG data have used these benchmark datasets to explore and propose new signal processing and pattern recognition algorithms. It is widely accepted that noise contamination can affect the performance of myoelectric control systems, and so useful datasets should maintain good signal quality to ensure accurate results for proposed EMG-based gesture recognition systems. Despite the availability and adoption of benchmarks datasets, however, the quality of the EMG signals in these benchmarks has not yet been examined. In this study, the signal quality of the Non-Invasive Adaptive Prosthetics (NinaPro) dataset, the most widely known publicly available benchmark database to date, was comprehensively investigated with the goals of: 1) reporting the level of noise contamination in each NinaPro sub-dataset, 2) proposing signal quality criteria for assessing EMG datasets, 3) analyzing the effect of signal quality on classification performance, and 4) examining the quality of the data labels.","author":[{"dropping-particle":"","family":"Chang","given":"Jason","non-dropping-particle":"","parse-names":false,"suffix":""},{"dropping-particle":"","family":"Phinyomark","given":"Angkoon","non-dropping-particle":"","parse-names":false,"suffix":""},{"dropping-particle":"","family":"Scheme","given":"Erik","non-dropping-particle":"","parse-names":false,"suffix":""}],"container-title":"Proceedings of the Annual International Conference of the IEEE Engineering in Medicine and Biology Society, EMBS","id":"ITEM-1","issued":{"date-parts":[["2020"]]},"page":"3339-3342","title":"Assessment of EMG Benchmark Data for Gesture Recognition Using the NinaPro Database","type":"article-journal","volume":"2020-July"},"uris":["http://www.mendeley.com/documents/?uuid=1eda425c-d249-40fe-8bd3-b06536715076"]}],"mendeley":{"formattedCitation":"[9]","plainTextFormattedCitation":"[9]","previouslyFormattedCitation":"[9]"},"properties":{"noteIndex":0},"schema":"https://github.com/citation-style-language/schema/raw/master/csl-citation.json"}</w:instrText>
      </w:r>
      <w:r w:rsidR="0023168B">
        <w:rPr>
          <w:sz w:val="20"/>
          <w:szCs w:val="20"/>
        </w:rPr>
        <w:fldChar w:fldCharType="separate"/>
      </w:r>
      <w:r w:rsidR="009731F6" w:rsidRPr="009731F6">
        <w:rPr>
          <w:noProof/>
          <w:sz w:val="20"/>
          <w:szCs w:val="20"/>
        </w:rPr>
        <w:t>[9]</w:t>
      </w:r>
      <w:r w:rsidR="0023168B">
        <w:rPr>
          <w:sz w:val="20"/>
          <w:szCs w:val="20"/>
        </w:rPr>
        <w:fldChar w:fldCharType="end"/>
      </w:r>
      <w:r w:rsidRPr="00BA5F32">
        <w:rPr>
          <w:sz w:val="20"/>
          <w:szCs w:val="20"/>
        </w:rPr>
        <w:t>. The multi-channel sEMG recordings in NinaPro DB2 were obtained from 40 healthy participants, each of whom executed a predetermined series of hand and wrist motions under carefully monitored experimental circumstances. The dataset is ideal for robust model evaluation because it is particularly created to analyze gesture recognition algorithms under genuine inter-subject variability.</w:t>
      </w:r>
      <w:r>
        <w:rPr>
          <w:sz w:val="20"/>
          <w:szCs w:val="20"/>
        </w:rPr>
        <w:t xml:space="preserve"> </w:t>
      </w:r>
      <w:r w:rsidRPr="00BA5F32">
        <w:rPr>
          <w:sz w:val="20"/>
          <w:szCs w:val="20"/>
        </w:rPr>
        <w:t>For each subject, sEMG signals are recorded using 12 electrodes uniformly placed around the forearm and sampled at 2000 Hz, ensuring high temporal resolution for capturing rapid muscle activation dynamics. In addition to the raw sEMG recordings, the dataset provides synchronized annotation files containing gesture labels (restimulus) and repetition indices (</w:t>
      </w:r>
      <w:r w:rsidR="00A30DB9" w:rsidRPr="00BA5F32">
        <w:rPr>
          <w:sz w:val="20"/>
          <w:szCs w:val="20"/>
        </w:rPr>
        <w:t>repetition</w:t>
      </w:r>
      <w:r w:rsidRPr="00BA5F32">
        <w:rPr>
          <w:sz w:val="20"/>
          <w:szCs w:val="20"/>
        </w:rPr>
        <w:t>) for each time sample, enabling precise segmentation and supervised learning.</w:t>
      </w:r>
    </w:p>
    <w:p w14:paraId="2E465914" w14:textId="48165889" w:rsidR="008D11C2" w:rsidRPr="00430D5C" w:rsidRDefault="00BA5F32" w:rsidP="00BA5F32">
      <w:pPr>
        <w:pStyle w:val="NormalWeb"/>
        <w:jc w:val="both"/>
        <w:rPr>
          <w:color w:val="000000" w:themeColor="text1"/>
          <w:sz w:val="20"/>
          <w:szCs w:val="20"/>
        </w:rPr>
      </w:pPr>
      <w:r w:rsidRPr="00BA5F32">
        <w:rPr>
          <w:sz w:val="20"/>
          <w:szCs w:val="20"/>
        </w:rPr>
        <w:t>In addition to a rest class, NinaPro DB2 has 49 gesture classes that cover a wide variety of hand, wrist, and finger motions. The data can be divided into training, validation, and testing subsets according to repetition indices since each motion is performed several times per individual. While preserving subject-dependent consistency, our repetition-based split guarantees evaluation on unseen gesture executions. NinaPro DB2 is a demanding and exacting benchmark for deep learning-based gesture recognition models because of its extensive gesture set, signal non-stationarity, and significant inter-subject variability.</w:t>
      </w:r>
    </w:p>
    <w:p w14:paraId="76A04BFA" w14:textId="64BE45B3" w:rsidR="008D11C2" w:rsidRPr="00430D5C" w:rsidRDefault="006014EA" w:rsidP="009330E6">
      <w:pPr>
        <w:pStyle w:val="NormalWeb"/>
        <w:spacing w:before="0pt" w:beforeAutospacing="0" w:after="0pt" w:afterAutospacing="0"/>
        <w:jc w:val="both"/>
        <w:rPr>
          <w:color w:val="000000" w:themeColor="text1"/>
          <w:sz w:val="20"/>
          <w:szCs w:val="20"/>
        </w:rPr>
      </w:pPr>
      <w:r w:rsidRPr="00E632D7">
        <w:rPr>
          <w:noProof/>
          <w:color w:val="000000" w:themeColor="text1"/>
          <w:sz w:val="20"/>
          <w:szCs w:val="20"/>
        </w:rPr>
        <w:drawing>
          <wp:inline distT="0" distB="0" distL="0" distR="0" wp14:anchorId="3719A5FE" wp14:editId="0941EE07">
            <wp:extent cx="3089910" cy="1146175"/>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146175"/>
                    </a:xfrm>
                    <a:prstGeom prst="rect">
                      <a:avLst/>
                    </a:prstGeom>
                  </pic:spPr>
                </pic:pic>
              </a:graphicData>
            </a:graphic>
          </wp:inline>
        </w:drawing>
      </w:r>
    </w:p>
    <w:p w14:paraId="6F704037" w14:textId="46B5D898" w:rsidR="003E09C4" w:rsidRPr="00430D5C" w:rsidRDefault="00E632D7" w:rsidP="009330E6">
      <w:pPr>
        <w:pStyle w:val="NormalWeb"/>
        <w:spacing w:before="0pt" w:beforeAutospacing="0" w:after="0pt" w:afterAutospacing="0"/>
        <w:jc w:val="both"/>
        <w:rPr>
          <w:color w:val="000000" w:themeColor="text1"/>
          <w:sz w:val="20"/>
          <w:szCs w:val="20"/>
        </w:rPr>
      </w:pPr>
      <w:r>
        <w:rPr>
          <w:noProof/>
        </w:rPr>
        <w:drawing>
          <wp:anchor distT="0" distB="0" distL="114300" distR="114300" simplePos="0" relativeHeight="251686400" behindDoc="0" locked="0" layoutInCell="1" allowOverlap="1" wp14:anchorId="1E2D47EA" wp14:editId="7B8EDC68">
            <wp:simplePos x="0" y="0"/>
            <wp:positionH relativeFrom="column">
              <wp:posOffset>800735</wp:posOffset>
            </wp:positionH>
            <wp:positionV relativeFrom="paragraph">
              <wp:posOffset>81280</wp:posOffset>
            </wp:positionV>
            <wp:extent cx="1428750" cy="635"/>
            <wp:effectExtent l="0" t="0" r="0" b="0"/>
            <wp:wrapNone/>
            <wp:docPr id="51" name="Text Box 51"/>
            <wp:cNvGraphicFramePr/>
            <a:graphic xmlns:a="http://purl.oclc.org/ooxml/drawingml/main">
              <a:graphicData uri="http://schemas.microsoft.com/office/word/2010/wordprocessingShape">
                <wp:wsp>
                  <wp:cNvSpPr txBox="1"/>
                  <wp:spPr>
                    <a:xfrm>
                      <a:off x="0" y="0"/>
                      <a:ext cx="1428750" cy="635"/>
                    </a:xfrm>
                    <a:prstGeom prst="rect">
                      <a:avLst/>
                    </a:prstGeom>
                    <a:solidFill>
                      <a:prstClr val="white"/>
                    </a:solidFill>
                    <a:ln>
                      <a:noFill/>
                    </a:ln>
                  </wp:spPr>
                  <wp:txbx>
                    <wne:txbxContent>
                      <w:p w14:paraId="74D32571" w14:textId="27C332A5" w:rsidR="00ED3D6A" w:rsidRPr="002234A5" w:rsidRDefault="00ED3D6A" w:rsidP="003E09C4">
                        <w:pPr>
                          <w:pStyle w:val="Caption"/>
                          <w:rPr>
                            <w:rFonts w:eastAsia="Times New Roman"/>
                            <w:noProof/>
                            <w:color w:val="000000" w:themeColor="text1"/>
                            <w:sz w:val="20"/>
                            <w:szCs w:val="20"/>
                          </w:rPr>
                        </w:pPr>
                        <w:r>
                          <w:t xml:space="preserve">Figure </w:t>
                        </w:r>
                        <w:r w:rsidR="00006F76">
                          <w:rPr>
                            <w:noProof/>
                          </w:rPr>
                          <w:fldChar w:fldCharType="begin"/>
                        </w:r>
                        <w:r w:rsidR="00006F76">
                          <w:rPr>
                            <w:noProof/>
                          </w:rPr>
                          <w:instrText xml:space="preserve"> SEQ Figure \* ARABIC </w:instrText>
                        </w:r>
                        <w:r w:rsidR="00006F76">
                          <w:rPr>
                            <w:noProof/>
                          </w:rPr>
                          <w:fldChar w:fldCharType="separate"/>
                        </w:r>
                        <w:r w:rsidR="004465CF">
                          <w:rPr>
                            <w:noProof/>
                          </w:rPr>
                          <w:t>1</w:t>
                        </w:r>
                        <w:r w:rsidR="00006F76">
                          <w:rPr>
                            <w:noProof/>
                          </w:rPr>
                          <w:fldChar w:fldCharType="end"/>
                        </w:r>
                        <w:r>
                          <w:t xml:space="preserve"> : Data processing</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p>
    <w:p w14:paraId="4936B137" w14:textId="77777777" w:rsidR="009E4946" w:rsidRDefault="009E4946" w:rsidP="00391559">
      <w:pPr>
        <w:pStyle w:val="BodyText"/>
        <w:rPr>
          <w:rStyle w:val="Emphasis"/>
          <w:color w:val="000000" w:themeColor="text1"/>
          <w:lang w:val="en-US"/>
        </w:rPr>
      </w:pPr>
    </w:p>
    <w:p w14:paraId="0295F9E6" w14:textId="50362BAF" w:rsidR="00622A90" w:rsidRPr="00430D5C" w:rsidRDefault="00622A90" w:rsidP="009E4946">
      <w:pPr>
        <w:pStyle w:val="BodyText"/>
        <w:ind w:firstLine="81pt"/>
        <w:rPr>
          <w:rStyle w:val="Emphasis"/>
          <w:color w:val="000000" w:themeColor="text1"/>
          <w:lang w:val="en-US"/>
        </w:rPr>
      </w:pPr>
      <w:r w:rsidRPr="00430D5C">
        <w:rPr>
          <w:rStyle w:val="Emphasis"/>
          <w:color w:val="000000" w:themeColor="text1"/>
          <w:lang w:val="en-US"/>
        </w:rPr>
        <w:t>B.</w:t>
      </w:r>
      <w:r w:rsidRPr="00430D5C">
        <w:rPr>
          <w:rStyle w:val="Emphasis"/>
          <w:color w:val="000000" w:themeColor="text1"/>
        </w:rPr>
        <w:t xml:space="preserve"> Data Preprocessing</w:t>
      </w:r>
    </w:p>
    <w:p w14:paraId="480F40A4" w14:textId="195DEDBA" w:rsidR="00E121A0" w:rsidRDefault="000F1A7A" w:rsidP="00391559">
      <w:pPr>
        <w:pStyle w:val="BodyText"/>
        <w:rPr>
          <w:color w:val="000000" w:themeColor="text1"/>
        </w:rPr>
      </w:pPr>
      <w:r w:rsidRPr="000F1A7A">
        <w:rPr>
          <w:color w:val="000000" w:themeColor="text1"/>
        </w:rPr>
        <w:t>The raw surface electromyography (sEMG) signals from the NinaPro DB2 dataset necessitate comprehensive preprocessing to guarantee signal reliability, minimize noise, and maintain consistency among subjects.</w:t>
      </w:r>
      <w:r>
        <w:rPr>
          <w:color w:val="000000" w:themeColor="text1"/>
          <w:lang w:val="en-US"/>
        </w:rPr>
        <w:t xml:space="preserve"> </w:t>
      </w:r>
      <w:r w:rsidRPr="000F1A7A">
        <w:rPr>
          <w:color w:val="000000" w:themeColor="text1"/>
          <w:lang w:val="en-US"/>
        </w:rPr>
        <w:t>Preprocessing requires amplification, windowing, and filtering exclusively</w:t>
      </w:r>
      <w:r w:rsidR="0023168B">
        <w:rPr>
          <w:color w:val="000000" w:themeColor="text1"/>
          <w:lang w:val="en-US"/>
        </w:rPr>
        <w:t xml:space="preserve"> </w:t>
      </w:r>
      <w:r w:rsidR="0023168B">
        <w:rPr>
          <w:color w:val="000000" w:themeColor="text1"/>
          <w:lang w:val="en-US"/>
        </w:rPr>
        <w:fldChar w:fldCharType="begin" w:fldLock="1"/>
      </w:r>
      <w:r w:rsidR="00AB5DCE">
        <w:rPr>
          <w:color w:val="000000" w:themeColor="text1"/>
          <w:lang w:val="en-US"/>
        </w:rPr>
        <w:instrText>ADDIN CSL_CITATION {"citationItems":[{"id":"ITEM-1","itemData":{"ISBN":"9781728193311","abstract":"Computer Vision Image Processing Pattern Recognition Machine Learning Medical Image Processing Human Computer Interaction Remote Sensing &amp; Geoscience Biomedical Systems, Applications in Medicine Robotics &amp; Mechatronics Automation &amp; Control Systems Biometrics Intelligent Transportation Systems Vehicular Electrotechnology Cybernetics Computational Intelligence Soft Computing Fuzzy systems Signal Processing. ","author":[{"dropping-particle":"","family":"Nahid","given":"Nazmun","non-dropping-particle":"","parse-names":false,"suffix":""},{"dropping-particle":"","family":"Rahman","given":"Arafat","non-dropping-particle":"","parse-names":false,"suffix":""}],"id":"ITEM-1","issued":{"date-parts":[["2020"]]},"page":"369","title":"2020 Joint 9th International Conference on Informatics, Electronics &amp; Vision (ICIEV) and 2020 4th International Conference on Imaging, Vision &amp; Pattern Recognition (icIVPR) : 26-29 August 2020, Kitakyushu, Japan","type":"article-journal"},"uris":["http://www.mendeley.com/documents/?uuid=43cdc97e-6a47-495c-9cf5-3bba9318495a"]}],"mendeley":{"formattedCitation":"[10]","plainTextFormattedCitation":"[10]","previouslyFormattedCitation":"[10]"},"properties":{"noteIndex":0},"schema":"https://github.com/citation-style-language/schema/raw/master/csl-citation.json"}</w:instrText>
      </w:r>
      <w:r w:rsidR="0023168B">
        <w:rPr>
          <w:color w:val="000000" w:themeColor="text1"/>
          <w:lang w:val="en-US"/>
        </w:rPr>
        <w:fldChar w:fldCharType="separate"/>
      </w:r>
      <w:r w:rsidR="009731F6" w:rsidRPr="009731F6">
        <w:rPr>
          <w:noProof/>
          <w:color w:val="000000" w:themeColor="text1"/>
          <w:lang w:val="en-US"/>
        </w:rPr>
        <w:t>[10]</w:t>
      </w:r>
      <w:r w:rsidR="0023168B">
        <w:rPr>
          <w:color w:val="000000" w:themeColor="text1"/>
          <w:lang w:val="en-US"/>
        </w:rPr>
        <w:fldChar w:fldCharType="end"/>
      </w:r>
      <w:r>
        <w:rPr>
          <w:color w:val="000000" w:themeColor="text1"/>
          <w:lang w:val="en-US"/>
        </w:rPr>
        <w:t xml:space="preserve">. </w:t>
      </w:r>
      <w:r w:rsidRPr="000F1A7A">
        <w:rPr>
          <w:color w:val="000000" w:themeColor="text1"/>
        </w:rPr>
        <w:t>Given that sEMG recordings are particularly susceptible to motion artifacts, electrode displacement, power-line interference, and inter-subject variability, preprocessing is essential for enhancing the robustness and generalization capacity of the proposed learning framework.</w:t>
      </w:r>
      <w:r>
        <w:rPr>
          <w:color w:val="000000" w:themeColor="text1"/>
          <w:lang w:val="en-US"/>
        </w:rPr>
        <w:t xml:space="preserve"> </w:t>
      </w:r>
      <w:r w:rsidR="00622A90" w:rsidRPr="00430D5C">
        <w:rPr>
          <w:color w:val="000000" w:themeColor="text1"/>
        </w:rPr>
        <w:t>The preprocessing pipeline adopted in this study is designed to preserve discriminative muscle activation patterns while eliminating redundant and corrupted signal components.</w:t>
      </w:r>
    </w:p>
    <w:p w14:paraId="700F6C5F" w14:textId="6B598CF9" w:rsidR="009E4946" w:rsidRDefault="009E4946" w:rsidP="00391559">
      <w:pPr>
        <w:pStyle w:val="BodyText"/>
        <w:rPr>
          <w:color w:val="000000" w:themeColor="text1"/>
        </w:rPr>
      </w:pPr>
      <w:r>
        <w:rPr>
          <w:noProof/>
        </w:rPr>
        <w:drawing>
          <wp:anchor distT="0" distB="0" distL="114300" distR="114300" simplePos="0" relativeHeight="251693568" behindDoc="0" locked="0" layoutInCell="1" allowOverlap="1" wp14:anchorId="1AB94EE1" wp14:editId="32AA6D87">
            <wp:simplePos x="0" y="0"/>
            <wp:positionH relativeFrom="column">
              <wp:posOffset>0</wp:posOffset>
            </wp:positionH>
            <wp:positionV relativeFrom="paragraph">
              <wp:posOffset>1089025</wp:posOffset>
            </wp:positionV>
            <wp:extent cx="3089910" cy="635"/>
            <wp:effectExtent l="0" t="0" r="0" b="0"/>
            <wp:wrapNone/>
            <wp:docPr id="3" name="Text Box 3"/>
            <wp:cNvGraphicFramePr/>
            <a:graphic xmlns:a="http://purl.oclc.org/ooxml/drawingml/main">
              <a:graphicData uri="http://schemas.microsoft.com/office/word/2010/wordprocessingShape">
                <wp:wsp>
                  <wp:cNvSpPr txBox="1"/>
                  <wp:spPr>
                    <a:xfrm>
                      <a:off x="0" y="0"/>
                      <a:ext cx="3089910" cy="635"/>
                    </a:xfrm>
                    <a:prstGeom prst="rect">
                      <a:avLst/>
                    </a:prstGeom>
                    <a:solidFill>
                      <a:prstClr val="white"/>
                    </a:solidFill>
                    <a:ln>
                      <a:noFill/>
                    </a:ln>
                  </wp:spPr>
                  <wp:txbx>
                    <wne:txbxContent>
                      <w:p w14:paraId="4359C03D" w14:textId="758CEECA" w:rsidR="009E4946" w:rsidRPr="0018234F" w:rsidRDefault="009E4946" w:rsidP="009E4946">
                        <w:pPr>
                          <w:pStyle w:val="Caption"/>
                          <w:rPr>
                            <w:noProof/>
                            <w:color w:val="000000" w:themeColor="text1"/>
                            <w:spacing w:val="-1"/>
                            <w:sz w:val="20"/>
                            <w:szCs w:val="20"/>
                            <w:lang w:val="x-none" w:eastAsia="x-none"/>
                          </w:rPr>
                        </w:pPr>
                        <w:r>
                          <w:t xml:space="preserve">Figure </w:t>
                        </w:r>
                        <w:r w:rsidR="00006F76">
                          <w:rPr>
                            <w:noProof/>
                          </w:rPr>
                          <w:fldChar w:fldCharType="begin"/>
                        </w:r>
                        <w:r w:rsidR="00006F76">
                          <w:rPr>
                            <w:noProof/>
                          </w:rPr>
                          <w:instrText xml:space="preserve"> SEQ Figure \* ARABIC </w:instrText>
                        </w:r>
                        <w:r w:rsidR="00006F76">
                          <w:rPr>
                            <w:noProof/>
                          </w:rPr>
                          <w:fldChar w:fldCharType="separate"/>
                        </w:r>
                        <w:r w:rsidR="004465CF">
                          <w:rPr>
                            <w:noProof/>
                          </w:rPr>
                          <w:t>2</w:t>
                        </w:r>
                        <w:r w:rsidR="00006F76">
                          <w:rPr>
                            <w:noProof/>
                          </w:rPr>
                          <w:fldChar w:fldCharType="end"/>
                        </w:r>
                        <w:r>
                          <w:t xml:space="preserve"> -raw multi-channel sEMG signals</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Pr>
          <w:noProof/>
          <w:color w:val="000000" w:themeColor="text1"/>
        </w:rPr>
        <w:drawing>
          <wp:anchor distT="0" distB="0" distL="114300" distR="114300" simplePos="0" relativeHeight="251691520" behindDoc="0" locked="0" layoutInCell="1" allowOverlap="1" wp14:anchorId="744AEFF4" wp14:editId="4F38B5AD">
            <wp:simplePos x="0" y="0"/>
            <wp:positionH relativeFrom="column">
              <wp:align>right</wp:align>
            </wp:positionH>
            <wp:positionV relativeFrom="paragraph">
              <wp:posOffset>2449</wp:posOffset>
            </wp:positionV>
            <wp:extent cx="3089910" cy="1029970"/>
            <wp:effectExtent l="0" t="0" r="0" b="0"/>
            <wp:wrapNone/>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fig1_raw_emg_signal.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1029970"/>
                    </a:xfrm>
                    <a:prstGeom prst="rect">
                      <a:avLst/>
                    </a:prstGeom>
                  </pic:spPr>
                </pic:pic>
              </a:graphicData>
            </a:graphic>
          </wp:anchor>
        </w:drawing>
      </w:r>
    </w:p>
    <w:p w14:paraId="6E463ED5" w14:textId="7B85488B" w:rsidR="009E4946" w:rsidRDefault="009E4946" w:rsidP="00391559">
      <w:pPr>
        <w:pStyle w:val="BodyText"/>
        <w:rPr>
          <w:color w:val="000000" w:themeColor="text1"/>
        </w:rPr>
      </w:pPr>
    </w:p>
    <w:p w14:paraId="57B09965" w14:textId="1E450E29" w:rsidR="009E4946" w:rsidRDefault="009E4946" w:rsidP="00391559">
      <w:pPr>
        <w:pStyle w:val="BodyText"/>
        <w:rPr>
          <w:color w:val="000000" w:themeColor="text1"/>
        </w:rPr>
      </w:pPr>
    </w:p>
    <w:p w14:paraId="7FFFE12A" w14:textId="2C22F0C9" w:rsidR="009E4946" w:rsidRDefault="009E4946" w:rsidP="00391559">
      <w:pPr>
        <w:pStyle w:val="BodyText"/>
        <w:rPr>
          <w:color w:val="000000" w:themeColor="text1"/>
        </w:rPr>
      </w:pPr>
    </w:p>
    <w:p w14:paraId="441F0E86" w14:textId="6359CC52" w:rsidR="009E4946" w:rsidRDefault="009E4946" w:rsidP="00391559">
      <w:pPr>
        <w:pStyle w:val="BodyText"/>
        <w:rPr>
          <w:color w:val="000000" w:themeColor="text1"/>
        </w:rPr>
      </w:pPr>
    </w:p>
    <w:p w14:paraId="65517C53" w14:textId="03940C51" w:rsidR="009E4946" w:rsidRDefault="009E4946" w:rsidP="00391559">
      <w:pPr>
        <w:pStyle w:val="BodyText"/>
        <w:rPr>
          <w:color w:val="000000" w:themeColor="text1"/>
        </w:rPr>
      </w:pPr>
    </w:p>
    <w:p w14:paraId="76FD134E" w14:textId="2AA286CA" w:rsidR="009E4946" w:rsidRDefault="006014EA" w:rsidP="00391559">
      <w:pPr>
        <w:pStyle w:val="BodyText"/>
        <w:rPr>
          <w:color w:val="000000" w:themeColor="text1"/>
        </w:rPr>
      </w:pPr>
      <w:r>
        <w:rPr>
          <w:noProof/>
          <w:color w:val="000000" w:themeColor="text1"/>
        </w:rPr>
        <w:lastRenderedPageBreak/>
        <w:drawing>
          <wp:anchor distT="0" distB="0" distL="114300" distR="114300" simplePos="0" relativeHeight="251694592" behindDoc="0" locked="0" layoutInCell="1" allowOverlap="1" wp14:anchorId="3352139A" wp14:editId="3819B159">
            <wp:simplePos x="0" y="0"/>
            <wp:positionH relativeFrom="column">
              <wp:align>right</wp:align>
            </wp:positionH>
            <wp:positionV relativeFrom="paragraph">
              <wp:posOffset>9525</wp:posOffset>
            </wp:positionV>
            <wp:extent cx="3089910" cy="1029970"/>
            <wp:effectExtent l="0" t="0" r="0" b="0"/>
            <wp:wrapNone/>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fig2_preprocessed_emg_signal.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1029970"/>
                    </a:xfrm>
                    <a:prstGeom prst="rect">
                      <a:avLst/>
                    </a:prstGeom>
                  </pic:spPr>
                </pic:pic>
              </a:graphicData>
            </a:graphic>
          </wp:anchor>
        </w:drawing>
      </w:r>
      <w:r w:rsidR="009E4946">
        <w:rPr>
          <w:noProof/>
        </w:rPr>
        <w:drawing>
          <wp:anchor distT="0" distB="0" distL="114300" distR="114300" simplePos="0" relativeHeight="251696640" behindDoc="0" locked="0" layoutInCell="1" allowOverlap="1" wp14:anchorId="169B5F70" wp14:editId="1CCF3130">
            <wp:simplePos x="0" y="0"/>
            <wp:positionH relativeFrom="column">
              <wp:posOffset>0</wp:posOffset>
            </wp:positionH>
            <wp:positionV relativeFrom="paragraph">
              <wp:posOffset>1155700</wp:posOffset>
            </wp:positionV>
            <wp:extent cx="3089910" cy="635"/>
            <wp:effectExtent l="0" t="0" r="0" b="0"/>
            <wp:wrapNone/>
            <wp:docPr id="6" name="Text Box 6"/>
            <wp:cNvGraphicFramePr/>
            <a:graphic xmlns:a="http://purl.oclc.org/ooxml/drawingml/main">
              <a:graphicData uri="http://schemas.microsoft.com/office/word/2010/wordprocessingShape">
                <wp:wsp>
                  <wp:cNvSpPr txBox="1"/>
                  <wp:spPr>
                    <a:xfrm>
                      <a:off x="0" y="0"/>
                      <a:ext cx="3089910" cy="635"/>
                    </a:xfrm>
                    <a:prstGeom prst="rect">
                      <a:avLst/>
                    </a:prstGeom>
                    <a:solidFill>
                      <a:prstClr val="white"/>
                    </a:solidFill>
                    <a:ln>
                      <a:noFill/>
                    </a:ln>
                  </wp:spPr>
                  <wp:txbx>
                    <wne:txbxContent>
                      <w:p w14:paraId="148C343B" w14:textId="7677F8E4" w:rsidR="009E4946" w:rsidRPr="00B77183" w:rsidRDefault="009E4946" w:rsidP="009E4946">
                        <w:pPr>
                          <w:pStyle w:val="Caption"/>
                          <w:rPr>
                            <w:noProof/>
                            <w:color w:val="000000" w:themeColor="text1"/>
                            <w:spacing w:val="-1"/>
                            <w:sz w:val="20"/>
                            <w:szCs w:val="20"/>
                            <w:lang w:val="x-none" w:eastAsia="x-none"/>
                          </w:rPr>
                        </w:pPr>
                        <w:r>
                          <w:t xml:space="preserve">Figure </w:t>
                        </w:r>
                        <w:r w:rsidR="00006F76">
                          <w:rPr>
                            <w:noProof/>
                          </w:rPr>
                          <w:fldChar w:fldCharType="begin"/>
                        </w:r>
                        <w:r w:rsidR="00006F76">
                          <w:rPr>
                            <w:noProof/>
                          </w:rPr>
                          <w:instrText xml:space="preserve"> SEQ Figure \* ARABIC </w:instrText>
                        </w:r>
                        <w:r w:rsidR="00006F76">
                          <w:rPr>
                            <w:noProof/>
                          </w:rPr>
                          <w:fldChar w:fldCharType="separate"/>
                        </w:r>
                        <w:r w:rsidR="004465CF">
                          <w:rPr>
                            <w:noProof/>
                          </w:rPr>
                          <w:t>3</w:t>
                        </w:r>
                        <w:r w:rsidR="00006F76">
                          <w:rPr>
                            <w:noProof/>
                          </w:rPr>
                          <w:fldChar w:fldCharType="end"/>
                        </w:r>
                        <w:r>
                          <w:t>- After preprocessing and filtering of sEMG signal</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p>
    <w:p w14:paraId="0BB294F4" w14:textId="61E83236" w:rsidR="009E4946" w:rsidRDefault="009E4946" w:rsidP="00391559">
      <w:pPr>
        <w:pStyle w:val="BodyText"/>
        <w:rPr>
          <w:color w:val="000000" w:themeColor="text1"/>
        </w:rPr>
      </w:pPr>
    </w:p>
    <w:p w14:paraId="6FC70B89" w14:textId="17685507" w:rsidR="009E4946" w:rsidRDefault="009E4946" w:rsidP="00391559">
      <w:pPr>
        <w:pStyle w:val="BodyText"/>
        <w:rPr>
          <w:color w:val="000000" w:themeColor="text1"/>
        </w:rPr>
      </w:pPr>
    </w:p>
    <w:p w14:paraId="59332557" w14:textId="78437709" w:rsidR="009E4946" w:rsidRDefault="009E4946" w:rsidP="00391559">
      <w:pPr>
        <w:pStyle w:val="BodyText"/>
        <w:rPr>
          <w:color w:val="000000" w:themeColor="text1"/>
        </w:rPr>
      </w:pPr>
    </w:p>
    <w:p w14:paraId="3179CD8B" w14:textId="06CF767F" w:rsidR="009E4946" w:rsidRDefault="009E4946" w:rsidP="00391559">
      <w:pPr>
        <w:pStyle w:val="BodyText"/>
        <w:rPr>
          <w:color w:val="000000" w:themeColor="text1"/>
        </w:rPr>
      </w:pPr>
    </w:p>
    <w:p w14:paraId="52ED7C90" w14:textId="5E87B224" w:rsidR="009E4946" w:rsidRDefault="009E4946" w:rsidP="00391559">
      <w:pPr>
        <w:pStyle w:val="BodyText"/>
        <w:rPr>
          <w:color w:val="000000" w:themeColor="text1"/>
        </w:rPr>
      </w:pPr>
    </w:p>
    <w:p w14:paraId="16CA0073" w14:textId="77777777" w:rsidR="00777DBB" w:rsidRPr="00430D5C" w:rsidRDefault="00777DBB" w:rsidP="00391559">
      <w:pPr>
        <w:pStyle w:val="BodyText"/>
        <w:rPr>
          <w:color w:val="000000" w:themeColor="text1"/>
        </w:rPr>
      </w:pPr>
    </w:p>
    <w:p w14:paraId="09FE18E2" w14:textId="6D190EAC" w:rsidR="00E121A0" w:rsidRPr="00430D5C" w:rsidRDefault="00E121A0" w:rsidP="00E121A0">
      <w:pPr>
        <w:pStyle w:val="Heading3"/>
        <w:jc w:val="center"/>
        <w:rPr>
          <w:color w:val="000000" w:themeColor="text1"/>
        </w:rPr>
      </w:pPr>
      <w:r w:rsidRPr="00430D5C">
        <w:rPr>
          <w:color w:val="000000" w:themeColor="text1"/>
        </w:rPr>
        <w:t>Signal Alignment and Integrity Checking</w:t>
      </w:r>
    </w:p>
    <w:p w14:paraId="0A52ADE8" w14:textId="77777777" w:rsidR="00E121A0" w:rsidRPr="00430D5C" w:rsidRDefault="00E121A0" w:rsidP="00E121A0">
      <w:pPr>
        <w:rPr>
          <w:color w:val="000000" w:themeColor="text1"/>
        </w:rPr>
      </w:pPr>
    </w:p>
    <w:p w14:paraId="1B7377DF" w14:textId="65A8C12E" w:rsidR="00E121A0" w:rsidRPr="00430D5C" w:rsidRDefault="000F1A7A" w:rsidP="00E121A0">
      <w:pPr>
        <w:jc w:val="both"/>
        <w:rPr>
          <w:color w:val="000000" w:themeColor="text1"/>
        </w:rPr>
      </w:pPr>
      <w:r w:rsidRPr="000F1A7A">
        <w:rPr>
          <w:color w:val="000000" w:themeColor="text1"/>
        </w:rPr>
        <w:t>All sEMG channels are first inspected to ensure temporal alignment and data completeness across electrodes. Segments containing missing values or corrupted samples are excluded to maintain signal consistency and reliability throughout the dataset.</w:t>
      </w:r>
    </w:p>
    <w:p w14:paraId="6BB82C5A" w14:textId="77777777" w:rsidR="00E121A0" w:rsidRPr="00430D5C" w:rsidRDefault="00E121A0" w:rsidP="00E121A0">
      <w:pPr>
        <w:jc w:val="both"/>
        <w:rPr>
          <w:color w:val="000000" w:themeColor="text1"/>
        </w:rPr>
      </w:pPr>
    </w:p>
    <w:p w14:paraId="0AD4234B" w14:textId="77DACA8E" w:rsidR="00E121A0" w:rsidRPr="00430D5C" w:rsidRDefault="00E121A0" w:rsidP="00E121A0">
      <w:pPr>
        <w:pStyle w:val="Heading3"/>
        <w:jc w:val="center"/>
        <w:rPr>
          <w:color w:val="000000" w:themeColor="text1"/>
        </w:rPr>
      </w:pPr>
      <w:r w:rsidRPr="00430D5C">
        <w:rPr>
          <w:color w:val="000000" w:themeColor="text1"/>
        </w:rPr>
        <w:t>Band-Pass Filtering</w:t>
      </w:r>
    </w:p>
    <w:p w14:paraId="0676E6FF" w14:textId="496CB666" w:rsidR="00E121A0" w:rsidRPr="00430D5C" w:rsidRDefault="00E121A0" w:rsidP="00777DBB">
      <w:pPr>
        <w:jc w:val="both"/>
        <w:rPr>
          <w:color w:val="000000" w:themeColor="text1"/>
        </w:rPr>
      </w:pPr>
      <w:r w:rsidRPr="00430D5C">
        <w:rPr>
          <w:color w:val="000000" w:themeColor="text1"/>
        </w:rPr>
        <w:t>To suppress noise and retain physiologically meaningful frequency components, a fourth-order Butterworth band-pass filter is applied to the EMG signals. The cutoff frequencies are selected between 20 Hz and 450 Hz, which is a commonly accepted range for sEMG analysis. This filtering step effectively removes low-frequency motion artifacts and high-frequency electrical noise, ensuring that the retained signal components primarily reflect muscle activation dynamics. Zero-phase filtering is employed to avoid phase distortion and preserve temporal characteristics of the EMG waveforms.</w:t>
      </w:r>
    </w:p>
    <w:p w14:paraId="003864ED" w14:textId="77777777" w:rsidR="00E121A0" w:rsidRPr="00430D5C" w:rsidRDefault="00E121A0" w:rsidP="00E121A0">
      <w:pPr>
        <w:jc w:val="start"/>
        <w:rPr>
          <w:color w:val="000000" w:themeColor="text1"/>
        </w:rPr>
      </w:pPr>
    </w:p>
    <w:p w14:paraId="1C7350B0" w14:textId="44773E7B" w:rsidR="00E121A0" w:rsidRDefault="00430D5C" w:rsidP="00430D5C">
      <w:pPr>
        <w:pStyle w:val="Heading3"/>
        <w:jc w:val="center"/>
      </w:pPr>
      <w:r>
        <w:t>Windowing and Segmentation</w:t>
      </w:r>
    </w:p>
    <w:p w14:paraId="2DA4CEAD" w14:textId="3EA259BC" w:rsidR="00430D5C" w:rsidRDefault="00430D5C" w:rsidP="00430D5C">
      <w:pPr>
        <w:jc w:val="both"/>
      </w:pPr>
      <w:r>
        <w:t xml:space="preserve">After filtering, the continuous EMG signals are segmented into overlapping temporal windows using a sliding window approach. Each window represents a short-term muscle activation pattern and is treated as an individual training sample. A fixed window length of several hundred milliseconds is chosen to capture sufficient temporal context, while a smaller stride ensures overlap between consecutive windows to increase sample diversity. To </w:t>
      </w:r>
      <w:r w:rsidR="000F1A7A">
        <w:t>prevent</w:t>
      </w:r>
      <w:r>
        <w:t xml:space="preserve"> gesture transitions within a window, only windows </w:t>
      </w:r>
      <w:r w:rsidR="000F1A7A">
        <w:t>corresponding</w:t>
      </w:r>
      <w:r>
        <w:t xml:space="preserve"> to a single repetition </w:t>
      </w:r>
      <w:r w:rsidR="000F1A7A" w:rsidRPr="000F1A7A">
        <w:t>and a dominant gesture label are retained, thereby reducing label ambiguity and improving classification reliability</w:t>
      </w:r>
      <w:r>
        <w:t>.</w:t>
      </w:r>
    </w:p>
    <w:p w14:paraId="544081F5" w14:textId="49C676E9" w:rsidR="00777DBB" w:rsidRDefault="00777DBB" w:rsidP="00430D5C">
      <w:pPr>
        <w:jc w:val="both"/>
      </w:pPr>
    </w:p>
    <w:p w14:paraId="5DCC997E" w14:textId="1892BCE5" w:rsidR="00777DBB" w:rsidRDefault="00777DBB" w:rsidP="00430D5C">
      <w:pPr>
        <w:jc w:val="both"/>
      </w:pPr>
      <w:r>
        <w:rPr>
          <w:noProof/>
          <w:color w:val="000000" w:themeColor="text1"/>
        </w:rPr>
        <w:drawing>
          <wp:anchor distT="0" distB="0" distL="114300" distR="114300" simplePos="0" relativeHeight="251700736" behindDoc="0" locked="0" layoutInCell="1" allowOverlap="1" wp14:anchorId="761E6902" wp14:editId="4E459591">
            <wp:simplePos x="0" y="0"/>
            <wp:positionH relativeFrom="margin">
              <wp:align>right</wp:align>
            </wp:positionH>
            <wp:positionV relativeFrom="paragraph">
              <wp:posOffset>54610</wp:posOffset>
            </wp:positionV>
            <wp:extent cx="3089910" cy="1602740"/>
            <wp:effectExtent l="0" t="0" r="0" b="0"/>
            <wp:wrapNone/>
            <wp:docPr id="14" name="Group 14"/>
            <wp:cNvGraphicFramePr/>
            <a:graphic xmlns:a="http://purl.oclc.org/ooxml/drawingml/main">
              <a:graphicData uri="http://schemas.microsoft.com/office/word/2010/wordprocessingGroup">
                <wp:wgp>
                  <wp:cNvGrpSpPr>
                    <a:extLst>
                      <a:ext uri="{F59B8463-F414-42e2-B3A4-FFEF48DC7170}">
                        <a15:nonVisualGroupProps xmlns:a15="http://schemas.microsoft.com/office/drawing/2012/main" isLegacyGroup="0"/>
                      </a:ext>
                    </a:extLst>
                  </wp:cNvGrpSpPr>
                  <wp:grpSpPr>
                    <a:xfrm>
                      <a:off x="0" y="0"/>
                      <a:ext cx="3089910" cy="1602740"/>
                      <a:chOff x="0" y="0"/>
                      <a:chExt cx="3089910" cy="1602740"/>
                    </a:xfrm>
                  </wp:grpSpPr>
                  <pic:pic xmlns:pic="http://purl.oclc.org/ooxml/drawingml/picture">
                    <pic:nvPicPr>
                      <pic:cNvPr id="7"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287780"/>
                      </a:xfrm>
                      <a:prstGeom prst="rect">
                        <a:avLst/>
                      </a:prstGeom>
                    </pic:spPr>
                  </pic:pic>
                  <wp:wsp>
                    <wp:cNvPr id="8" name="Text Box 8"/>
                    <wp:cNvSpPr txBox="1"/>
                    <wp:spPr>
                      <a:xfrm>
                        <a:off x="0" y="1344295"/>
                        <a:ext cx="3089910" cy="258445"/>
                      </a:xfrm>
                      <a:prstGeom prst="rect">
                        <a:avLst/>
                      </a:prstGeom>
                      <a:solidFill>
                        <a:prstClr val="white"/>
                      </a:solidFill>
                      <a:ln>
                        <a:noFill/>
                      </a:ln>
                    </wp:spPr>
                    <wp:txbx>
                      <wne:txbxContent>
                        <w:p w14:paraId="1D4E9817" w14:textId="7669F720" w:rsidR="009E4946" w:rsidRPr="00E950DB" w:rsidRDefault="009E4946" w:rsidP="009E4946">
                          <w:pPr>
                            <w:pStyle w:val="Caption"/>
                            <w:rPr>
                              <w:noProof/>
                              <w:color w:val="000000" w:themeColor="text1"/>
                              <w:spacing w:val="-1"/>
                              <w:sz w:val="20"/>
                              <w:szCs w:val="20"/>
                              <w:lang w:val="x-none" w:eastAsia="x-none"/>
                            </w:rPr>
                          </w:pPr>
                          <w:r>
                            <w:t xml:space="preserve">Figure </w:t>
                          </w:r>
                          <w:r w:rsidR="00006F76">
                            <w:rPr>
                              <w:noProof/>
                            </w:rPr>
                            <w:fldChar w:fldCharType="begin"/>
                          </w:r>
                          <w:r w:rsidR="00006F76">
                            <w:rPr>
                              <w:noProof/>
                            </w:rPr>
                            <w:instrText xml:space="preserve"> SEQ Figure \* ARABIC </w:instrText>
                          </w:r>
                          <w:r w:rsidR="00006F76">
                            <w:rPr>
                              <w:noProof/>
                            </w:rPr>
                            <w:fldChar w:fldCharType="separate"/>
                          </w:r>
                          <w:r w:rsidR="004465CF">
                            <w:rPr>
                              <w:noProof/>
                            </w:rPr>
                            <w:t>4</w:t>
                          </w:r>
                          <w:r w:rsidR="00006F76">
                            <w:rPr>
                              <w:noProof/>
                            </w:rPr>
                            <w:fldChar w:fldCharType="end"/>
                          </w:r>
                          <w:r>
                            <w:t>-classification of windows and</w:t>
                          </w:r>
                          <w:r>
                            <w:rPr>
                              <w:noProof/>
                            </w:rPr>
                            <w:t xml:space="preserve"> framing the features</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wp:wgp>
              </a:graphicData>
            </a:graphic>
          </wp:anchor>
        </w:drawing>
      </w:r>
    </w:p>
    <w:p w14:paraId="04F8095C" w14:textId="3A8BAFB1" w:rsidR="00777DBB" w:rsidRDefault="00777DBB" w:rsidP="00430D5C">
      <w:pPr>
        <w:jc w:val="both"/>
      </w:pPr>
    </w:p>
    <w:p w14:paraId="1BDFE5A8" w14:textId="741C4A31" w:rsidR="00777DBB" w:rsidRDefault="00777DBB" w:rsidP="00430D5C">
      <w:pPr>
        <w:jc w:val="both"/>
      </w:pPr>
    </w:p>
    <w:p w14:paraId="218593D3" w14:textId="1C84B6E2" w:rsidR="00777DBB" w:rsidRDefault="00777DBB" w:rsidP="00430D5C">
      <w:pPr>
        <w:jc w:val="both"/>
      </w:pPr>
    </w:p>
    <w:p w14:paraId="2A68BC8B" w14:textId="0F15DC11" w:rsidR="00777DBB" w:rsidRDefault="00777DBB" w:rsidP="00430D5C">
      <w:pPr>
        <w:jc w:val="both"/>
      </w:pPr>
    </w:p>
    <w:p w14:paraId="54A83B29" w14:textId="54F27C92" w:rsidR="00777DBB" w:rsidRDefault="00777DBB" w:rsidP="00430D5C">
      <w:pPr>
        <w:jc w:val="both"/>
      </w:pPr>
    </w:p>
    <w:p w14:paraId="75A1BD5C" w14:textId="58EA67D5" w:rsidR="00777DBB" w:rsidRDefault="00777DBB" w:rsidP="00430D5C">
      <w:pPr>
        <w:jc w:val="both"/>
      </w:pPr>
    </w:p>
    <w:p w14:paraId="339E487F" w14:textId="5A4FFC1D" w:rsidR="00777DBB" w:rsidRDefault="00777DBB" w:rsidP="00430D5C">
      <w:pPr>
        <w:jc w:val="both"/>
      </w:pPr>
    </w:p>
    <w:p w14:paraId="4987C56B" w14:textId="78AD6E63" w:rsidR="00777DBB" w:rsidRDefault="00777DBB" w:rsidP="00430D5C">
      <w:pPr>
        <w:jc w:val="both"/>
      </w:pPr>
    </w:p>
    <w:p w14:paraId="3070C7F9" w14:textId="71B4669B" w:rsidR="00777DBB" w:rsidRDefault="00777DBB" w:rsidP="00430D5C">
      <w:pPr>
        <w:jc w:val="both"/>
      </w:pPr>
    </w:p>
    <w:p w14:paraId="30D14FA1" w14:textId="68E8AF20" w:rsidR="00777DBB" w:rsidRDefault="00777DBB" w:rsidP="00430D5C">
      <w:pPr>
        <w:jc w:val="both"/>
      </w:pPr>
    </w:p>
    <w:p w14:paraId="7F59213A" w14:textId="77777777" w:rsidR="00430D5C" w:rsidRDefault="00430D5C" w:rsidP="00430D5C">
      <w:pPr>
        <w:jc w:val="both"/>
      </w:pPr>
    </w:p>
    <w:p w14:paraId="4F939710" w14:textId="1156F92D" w:rsidR="009303D9" w:rsidRDefault="00430D5C" w:rsidP="00430D5C">
      <w:pPr>
        <w:pStyle w:val="Heading3"/>
        <w:jc w:val="center"/>
      </w:pPr>
      <w:r>
        <w:t>Rest Class Removal and Gesture Purity Control</w:t>
      </w:r>
    </w:p>
    <w:p w14:paraId="50A1DC2F" w14:textId="77777777" w:rsidR="00C8250F" w:rsidRPr="00C8250F" w:rsidRDefault="00C8250F" w:rsidP="00C8250F"/>
    <w:p w14:paraId="27001470" w14:textId="71C71803" w:rsidR="00C8250F" w:rsidRDefault="00C8250F" w:rsidP="00C8250F">
      <w:pPr>
        <w:jc w:val="both"/>
      </w:pPr>
      <w:r>
        <w:t xml:space="preserve">The rest gesture (label 0) is excluded from the dataset to focus the learning process on active hand gestures only. </w:t>
      </w:r>
      <w:r>
        <w:t>Additionally, gesture purity constraints are enforced, whereby a window is accepted only if a high percentage of its samples correspond to the same gesture class. This prevents mixed-gesture windows from entering the training set and ensures that each sample represents a clearly defined motor activity. Such filtering is especially important in sEMG-based systems, where transition regions between gestures can introduce significant noise.</w:t>
      </w:r>
    </w:p>
    <w:p w14:paraId="7DF12405" w14:textId="26FFDA9D" w:rsidR="001E2A6E" w:rsidRDefault="001E2A6E" w:rsidP="00C8250F">
      <w:pPr>
        <w:jc w:val="both"/>
      </w:pPr>
    </w:p>
    <w:p w14:paraId="4F71536A" w14:textId="1FDC2A86" w:rsidR="00942DBF" w:rsidRDefault="00942DBF" w:rsidP="00942DBF">
      <w:pPr>
        <w:pStyle w:val="Heading3"/>
      </w:pPr>
      <w:r>
        <w:t>Feature Normalization</w:t>
      </w:r>
    </w:p>
    <w:p w14:paraId="5C58097B" w14:textId="0FD3738B" w:rsidR="00942DBF" w:rsidRDefault="00942DBF" w:rsidP="00942DBF">
      <w:pPr>
        <w:jc w:val="both"/>
      </w:pPr>
      <w:r>
        <w:t>To address inter-subject variability and amplitude differences across EMG channels, normalization is applied to the segmented windows. Robust normalization is employed using statistics computed exclusively from the training data to avoid information leakage. Each EMG channel is scaled independently, ensuring that all features contribute equally to the learning process. This step stabilizes gradient updates during training and improves convergence behavior for deep learning models.</w:t>
      </w:r>
    </w:p>
    <w:p w14:paraId="3E04429C" w14:textId="77777777" w:rsidR="00942DBF" w:rsidRDefault="00942DBF" w:rsidP="00942DBF">
      <w:pPr>
        <w:jc w:val="both"/>
      </w:pPr>
    </w:p>
    <w:p w14:paraId="4616932C" w14:textId="447C2D78" w:rsidR="00942DBF" w:rsidRDefault="00942DBF" w:rsidP="00942DBF">
      <w:pPr>
        <w:pStyle w:val="Heading3"/>
      </w:pPr>
      <w:r>
        <w:t>Feature Level Augmentation</w:t>
      </w:r>
    </w:p>
    <w:p w14:paraId="6AE9236B" w14:textId="676A6E4F" w:rsidR="00942DBF" w:rsidRDefault="00942DBF" w:rsidP="00942DBF">
      <w:pPr>
        <w:jc w:val="both"/>
      </w:pPr>
      <w:r>
        <w:t>To enhance generalization and mitigate overfitting, controlled feature-level data augmentation is applied during training. Small amounts of Gaussian noise are added to the feature sequences, simulating natural variations in muscle activation patterns. Unlike aggressive signal-level augmentation, this lightweight perturbation preserves the semantic meaning of gestures while increasing robustness to unseen conditions.</w:t>
      </w:r>
    </w:p>
    <w:p w14:paraId="718A6645" w14:textId="081A08BD" w:rsidR="00942DBF" w:rsidRPr="00942DBF" w:rsidRDefault="00942DBF" w:rsidP="00942DBF">
      <w:pPr>
        <w:jc w:val="both"/>
      </w:pPr>
    </w:p>
    <w:p w14:paraId="38472AEA" w14:textId="1A0B0675" w:rsidR="00D20BA7" w:rsidRDefault="00942DBF" w:rsidP="00942DBF">
      <w:pPr>
        <w:jc w:val="both"/>
      </w:pPr>
      <w:r>
        <w:t>Following preprocessing, the dataset is divided into training, validation, and test subsets based on repetition indices to ensure subject-specific and repetition-independent evaluation.</w:t>
      </w:r>
    </w:p>
    <w:p w14:paraId="03AEE2B5" w14:textId="42DAE0FD" w:rsidR="00CA7AD1" w:rsidRDefault="00CA7AD1" w:rsidP="002D6C9A">
      <w:pPr>
        <w:pStyle w:val="Heading2"/>
        <w:numPr>
          <w:ilvl w:val="1"/>
          <w:numId w:val="25"/>
        </w:numPr>
        <w:ind w:start="85.50pt" w:end="-11.70pt"/>
      </w:pPr>
      <w:r>
        <w:t>Deep Learning Model</w:t>
      </w:r>
    </w:p>
    <w:p w14:paraId="785461C7" w14:textId="281F1C04" w:rsidR="00EA7D35" w:rsidRDefault="00EA7D35" w:rsidP="00EA7D35"/>
    <w:p w14:paraId="78167FB5" w14:textId="5A9A30D5" w:rsidR="00EA7D35" w:rsidRDefault="00EA7D35" w:rsidP="00EA7D35">
      <w:pPr>
        <w:pStyle w:val="Heading3"/>
        <w:jc w:val="center"/>
      </w:pPr>
      <w:r>
        <w:t>Overview of Proposed Architecture</w:t>
      </w:r>
    </w:p>
    <w:p w14:paraId="626AA293" w14:textId="3B7BB6BD" w:rsidR="0077640D" w:rsidRPr="0077640D" w:rsidRDefault="0077640D" w:rsidP="0077640D"/>
    <w:p w14:paraId="6BB874A2" w14:textId="797D3391" w:rsidR="00E63411" w:rsidRDefault="00E2469A" w:rsidP="0077640D">
      <w:pPr>
        <w:pStyle w:val="bulletlist"/>
        <w:numPr>
          <w:ilvl w:val="0"/>
          <w:numId w:val="0"/>
        </w:numPr>
        <w:ind w:start="14.40pt"/>
      </w:pPr>
      <w:r>
        <w:rPr>
          <w:noProof/>
        </w:rPr>
        <w:drawing>
          <wp:anchor distT="0" distB="0" distL="114300" distR="114300" simplePos="0" relativeHeight="251701760" behindDoc="0" locked="0" layoutInCell="1" allowOverlap="1" wp14:anchorId="2014483D" wp14:editId="03AF76C3">
            <wp:simplePos x="0" y="0"/>
            <wp:positionH relativeFrom="column">
              <wp:align>right</wp:align>
            </wp:positionH>
            <wp:positionV relativeFrom="paragraph">
              <wp:posOffset>1403985</wp:posOffset>
            </wp:positionV>
            <wp:extent cx="2926625" cy="1235710"/>
            <wp:effectExtent l="0" t="0" r="7620" b="2540"/>
            <wp:wrapNone/>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fig4_attention_weight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6625" cy="1235710"/>
                    </a:xfrm>
                    <a:prstGeom prst="rect">
                      <a:avLst/>
                    </a:prstGeom>
                  </pic:spPr>
                </pic:pic>
              </a:graphicData>
            </a:graphic>
            <wp14:sizeRelH relativeFrom="margin">
              <wp14:pctWidth>0%</wp14:pctWidth>
            </wp14:sizeRelH>
          </wp:anchor>
        </w:drawing>
      </w:r>
      <w:r w:rsidRPr="00E2469A">
        <w:t>An attention-enhanced Bidirectional Long Short-Term Memory (Attn-BiLSTM) network is employed to model the temporal dynamics of surface electromyography (sEMG) signals for hand gesture recognition. Due to the non-stationary and sequential nature of sEMG signals, discriminative information is distributed unevenly over time. Traditional machine learning methods are limited in modeling such temporal dependencies, which motivates the adoption of recurrent neural network–based architectures.</w:t>
      </w:r>
    </w:p>
    <w:p w14:paraId="4CA8E56D" w14:textId="1C6F6B89" w:rsidR="00E63411" w:rsidRDefault="00E63411" w:rsidP="0077640D">
      <w:pPr>
        <w:pStyle w:val="bulletlist"/>
        <w:numPr>
          <w:ilvl w:val="0"/>
          <w:numId w:val="0"/>
        </w:numPr>
        <w:ind w:start="14.40pt"/>
      </w:pPr>
    </w:p>
    <w:p w14:paraId="08F67C7D" w14:textId="7312818D" w:rsidR="00E63411" w:rsidRDefault="00E63411" w:rsidP="0077640D">
      <w:pPr>
        <w:pStyle w:val="bulletlist"/>
        <w:numPr>
          <w:ilvl w:val="0"/>
          <w:numId w:val="0"/>
        </w:numPr>
        <w:ind w:start="14.40pt"/>
      </w:pPr>
    </w:p>
    <w:p w14:paraId="2800FCA1" w14:textId="12F128AA" w:rsidR="00E63411" w:rsidRDefault="00E63411" w:rsidP="0077640D">
      <w:pPr>
        <w:pStyle w:val="bulletlist"/>
        <w:numPr>
          <w:ilvl w:val="0"/>
          <w:numId w:val="0"/>
        </w:numPr>
        <w:ind w:start="14.40pt"/>
      </w:pPr>
    </w:p>
    <w:p w14:paraId="182EBBF4" w14:textId="43B7CB62" w:rsidR="00E63411" w:rsidRDefault="00E63411" w:rsidP="0077640D">
      <w:pPr>
        <w:pStyle w:val="bulletlist"/>
        <w:numPr>
          <w:ilvl w:val="0"/>
          <w:numId w:val="0"/>
        </w:numPr>
        <w:ind w:start="14.40pt"/>
      </w:pPr>
    </w:p>
    <w:p w14:paraId="4FDA0008" w14:textId="41378007" w:rsidR="00E63411" w:rsidRDefault="00E63411" w:rsidP="0077640D">
      <w:pPr>
        <w:pStyle w:val="bulletlist"/>
        <w:numPr>
          <w:ilvl w:val="0"/>
          <w:numId w:val="0"/>
        </w:numPr>
        <w:ind w:start="14.40pt"/>
      </w:pPr>
    </w:p>
    <w:p w14:paraId="2BB9B017" w14:textId="2558B1FE" w:rsidR="00E63411" w:rsidRDefault="00E63411" w:rsidP="0077640D">
      <w:pPr>
        <w:pStyle w:val="bulletlist"/>
        <w:numPr>
          <w:ilvl w:val="0"/>
          <w:numId w:val="0"/>
        </w:numPr>
        <w:ind w:start="14.40pt"/>
      </w:pPr>
    </w:p>
    <w:p w14:paraId="169BA07F" w14:textId="2E949986" w:rsidR="00E63411" w:rsidRDefault="00E2469A" w:rsidP="0077640D">
      <w:pPr>
        <w:pStyle w:val="bulletlist"/>
        <w:numPr>
          <w:ilvl w:val="0"/>
          <w:numId w:val="0"/>
        </w:numPr>
        <w:ind w:start="14.40pt"/>
      </w:pPr>
      <w:r>
        <w:rPr>
          <w:noProof/>
        </w:rPr>
        <w:drawing>
          <wp:anchor distT="0" distB="0" distL="114300" distR="114300" simplePos="0" relativeHeight="251703808" behindDoc="0" locked="0" layoutInCell="1" allowOverlap="1" wp14:anchorId="138795D9" wp14:editId="46BDF28A">
            <wp:simplePos x="0" y="0"/>
            <wp:positionH relativeFrom="column">
              <wp:posOffset>319405</wp:posOffset>
            </wp:positionH>
            <wp:positionV relativeFrom="paragraph">
              <wp:posOffset>9525</wp:posOffset>
            </wp:positionV>
            <wp:extent cx="2790825" cy="247650"/>
            <wp:effectExtent l="0" t="0" r="9525" b="0"/>
            <wp:wrapNone/>
            <wp:docPr id="10" name="Text Box 10"/>
            <wp:cNvGraphicFramePr/>
            <a:graphic xmlns:a="http://purl.oclc.org/ooxml/drawingml/main">
              <a:graphicData uri="http://schemas.microsoft.com/office/word/2010/wordprocessingShape">
                <wp:wsp>
                  <wp:cNvSpPr txBox="1"/>
                  <wp:spPr>
                    <a:xfrm>
                      <a:off x="0" y="0"/>
                      <a:ext cx="2790825" cy="247650"/>
                    </a:xfrm>
                    <a:prstGeom prst="rect">
                      <a:avLst/>
                    </a:prstGeom>
                    <a:solidFill>
                      <a:prstClr val="white"/>
                    </a:solidFill>
                    <a:ln>
                      <a:noFill/>
                    </a:ln>
                  </wp:spPr>
                  <wp:txbx>
                    <wne:txbxContent>
                      <w:p w14:paraId="4B21238D" w14:textId="2A415DDD" w:rsidR="00E63411" w:rsidRPr="004D101B" w:rsidRDefault="00E63411" w:rsidP="00E63411">
                        <w:pPr>
                          <w:pStyle w:val="Caption"/>
                          <w:rPr>
                            <w:noProof/>
                            <w:spacing w:val="-1"/>
                            <w:sz w:val="20"/>
                            <w:szCs w:val="20"/>
                            <w:lang w:val="x-none" w:eastAsia="x-none"/>
                          </w:rPr>
                        </w:pPr>
                        <w:r>
                          <w:t xml:space="preserve">Figure </w:t>
                        </w:r>
                        <w:r w:rsidR="00006F76">
                          <w:rPr>
                            <w:noProof/>
                          </w:rPr>
                          <w:fldChar w:fldCharType="begin"/>
                        </w:r>
                        <w:r w:rsidR="00006F76">
                          <w:rPr>
                            <w:noProof/>
                          </w:rPr>
                          <w:instrText xml:space="preserve"> SEQ Figure \* ARABIC </w:instrText>
                        </w:r>
                        <w:r w:rsidR="00006F76">
                          <w:rPr>
                            <w:noProof/>
                          </w:rPr>
                          <w:fldChar w:fldCharType="separate"/>
                        </w:r>
                        <w:r w:rsidR="004465CF">
                          <w:rPr>
                            <w:noProof/>
                          </w:rPr>
                          <w:t>5</w:t>
                        </w:r>
                        <w:r w:rsidR="00006F76">
                          <w:rPr>
                            <w:noProof/>
                          </w:rPr>
                          <w:fldChar w:fldCharType="end"/>
                        </w:r>
                        <w:r>
                          <w:t>-visualization of attention weight distribution on various time stamps</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4A0A49DA" w14:textId="6B29EB6B" w:rsidR="0077640D" w:rsidRPr="0077640D" w:rsidRDefault="0077640D" w:rsidP="0077640D">
      <w:pPr>
        <w:pStyle w:val="NormalWeb"/>
        <w:ind w:start="14.40pt"/>
        <w:jc w:val="both"/>
        <w:rPr>
          <w:b/>
          <w:bCs/>
          <w:sz w:val="20"/>
          <w:szCs w:val="20"/>
        </w:rPr>
      </w:pPr>
      <w:r>
        <w:rPr>
          <w:sz w:val="20"/>
          <w:szCs w:val="20"/>
        </w:rPr>
        <w:t xml:space="preserve">      </w:t>
      </w:r>
      <w:r w:rsidRPr="0077640D">
        <w:rPr>
          <w:sz w:val="20"/>
          <w:szCs w:val="20"/>
        </w:rPr>
        <w:t xml:space="preserve">The proposed architecture consists of </w:t>
      </w:r>
      <w:r w:rsidRPr="0077640D">
        <w:rPr>
          <w:rStyle w:val="Strong"/>
          <w:sz w:val="20"/>
          <w:szCs w:val="20"/>
        </w:rPr>
        <w:t>three mains</w:t>
      </w:r>
      <w:r>
        <w:rPr>
          <w:rStyle w:val="Strong"/>
          <w:sz w:val="20"/>
          <w:szCs w:val="20"/>
        </w:rPr>
        <w:t xml:space="preserve"> </w:t>
      </w:r>
      <w:r w:rsidRPr="0077640D">
        <w:rPr>
          <w:rStyle w:val="Strong"/>
          <w:sz w:val="20"/>
          <w:szCs w:val="20"/>
        </w:rPr>
        <w:t>components</w:t>
      </w:r>
      <w:r w:rsidRPr="0077640D">
        <w:rPr>
          <w:sz w:val="20"/>
          <w:szCs w:val="20"/>
        </w:rPr>
        <w:t>:</w:t>
      </w:r>
    </w:p>
    <w:p w14:paraId="07BFFA14" w14:textId="118A40AC" w:rsidR="0077640D" w:rsidRPr="0077640D" w:rsidRDefault="0077640D" w:rsidP="0077640D">
      <w:pPr>
        <w:pStyle w:val="NormalWeb"/>
        <w:numPr>
          <w:ilvl w:val="0"/>
          <w:numId w:val="26"/>
        </w:numPr>
        <w:jc w:val="both"/>
        <w:rPr>
          <w:sz w:val="20"/>
          <w:szCs w:val="20"/>
        </w:rPr>
      </w:pPr>
      <w:r w:rsidRPr="0077640D">
        <w:rPr>
          <w:sz w:val="20"/>
          <w:szCs w:val="20"/>
        </w:rPr>
        <w:lastRenderedPageBreak/>
        <w:t>input feature sequence representation,</w:t>
      </w:r>
    </w:p>
    <w:p w14:paraId="6AE9887C" w14:textId="77777777" w:rsidR="0077640D" w:rsidRPr="0077640D" w:rsidRDefault="0077640D" w:rsidP="0077640D">
      <w:pPr>
        <w:pStyle w:val="NormalWeb"/>
        <w:numPr>
          <w:ilvl w:val="0"/>
          <w:numId w:val="26"/>
        </w:numPr>
        <w:jc w:val="both"/>
        <w:rPr>
          <w:sz w:val="20"/>
          <w:szCs w:val="20"/>
        </w:rPr>
      </w:pPr>
      <w:r w:rsidRPr="0077640D">
        <w:rPr>
          <w:sz w:val="20"/>
          <w:szCs w:val="20"/>
        </w:rPr>
        <w:t>a Bidirectional LSTM network for temporal modeling, and</w:t>
      </w:r>
    </w:p>
    <w:p w14:paraId="491EAF66" w14:textId="5ED8DA8A" w:rsidR="00E121A0" w:rsidRPr="00E63411" w:rsidRDefault="0077640D" w:rsidP="00E63411">
      <w:pPr>
        <w:pStyle w:val="NormalWeb"/>
        <w:numPr>
          <w:ilvl w:val="0"/>
          <w:numId w:val="26"/>
        </w:numPr>
        <w:jc w:val="both"/>
        <w:rPr>
          <w:sz w:val="20"/>
          <w:szCs w:val="20"/>
        </w:rPr>
      </w:pPr>
      <w:r w:rsidRPr="0077640D">
        <w:rPr>
          <w:sz w:val="20"/>
          <w:szCs w:val="20"/>
        </w:rPr>
        <w:t>an attention mechanism to emphasize informative time steps before final classification.</w:t>
      </w:r>
    </w:p>
    <w:p w14:paraId="45CBC0B0" w14:textId="1CFB48D8" w:rsidR="00E121A0" w:rsidRDefault="00E121A0" w:rsidP="00E121A0">
      <w:pPr>
        <w:pStyle w:val="bulletlist"/>
        <w:numPr>
          <w:ilvl w:val="0"/>
          <w:numId w:val="0"/>
        </w:numPr>
        <w:ind w:start="9pt"/>
        <w:rPr>
          <w:color w:val="000000" w:themeColor="text1"/>
        </w:rPr>
      </w:pPr>
    </w:p>
    <w:p w14:paraId="48316560" w14:textId="7CFF7E77" w:rsidR="0077640D" w:rsidRDefault="0077640D" w:rsidP="00060214">
      <w:pPr>
        <w:pStyle w:val="Heading3"/>
        <w:jc w:val="center"/>
      </w:pPr>
      <w:r>
        <w:t xml:space="preserve">Long Short-Term Memory </w:t>
      </w:r>
      <w:r w:rsidR="00060214">
        <w:t>(LSTM)</w:t>
      </w:r>
    </w:p>
    <w:p w14:paraId="5678C0FF" w14:textId="34BDC7D6" w:rsidR="00060214" w:rsidRPr="00060214" w:rsidRDefault="00060214" w:rsidP="00060214">
      <w:pPr>
        <w:pStyle w:val="NormalWeb"/>
        <w:jc w:val="both"/>
        <w:rPr>
          <w:sz w:val="20"/>
          <w:szCs w:val="20"/>
        </w:rPr>
      </w:pPr>
      <w:r w:rsidRPr="00060214">
        <w:rPr>
          <w:sz w:val="20"/>
          <w:szCs w:val="20"/>
        </w:rPr>
        <w:t xml:space="preserve">The Long Short-Term Memory (LSTM) network is a specialized RNN designed to overcome the </w:t>
      </w:r>
      <w:r w:rsidRPr="00060214">
        <w:rPr>
          <w:rStyle w:val="Strong"/>
          <w:sz w:val="20"/>
          <w:szCs w:val="20"/>
        </w:rPr>
        <w:t>vanishing gradient problem</w:t>
      </w:r>
      <w:r w:rsidRPr="00060214">
        <w:rPr>
          <w:sz w:val="20"/>
          <w:szCs w:val="20"/>
        </w:rPr>
        <w:t xml:space="preserve"> encountered in standard RNNs by introducing gated memory units. Each LSTM cell maintains a memory state that selectively retains or forgets information over time.</w:t>
      </w:r>
    </w:p>
    <w:p w14:paraId="7190EB39" w14:textId="5EE301A3" w:rsidR="00060214" w:rsidRDefault="00060214" w:rsidP="00060214">
      <w:pPr>
        <w:pStyle w:val="NormalWeb"/>
        <w:jc w:val="both"/>
        <w:rPr>
          <w:sz w:val="20"/>
          <w:szCs w:val="20"/>
        </w:rPr>
      </w:pPr>
      <w:r w:rsidRPr="00060214">
        <w:rPr>
          <w:sz w:val="20"/>
          <w:szCs w:val="20"/>
        </w:rPr>
        <w:t xml:space="preserve">At time step </w:t>
      </w:r>
      <w:r w:rsidRPr="00060214">
        <w:rPr>
          <w:rStyle w:val="mord"/>
          <w:sz w:val="20"/>
          <w:szCs w:val="20"/>
        </w:rPr>
        <w:t>t</w:t>
      </w:r>
      <w:r w:rsidRPr="00060214">
        <w:rPr>
          <w:sz w:val="20"/>
          <w:szCs w:val="20"/>
        </w:rPr>
        <w:t xml:space="preserve">, given an input vector </w:t>
      </w:r>
      <w:r>
        <w:rPr>
          <w:rStyle w:val="katex-mathml"/>
          <w:sz w:val="20"/>
          <w:szCs w:val="20"/>
        </w:rPr>
        <w:t>x</w:t>
      </w:r>
      <w:r w:rsidRPr="00060214">
        <w:rPr>
          <w:rStyle w:val="vlist-s"/>
          <w:sz w:val="20"/>
          <w:szCs w:val="20"/>
        </w:rPr>
        <w:t>​</w:t>
      </w:r>
      <w:r w:rsidRPr="00060214">
        <w:rPr>
          <w:sz w:val="20"/>
          <w:szCs w:val="20"/>
        </w:rPr>
        <w:t>, the LSTM computes the following gates:</w:t>
      </w:r>
    </w:p>
    <w:p w14:paraId="3B6D7ACF" w14:textId="7D58F2BC" w:rsidR="00DC7986" w:rsidRPr="00DC7986" w:rsidRDefault="00A43E9E" w:rsidP="00DC7986">
      <w:pPr>
        <w:pStyle w:val="NormalWeb"/>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t</m:t>
              </m:r>
            </m:sub>
          </m:sSub>
          <m:r>
            <w:rPr>
              <w:rFonts w:ascii="Cambria Math" w:hAnsi="Cambria Math"/>
              <w:sz w:val="20"/>
              <w:szCs w:val="20"/>
            </w:rPr>
            <m:t>= σ</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f</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f</m:t>
                  </m:r>
                </m:sub>
              </m:sSub>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f</m:t>
                  </m:r>
                </m:sub>
              </m:sSub>
            </m:e>
          </m:d>
          <m:r>
            <m:rPr>
              <m:sty m:val="p"/>
            </m:rPr>
            <w:rPr>
              <w:rFonts w:ascii="Cambria Math" w:hAnsi="Cambria Math"/>
              <w:sz w:val="20"/>
              <w:szCs w:val="20"/>
            </w:rPr>
            <w:br/>
          </m:r>
        </m:oMath>
        <m:oMath>
          <m:sSub>
            <m:sSubPr>
              <m:ctrlPr>
                <w:rPr>
                  <w:rFonts w:ascii="Cambria Math" w:hAnsi="Cambria Math"/>
                  <w:sz w:val="20"/>
                  <w:szCs w:val="20"/>
                </w:rPr>
              </m:ctrlPr>
            </m:sSubPr>
            <m:e>
              <m:r>
                <w:rPr>
                  <w:rFonts w:ascii="Cambria Math"/>
                  <w:sz w:val="20"/>
                  <w:szCs w:val="20"/>
                </w:rPr>
                <m:t>i</m:t>
              </m:r>
            </m:e>
            <m:sub>
              <m:r>
                <w:rPr>
                  <w:rFonts w:ascii="Cambria Math"/>
                  <w:sz w:val="20"/>
                  <w:szCs w:val="20"/>
                </w:rPr>
                <m:t>t</m:t>
              </m:r>
            </m:sub>
          </m:sSub>
          <m:r>
            <m:rPr>
              <m:sty m:val="p"/>
            </m:rPr>
            <w:rPr>
              <w:rFonts w:ascii="Cambria Math"/>
              <w:sz w:val="20"/>
              <w:szCs w:val="20"/>
            </w:rPr>
            <m:t xml:space="preserve">= </m:t>
          </m:r>
          <m:r>
            <m:rPr>
              <m:sty m:val="p"/>
            </m:rPr>
            <w:rPr>
              <w:rFonts w:ascii="Cambria Math" w:hAnsi="Cambria Math"/>
              <w:sz w:val="20"/>
              <w:szCs w:val="20"/>
            </w:rPr>
            <m:t>σ</m:t>
          </m:r>
          <m:d>
            <m:dPr>
              <m:ctrlPr>
                <w:rPr>
                  <w:rFonts w:ascii="Cambria Math" w:hAnsi="Cambria Math"/>
                  <w:sz w:val="20"/>
                  <w:szCs w:val="20"/>
                </w:rPr>
              </m:ctrlPr>
            </m:dPr>
            <m:e>
              <m:sSub>
                <m:sSubPr>
                  <m:ctrlPr>
                    <w:rPr>
                      <w:rFonts w:ascii="Cambria Math" w:hAnsi="Cambria Math"/>
                      <w:sz w:val="20"/>
                      <w:szCs w:val="20"/>
                    </w:rPr>
                  </m:ctrlPr>
                </m:sSubPr>
                <m:e>
                  <m:r>
                    <w:rPr>
                      <w:rFonts w:ascii="Cambria Math"/>
                      <w:sz w:val="20"/>
                      <w:szCs w:val="20"/>
                    </w:rPr>
                    <m:t>W</m:t>
                  </m:r>
                </m:e>
                <m:sub>
                  <m:r>
                    <w:rPr>
                      <w:rFonts w:ascii="Cambria Math"/>
                      <w:sz w:val="20"/>
                      <w:szCs w:val="20"/>
                    </w:rPr>
                    <m:t>i</m:t>
                  </m:r>
                </m:sub>
              </m:s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sz w:val="20"/>
                  <w:szCs w:val="20"/>
                </w:rPr>
                <m:t xml:space="preserve">+ </m:t>
              </m:r>
              <m:sSub>
                <m:sSubPr>
                  <m:ctrlPr>
                    <w:rPr>
                      <w:rFonts w:ascii="Cambria Math" w:hAnsi="Cambria Math"/>
                      <w:sz w:val="20"/>
                      <w:szCs w:val="20"/>
                    </w:rPr>
                  </m:ctrlPr>
                </m:sSubPr>
                <m:e>
                  <m:r>
                    <w:rPr>
                      <w:rFonts w:ascii="Cambria Math"/>
                      <w:sz w:val="20"/>
                      <w:szCs w:val="20"/>
                    </w:rPr>
                    <m:t>U</m:t>
                  </m:r>
                </m:e>
                <m:sub>
                  <m:r>
                    <w:rPr>
                      <w:rFonts w:ascii="Cambria Math"/>
                      <w:sz w:val="20"/>
                      <w:szCs w:val="20"/>
                    </w:rPr>
                    <m:t>i</m:t>
                  </m:r>
                </m:sub>
              </m:sSub>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i</m:t>
                  </m:r>
                </m:sub>
              </m:sSub>
            </m:e>
          </m:d>
          <m:r>
            <m:rPr>
              <m:sty m:val="p"/>
            </m:rPr>
            <w:rPr>
              <w:rFonts w:ascii="Cambria Math"/>
              <w:sz w:val="20"/>
              <w:szCs w:val="20"/>
            </w:rPr>
            <w:br/>
          </m:r>
        </m:oMath>
        <m:oMath>
          <m:acc>
            <m:accPr>
              <m:chr m:val="̃"/>
              <m:ctrlPr>
                <w:rPr>
                  <w:rFonts w:ascii="Cambria Math" w:hAnsi="Cambria Math"/>
                  <w:sz w:val="20"/>
                  <w:szCs w:val="20"/>
                </w:rPr>
              </m:ctrlPr>
            </m:accPr>
            <m:e>
              <m:r>
                <w:rPr>
                  <w:rFonts w:ascii="Cambria Math"/>
                  <w:sz w:val="20"/>
                  <w:szCs w:val="20"/>
                </w:rPr>
                <m:t>c</m:t>
              </m:r>
            </m:e>
          </m:acc>
          <m:r>
            <m:rPr>
              <m:sty m:val="p"/>
            </m:rPr>
            <w:rPr>
              <w:rFonts w:ascii="Cambria Math"/>
              <w:sz w:val="20"/>
              <w:szCs w:val="20"/>
            </w:rPr>
            <m:t>=</m:t>
          </m:r>
          <m:func>
            <m:funcPr>
              <m:ctrlPr>
                <w:rPr>
                  <w:rFonts w:ascii="Cambria Math" w:hAnsi="Cambria Math"/>
                  <w:sz w:val="20"/>
                  <w:szCs w:val="20"/>
                </w:rPr>
              </m:ctrlPr>
            </m:funcPr>
            <m:fName>
              <m:r>
                <m:rPr>
                  <m:sty m:val="p"/>
                </m:rPr>
                <w:rPr>
                  <w:rFonts w:ascii="Cambria Math"/>
                  <w:sz w:val="20"/>
                  <w:szCs w:val="20"/>
                </w:rPr>
                <m:t>tanh</m:t>
              </m:r>
            </m:fName>
            <m:e>
              <m:d>
                <m:dPr>
                  <m:ctrlPr>
                    <w:rPr>
                      <w:rFonts w:ascii="Cambria Math" w:hAnsi="Cambria Math"/>
                      <w:sz w:val="20"/>
                      <w:szCs w:val="20"/>
                    </w:rPr>
                  </m:ctrlPr>
                </m:dPr>
                <m:e>
                  <m:sSub>
                    <m:sSubPr>
                      <m:ctrlPr>
                        <w:rPr>
                          <w:rFonts w:ascii="Cambria Math" w:hAnsi="Cambria Math"/>
                          <w:sz w:val="20"/>
                          <w:szCs w:val="20"/>
                        </w:rPr>
                      </m:ctrlPr>
                    </m:sSubPr>
                    <m:e>
                      <m:r>
                        <w:rPr>
                          <w:rFonts w:ascii="Cambria Math"/>
                          <w:sz w:val="20"/>
                          <w:szCs w:val="20"/>
                        </w:rPr>
                        <m:t>W</m:t>
                      </m:r>
                    </m:e>
                    <m:sub>
                      <m:r>
                        <w:rPr>
                          <w:rFonts w:ascii="Cambria Math"/>
                          <w:sz w:val="20"/>
                          <w:szCs w:val="20"/>
                        </w:rPr>
                        <m:t>c</m:t>
                      </m:r>
                    </m:sub>
                  </m:sSub>
                  <m:sSub>
                    <m:sSubPr>
                      <m:ctrlPr>
                        <w:rPr>
                          <w:rFonts w:ascii="Cambria Math" w:hAnsi="Cambria Math"/>
                          <w:sz w:val="20"/>
                          <w:szCs w:val="20"/>
                        </w:rPr>
                      </m:ctrlPr>
                    </m:sSubPr>
                    <m:e>
                      <m:r>
                        <w:rPr>
                          <w:rFonts w:ascii="Cambria Math"/>
                          <w:sz w:val="20"/>
                          <w:szCs w:val="20"/>
                        </w:rPr>
                        <m:t>x</m:t>
                      </m:r>
                    </m:e>
                    <m:sub>
                      <m:r>
                        <w:rPr>
                          <w:rFonts w:ascii="Cambria Math"/>
                          <w:sz w:val="20"/>
                          <w:szCs w:val="20"/>
                        </w:rPr>
                        <m:t>t</m:t>
                      </m:r>
                    </m:sub>
                  </m:sSub>
                  <m:r>
                    <m:rPr>
                      <m:sty m:val="p"/>
                    </m:rPr>
                    <w:rPr>
                      <w:rFonts w:ascii="Cambria Math"/>
                      <w:sz w:val="20"/>
                      <w:szCs w:val="20"/>
                    </w:rPr>
                    <m:t xml:space="preserve">+ </m:t>
                  </m:r>
                  <m:sSub>
                    <m:sSubPr>
                      <m:ctrlPr>
                        <w:rPr>
                          <w:rFonts w:ascii="Cambria Math" w:hAnsi="Cambria Math"/>
                          <w:sz w:val="20"/>
                          <w:szCs w:val="20"/>
                        </w:rPr>
                      </m:ctrlPr>
                    </m:sSubPr>
                    <m:e>
                      <m:r>
                        <w:rPr>
                          <w:rFonts w:ascii="Cambria Math"/>
                          <w:sz w:val="20"/>
                          <w:szCs w:val="20"/>
                        </w:rPr>
                        <m:t>U</m:t>
                      </m:r>
                    </m:e>
                    <m:sub>
                      <m:r>
                        <w:rPr>
                          <w:rFonts w:ascii="Cambria Math"/>
                          <w:sz w:val="20"/>
                          <w:szCs w:val="20"/>
                        </w:rPr>
                        <m:t>c</m:t>
                      </m:r>
                    </m:sub>
                  </m:sSub>
                  <m:sSub>
                    <m:sSubPr>
                      <m:ctrlPr>
                        <w:rPr>
                          <w:rFonts w:ascii="Cambria Math" w:hAnsi="Cambria Math"/>
                          <w:sz w:val="20"/>
                          <w:szCs w:val="20"/>
                        </w:rPr>
                      </m:ctrlPr>
                    </m:sSubPr>
                    <m:e>
                      <m:r>
                        <w:rPr>
                          <w:rFonts w:ascii="Cambria Math"/>
                          <w:sz w:val="20"/>
                          <w:szCs w:val="20"/>
                        </w:rPr>
                        <m:t>h</m:t>
                      </m:r>
                    </m:e>
                    <m:sub>
                      <m:r>
                        <w:rPr>
                          <w:rFonts w:ascii="Cambria Math"/>
                          <w:sz w:val="20"/>
                          <w:szCs w:val="20"/>
                        </w:rPr>
                        <m:t>t</m:t>
                      </m:r>
                      <m:r>
                        <w:rPr>
                          <w:rFonts w:ascii="Cambria Math"/>
                          <w:sz w:val="20"/>
                          <w:szCs w:val="20"/>
                        </w:rPr>
                        <m:t>-</m:t>
                      </m:r>
                      <m:r>
                        <w:rPr>
                          <w:rFonts w:ascii="Cambria Math"/>
                          <w:sz w:val="20"/>
                          <w:szCs w:val="20"/>
                        </w:rPr>
                        <m:t>1</m:t>
                      </m:r>
                    </m:sub>
                  </m:sSub>
                  <m:r>
                    <m:rPr>
                      <m:sty m:val="p"/>
                    </m:rPr>
                    <w:rPr>
                      <w:rFonts w:ascii="Cambria Math"/>
                      <w:sz w:val="20"/>
                      <w:szCs w:val="20"/>
                    </w:rPr>
                    <m:t xml:space="preserve">+ </m:t>
                  </m:r>
                  <m:sSub>
                    <m:sSubPr>
                      <m:ctrlPr>
                        <w:rPr>
                          <w:rFonts w:ascii="Cambria Math" w:hAnsi="Cambria Math"/>
                          <w:sz w:val="20"/>
                          <w:szCs w:val="20"/>
                        </w:rPr>
                      </m:ctrlPr>
                    </m:sSubPr>
                    <m:e>
                      <m:r>
                        <w:rPr>
                          <w:rFonts w:ascii="Cambria Math"/>
                          <w:sz w:val="20"/>
                          <w:szCs w:val="20"/>
                        </w:rPr>
                        <m:t>b</m:t>
                      </m:r>
                    </m:e>
                    <m:sub>
                      <m:r>
                        <w:rPr>
                          <w:rFonts w:ascii="Cambria Math"/>
                          <w:sz w:val="20"/>
                          <w:szCs w:val="20"/>
                        </w:rPr>
                        <m:t>c</m:t>
                      </m:r>
                    </m:sub>
                  </m:sSub>
                </m:e>
              </m:d>
            </m:e>
          </m:func>
          <m:r>
            <m:rPr>
              <m:sty m:val="p"/>
            </m:rPr>
            <w:rPr>
              <w:rFonts w:ascii="Cambria Math"/>
              <w:sz w:val="20"/>
              <w:szCs w:val="20"/>
            </w:rPr>
            <w:br/>
          </m:r>
        </m:oMath>
        <m:oMath>
          <m:sSub>
            <m:sSubPr>
              <m:ctrlPr>
                <w:rPr>
                  <w:rFonts w:ascii="Cambria Math" w:hAnsi="Cambria Math"/>
                  <w:sz w:val="20"/>
                  <w:szCs w:val="20"/>
                </w:rPr>
              </m:ctrlPr>
            </m:sSubPr>
            <m:e>
              <m:r>
                <w:rPr>
                  <w:rFonts w:ascii="Cambria Math"/>
                  <w:sz w:val="20"/>
                  <w:szCs w:val="20"/>
                </w:rPr>
                <m:t>c</m:t>
              </m:r>
            </m:e>
            <m:sub>
              <m:r>
                <w:rPr>
                  <w:rFonts w:ascii="Cambria Math"/>
                  <w:sz w:val="20"/>
                  <w:szCs w:val="20"/>
                </w:rPr>
                <m:t>t</m:t>
              </m:r>
            </m:sub>
          </m:sSub>
          <m:r>
            <m:rPr>
              <m:sty m:val="p"/>
            </m:rPr>
            <w:rPr>
              <w:rFonts w:ascii="Cambria Math"/>
              <w:sz w:val="20"/>
              <w:szCs w:val="20"/>
            </w:rPr>
            <m:t xml:space="preserve">= </m:t>
          </m:r>
          <m:sSub>
            <m:sSubPr>
              <m:ctrlPr>
                <w:rPr>
                  <w:rFonts w:ascii="Cambria Math" w:hAnsi="Cambria Math"/>
                  <w:sz w:val="20"/>
                  <w:szCs w:val="20"/>
                </w:rPr>
              </m:ctrlPr>
            </m:sSubPr>
            <m:e>
              <m:r>
                <w:rPr>
                  <w:rFonts w:ascii="Cambria Math"/>
                  <w:sz w:val="20"/>
                  <w:szCs w:val="20"/>
                </w:rPr>
                <m:t>f</m:t>
              </m:r>
            </m:e>
            <m:sub>
              <m:r>
                <w:rPr>
                  <w:rFonts w:ascii="Cambria Math"/>
                  <w:sz w:val="20"/>
                  <w:szCs w:val="20"/>
                </w:rPr>
                <m:t>t</m:t>
              </m:r>
            </m:sub>
          </m:sSub>
          <m:r>
            <m:rPr>
              <m:sty m:val="p"/>
            </m:rPr>
            <w:rPr>
              <w:rFonts w:ascii="Cambria Math"/>
              <w:sz w:val="20"/>
              <w:szCs w:val="20"/>
            </w:rPr>
            <m:t xml:space="preserve"> </m:t>
          </m:r>
          <m:r>
            <m:rPr>
              <m:sty m:val="p"/>
            </m:rPr>
            <w:rPr>
              <w:rFonts w:ascii="Cambria Math" w:hAnsi="Cambria Math" w:cs="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t</m:t>
              </m:r>
            </m:sub>
          </m:sSub>
          <m:r>
            <w:rPr>
              <w:rFonts w:ascii="Cambria Math" w:hAnsi="Cambria Math"/>
              <w:sz w:val="20"/>
              <w:szCs w:val="20"/>
            </w:rPr>
            <m:t xml:space="preserve"> ⊙</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 xml:space="preserve"> c</m:t>
                  </m:r>
                </m:e>
              </m:acc>
            </m:e>
            <m:sub>
              <m:r>
                <w:rPr>
                  <w:rFonts w:ascii="Cambria Math" w:hAnsi="Cambria Math"/>
                  <w:sz w:val="20"/>
                  <w:szCs w:val="20"/>
                </w:rPr>
                <m:t>t</m:t>
              </m:r>
            </m:sub>
          </m:sSub>
          <m:r>
            <m:rPr>
              <m:sty m:val="p"/>
            </m:rPr>
            <w:rPr>
              <w:rFonts w:ascii="Cambria Math" w:hAnsi="Cambria Math"/>
              <w:sz w:val="20"/>
              <w:szCs w:val="20"/>
            </w:rPr>
            <w:br/>
          </m:r>
        </m:oMath>
        <m:oMath>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t</m:t>
              </m:r>
            </m:sub>
          </m:sSub>
          <m:r>
            <w:rPr>
              <w:rFonts w:ascii="Cambria Math" w:hAnsi="Cambria Math"/>
              <w:sz w:val="20"/>
              <w:szCs w:val="20"/>
            </w:rPr>
            <m:t>= σ</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o</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o</m:t>
                  </m:r>
                </m:sub>
              </m:sSub>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o</m:t>
                  </m:r>
                </m:sub>
              </m:sSub>
            </m:e>
          </m:d>
          <m:r>
            <m:rPr>
              <m:sty m:val="p"/>
            </m:rPr>
            <w:rPr>
              <w:rFonts w:ascii="Cambria Math" w:hAnsi="Cambria Math"/>
              <w:sz w:val="20"/>
              <w:szCs w:val="20"/>
            </w:rPr>
            <w:br/>
          </m:r>
        </m:oMath>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func>
                <m:funcPr>
                  <m:ctrlPr>
                    <w:rPr>
                      <w:rFonts w:ascii="Cambria Math" w:hAnsi="Cambria Math"/>
                      <w:i/>
                      <w:sz w:val="20"/>
                      <w:szCs w:val="20"/>
                    </w:rPr>
                  </m:ctrlPr>
                </m:funcPr>
                <m:fName>
                  <m:r>
                    <m:rPr>
                      <m:sty m:val="p"/>
                    </m:rPr>
                    <w:rPr>
                      <w:rFonts w:ascii="Cambria Math" w:hAnsi="Cambria Math"/>
                      <w:sz w:val="20"/>
                      <w:szCs w:val="20"/>
                    </w:rPr>
                    <m:t>tanh⁡(</m:t>
                  </m:r>
                </m:fName>
                <m:e>
                  <m:r>
                    <w:rPr>
                      <w:rFonts w:ascii="Cambria Math" w:hAnsi="Cambria Math"/>
                      <w:sz w:val="20"/>
                      <w:szCs w:val="20"/>
                    </w:rPr>
                    <m:t>c</m:t>
                  </m:r>
                </m:e>
              </m:func>
            </m:e>
            <m:sub>
              <m:r>
                <w:rPr>
                  <w:rFonts w:ascii="Cambria Math" w:hAnsi="Cambria Math"/>
                  <w:sz w:val="20"/>
                  <w:szCs w:val="20"/>
                </w:rPr>
                <m:t>t</m:t>
              </m:r>
            </m:sub>
          </m:sSub>
          <m:r>
            <w:rPr>
              <w:rFonts w:ascii="Cambria Math" w:hAnsi="Cambria Math"/>
              <w:sz w:val="20"/>
              <w:szCs w:val="20"/>
            </w:rPr>
            <m:t>)</m:t>
          </m:r>
        </m:oMath>
      </m:oMathPara>
    </w:p>
    <w:p w14:paraId="58651500" w14:textId="7DDB86AE" w:rsidR="00DC7986" w:rsidRPr="00DC7986" w:rsidRDefault="00DC7986" w:rsidP="00DC7986">
      <w:pPr>
        <w:pStyle w:val="NormalWeb"/>
        <w:jc w:val="both"/>
        <w:rPr>
          <w:sz w:val="20"/>
          <w:szCs w:val="20"/>
        </w:rPr>
      </w:pPr>
      <w:r w:rsidRPr="00DC7986">
        <w:rPr>
          <w:sz w:val="20"/>
          <w:szCs w:val="20"/>
        </w:rPr>
        <w:t xml:space="preserve">where </w:t>
      </w:r>
      <w:r w:rsidR="00F565B3" w:rsidRPr="00DC7986">
        <w:rPr>
          <w:rStyle w:val="katex-mathml"/>
          <w:sz w:val="20"/>
          <w:szCs w:val="20"/>
        </w:rPr>
        <w:t>σ (</w:t>
      </w:r>
      <w:r w:rsidRPr="00DC7986">
        <w:rPr>
          <w:rStyle w:val="katex-mathml"/>
          <w:rFonts w:ascii="Cambria Math" w:hAnsi="Cambria Math" w:cs="Cambria Math"/>
          <w:sz w:val="20"/>
          <w:szCs w:val="20"/>
        </w:rPr>
        <w:t>⋅</w:t>
      </w:r>
      <w:r w:rsidRPr="00DC7986">
        <w:rPr>
          <w:rStyle w:val="katex-mathml"/>
          <w:sz w:val="20"/>
          <w:szCs w:val="20"/>
        </w:rPr>
        <w:t xml:space="preserve">) </w:t>
      </w:r>
      <w:r w:rsidRPr="00DC7986">
        <w:rPr>
          <w:sz w:val="20"/>
          <w:szCs w:val="20"/>
        </w:rPr>
        <w:t xml:space="preserve">denotes the sigmoid activation function, </w:t>
      </w:r>
      <w:r w:rsidRPr="00DC7986">
        <w:rPr>
          <w:rStyle w:val="katex-mathml"/>
          <w:rFonts w:ascii="Cambria Math" w:hAnsi="Cambria Math" w:cs="Cambria Math"/>
          <w:sz w:val="20"/>
          <w:szCs w:val="20"/>
        </w:rPr>
        <w:t>⊙</w:t>
      </w:r>
      <w:r w:rsidRPr="00DC7986">
        <w:rPr>
          <w:sz w:val="20"/>
          <w:szCs w:val="20"/>
        </w:rPr>
        <w:t xml:space="preserve"> represents element-wise multiplication, and </w:t>
      </w:r>
      <w:proofErr w:type="spellStart"/>
      <w:r w:rsidRPr="00DC7986">
        <w:rPr>
          <w:rStyle w:val="katex-mathml"/>
          <w:sz w:val="20"/>
          <w:szCs w:val="20"/>
        </w:rPr>
        <w:t>h</w:t>
      </w:r>
      <w:r w:rsidRPr="00DC7986">
        <w:rPr>
          <w:rStyle w:val="katex-mathml"/>
          <w:sz w:val="20"/>
          <w:szCs w:val="20"/>
          <w:vertAlign w:val="subscript"/>
        </w:rPr>
        <w:t>t</w:t>
      </w:r>
      <w:proofErr w:type="spellEnd"/>
      <w:r w:rsidRPr="00DC7986">
        <w:rPr>
          <w:rStyle w:val="vlist-s"/>
          <w:sz w:val="20"/>
          <w:szCs w:val="20"/>
        </w:rPr>
        <w:t>​</w:t>
      </w:r>
      <w:r w:rsidRPr="00DC7986">
        <w:rPr>
          <w:sz w:val="20"/>
          <w:szCs w:val="20"/>
        </w:rPr>
        <w:t xml:space="preserve"> and </w:t>
      </w:r>
      <w:proofErr w:type="spellStart"/>
      <w:r w:rsidRPr="00DC7986">
        <w:rPr>
          <w:sz w:val="20"/>
          <w:szCs w:val="20"/>
        </w:rPr>
        <w:t>c</w:t>
      </w:r>
      <w:r w:rsidRPr="00DC7986">
        <w:rPr>
          <w:sz w:val="20"/>
          <w:szCs w:val="20"/>
          <w:vertAlign w:val="subscript"/>
        </w:rPr>
        <w:t>t</w:t>
      </w:r>
      <w:proofErr w:type="spellEnd"/>
      <w:r w:rsidRPr="00DC7986">
        <w:rPr>
          <w:sz w:val="20"/>
          <w:szCs w:val="20"/>
          <w:vertAlign w:val="subscript"/>
        </w:rPr>
        <w:t xml:space="preserve"> </w:t>
      </w:r>
      <w:r w:rsidRPr="00DC7986">
        <w:rPr>
          <w:sz w:val="20"/>
          <w:szCs w:val="20"/>
        </w:rPr>
        <w:t>are the hidden and cell states, respectively.</w:t>
      </w:r>
    </w:p>
    <w:p w14:paraId="550E2495" w14:textId="711EBD81" w:rsidR="009303D9" w:rsidRPr="00430D5C" w:rsidRDefault="00DC7986" w:rsidP="00DC7986">
      <w:pPr>
        <w:pStyle w:val="Heading3"/>
        <w:jc w:val="center"/>
      </w:pPr>
      <w:r>
        <w:t>Bidirectional LSTM (Bi-LSTM)</w:t>
      </w:r>
      <w:r w:rsidR="00E63411" w:rsidRPr="00E63411">
        <w:t xml:space="preserve"> </w:t>
      </w:r>
    </w:p>
    <w:p w14:paraId="28E617B2" w14:textId="5A03C227" w:rsidR="00DC7986" w:rsidRPr="00DC7986" w:rsidRDefault="00DC7986" w:rsidP="00DC7986">
      <w:pPr>
        <w:pStyle w:val="NormalWeb"/>
        <w:jc w:val="both"/>
        <w:rPr>
          <w:sz w:val="20"/>
          <w:szCs w:val="20"/>
        </w:rPr>
      </w:pPr>
      <w:r w:rsidRPr="00DC7986">
        <w:rPr>
          <w:sz w:val="20"/>
          <w:szCs w:val="20"/>
        </w:rPr>
        <w:t xml:space="preserve">To exploit both </w:t>
      </w:r>
      <w:r w:rsidRPr="00DC7986">
        <w:rPr>
          <w:rStyle w:val="Strong"/>
          <w:sz w:val="20"/>
          <w:szCs w:val="20"/>
        </w:rPr>
        <w:t>past and future temporal context</w:t>
      </w:r>
      <w:r w:rsidRPr="00DC7986">
        <w:rPr>
          <w:sz w:val="20"/>
          <w:szCs w:val="20"/>
        </w:rPr>
        <w:t xml:space="preserve">, a Bidirectional LSTM (Bi-LSTM) is used. Unlike a unidirectional LSTM, Bi-LSTM processes the input sequence in </w:t>
      </w:r>
      <w:r w:rsidRPr="00DC7986">
        <w:rPr>
          <w:rStyle w:val="Strong"/>
          <w:sz w:val="20"/>
          <w:szCs w:val="20"/>
        </w:rPr>
        <w:t>forward</w:t>
      </w:r>
      <w:r w:rsidRPr="00DC7986">
        <w:rPr>
          <w:sz w:val="20"/>
          <w:szCs w:val="20"/>
        </w:rPr>
        <w:t xml:space="preserve"> and </w:t>
      </w:r>
      <w:r w:rsidRPr="00DC7986">
        <w:rPr>
          <w:rStyle w:val="Strong"/>
          <w:sz w:val="20"/>
          <w:szCs w:val="20"/>
        </w:rPr>
        <w:t>backward</w:t>
      </w:r>
      <w:r w:rsidRPr="00DC7986">
        <w:rPr>
          <w:sz w:val="20"/>
          <w:szCs w:val="20"/>
        </w:rPr>
        <w:t xml:space="preserve"> directions.</w:t>
      </w:r>
      <w:r w:rsidR="00E63411" w:rsidRPr="00E63411">
        <w:rPr>
          <w:noProof/>
          <w:sz w:val="20"/>
          <w:szCs w:val="20"/>
        </w:rPr>
        <w:t xml:space="preserve"> </w:t>
      </w:r>
    </w:p>
    <w:p w14:paraId="1E27D49F" w14:textId="5E93758E" w:rsidR="00DC7986" w:rsidRDefault="00DC7986" w:rsidP="00DC7986">
      <w:pPr>
        <w:pStyle w:val="NormalWeb"/>
        <w:jc w:val="both"/>
        <w:rPr>
          <w:sz w:val="20"/>
          <w:szCs w:val="20"/>
        </w:rPr>
      </w:pPr>
      <w:r w:rsidRPr="00DC7986">
        <w:rPr>
          <w:sz w:val="20"/>
          <w:szCs w:val="20"/>
        </w:rPr>
        <w:t xml:space="preserve">For a given time step </w:t>
      </w:r>
      <w:r w:rsidRPr="00DC7986">
        <w:rPr>
          <w:rStyle w:val="mord"/>
          <w:sz w:val="20"/>
          <w:szCs w:val="20"/>
        </w:rPr>
        <w:t>t</w:t>
      </w:r>
      <w:r w:rsidRPr="00DC7986">
        <w:rPr>
          <w:sz w:val="20"/>
          <w:szCs w:val="20"/>
        </w:rPr>
        <w:t>, the forward and backward hidden states are computed as:</w:t>
      </w:r>
    </w:p>
    <w:p w14:paraId="21971916" w14:textId="77777777" w:rsidR="006432FE" w:rsidRPr="006432FE" w:rsidRDefault="00A43E9E" w:rsidP="00DC7986">
      <w:pPr>
        <w:pStyle w:val="NormalWeb"/>
        <w:jc w:val="both"/>
        <w:rPr>
          <w:sz w:val="20"/>
          <w:szCs w:val="20"/>
        </w:rPr>
      </w:pPr>
      <m:oMathPara>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h</m:t>
                  </m:r>
                </m:e>
              </m:acc>
            </m:e>
            <m:sub>
              <m:r>
                <w:rPr>
                  <w:rFonts w:ascii="Cambria Math" w:hAnsi="Cambria Math"/>
                  <w:sz w:val="20"/>
                  <w:szCs w:val="20"/>
                </w:rPr>
                <m:t>t</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LSTM</m:t>
              </m:r>
            </m:e>
            <m:sub>
              <m:r>
                <w:rPr>
                  <w:rFonts w:ascii="Cambria Math" w:hAnsi="Cambria Math"/>
                  <w:sz w:val="20"/>
                  <w:szCs w:val="20"/>
                </w:rPr>
                <m:t>forward</m:t>
              </m:r>
            </m:sub>
          </m:sSub>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m:t>
                  </m:r>
                </m:sub>
              </m:sSub>
            </m:e>
          </m:d>
          <m:r>
            <m:rPr>
              <m:sty m:val="p"/>
            </m:rPr>
            <w:rPr>
              <w:rFonts w:ascii="Cambria Math" w:hAnsi="Cambria Math"/>
              <w:sz w:val="20"/>
              <w:szCs w:val="20"/>
            </w:rPr>
            <w:br/>
          </m:r>
        </m:oMath>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h</m:t>
                  </m:r>
                </m:e>
              </m:acc>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LSTM</m:t>
              </m:r>
            </m:e>
            <m:sub>
              <m:r>
                <w:rPr>
                  <w:rFonts w:ascii="Cambria Math" w:hAnsi="Cambria Math"/>
                  <w:sz w:val="20"/>
                  <w:szCs w:val="20"/>
                </w:rPr>
                <m:t>backward</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m:t>
          </m:r>
          <m:r>
            <m:rPr>
              <m:sty m:val="p"/>
            </m:rPr>
            <w:rPr>
              <w:rFonts w:ascii="Cambria Math" w:hAnsi="Cambria Math"/>
              <w:sz w:val="20"/>
              <w:szCs w:val="20"/>
            </w:rPr>
            <w:br/>
          </m:r>
        </m:oMath>
      </m:oMathPara>
    </w:p>
    <w:p w14:paraId="63B005E0" w14:textId="03CB1952" w:rsidR="006432FE" w:rsidRPr="006432FE" w:rsidRDefault="006432FE" w:rsidP="00DC7986">
      <w:pPr>
        <w:pStyle w:val="NormalWeb"/>
        <w:jc w:val="both"/>
        <w:rPr>
          <w:sz w:val="20"/>
          <w:szCs w:val="20"/>
        </w:rPr>
      </w:pPr>
      <w:r w:rsidRPr="006432FE">
        <w:rPr>
          <w:sz w:val="20"/>
          <w:szCs w:val="20"/>
        </w:rPr>
        <w:t>The final Bi-LSTM output is obtained by concatenating both states:</w:t>
      </w:r>
    </w:p>
    <w:p w14:paraId="25032B44" w14:textId="061F254E" w:rsidR="00DC7986" w:rsidRPr="006432FE" w:rsidRDefault="00A43E9E" w:rsidP="00DC7986">
      <w:pPr>
        <w:pStyle w:val="NormalWeb"/>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t</m:t>
              </m:r>
            </m:sub>
          </m:sSub>
          <m:r>
            <w:rPr>
              <w:rFonts w:ascii="Cambria Math" w:hAnsi="Cambria Math"/>
              <w:sz w:val="20"/>
              <w:szCs w:val="20"/>
            </w:rPr>
            <m:t xml:space="preserve">= </m:t>
          </m:r>
          <m:d>
            <m:dPr>
              <m:begChr m:val="["/>
              <m:endChr m:val="]"/>
              <m:ctrlPr>
                <w:rPr>
                  <w:rFonts w:ascii="Cambria Math" w:hAnsi="Cambria Math"/>
                  <w:i/>
                  <w:sz w:val="20"/>
                  <w:szCs w:val="20"/>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h</m:t>
                      </m:r>
                    </m:e>
                  </m:acc>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h</m:t>
                      </m:r>
                    </m:e>
                  </m:acc>
                </m:e>
                <m:sub>
                  <m:r>
                    <w:rPr>
                      <w:rFonts w:ascii="Cambria Math" w:hAnsi="Cambria Math"/>
                      <w:sz w:val="20"/>
                      <w:szCs w:val="20"/>
                    </w:rPr>
                    <m:t>t</m:t>
                  </m:r>
                </m:sub>
              </m:sSub>
            </m:e>
          </m:d>
        </m:oMath>
      </m:oMathPara>
    </w:p>
    <w:p w14:paraId="73E6E777" w14:textId="3B5EE0BF" w:rsidR="006432FE" w:rsidRDefault="006432FE" w:rsidP="006432FE">
      <w:pPr>
        <w:pStyle w:val="NormalWeb"/>
        <w:jc w:val="both"/>
        <w:rPr>
          <w:sz w:val="20"/>
          <w:szCs w:val="20"/>
        </w:rPr>
      </w:pPr>
      <w:r w:rsidRPr="006432FE">
        <w:rPr>
          <w:sz w:val="20"/>
          <w:szCs w:val="20"/>
        </w:rPr>
        <w:t xml:space="preserve">his bidirectional representation enables the model to capture gesture dynamics more effectively by considering </w:t>
      </w:r>
      <w:r w:rsidRPr="006432FE">
        <w:rPr>
          <w:rStyle w:val="Strong"/>
          <w:sz w:val="20"/>
          <w:szCs w:val="20"/>
        </w:rPr>
        <w:t>entire signal context</w:t>
      </w:r>
      <w:r w:rsidRPr="006432FE">
        <w:rPr>
          <w:sz w:val="20"/>
          <w:szCs w:val="20"/>
        </w:rPr>
        <w:t>, which is particularly beneficial for complex hand movements.</w:t>
      </w:r>
    </w:p>
    <w:p w14:paraId="41E0DD62" w14:textId="2A555E16" w:rsidR="006432FE" w:rsidRDefault="006432FE" w:rsidP="006432FE">
      <w:pPr>
        <w:pStyle w:val="Heading3"/>
        <w:jc w:val="center"/>
      </w:pPr>
      <w:r>
        <w:t>Attention Mechanism</w:t>
      </w:r>
    </w:p>
    <w:p w14:paraId="4231754E" w14:textId="4BC73D04" w:rsidR="006432FE" w:rsidRPr="006432FE" w:rsidRDefault="006432FE" w:rsidP="006432FE">
      <w:pPr>
        <w:pStyle w:val="NormalWeb"/>
        <w:jc w:val="both"/>
        <w:rPr>
          <w:sz w:val="20"/>
          <w:szCs w:val="20"/>
        </w:rPr>
      </w:pPr>
      <w:r w:rsidRPr="006432FE">
        <w:rPr>
          <w:sz w:val="20"/>
          <w:szCs w:val="20"/>
        </w:rPr>
        <w:t xml:space="preserve">Although Bi-LSTM captures temporal dependencies, not all-time steps contribute equally to gesture classification. To address this limitation, an </w:t>
      </w:r>
      <w:r w:rsidRPr="006432FE">
        <w:rPr>
          <w:rStyle w:val="Strong"/>
          <w:sz w:val="20"/>
          <w:szCs w:val="20"/>
        </w:rPr>
        <w:t>attention mechanism</w:t>
      </w:r>
      <w:r w:rsidRPr="006432FE">
        <w:rPr>
          <w:sz w:val="20"/>
          <w:szCs w:val="20"/>
        </w:rPr>
        <w:t xml:space="preserve"> is introduced to assign higher importance to more informative segments of the sEMG sequence.</w:t>
      </w:r>
    </w:p>
    <w:p w14:paraId="7E6DFAFD" w14:textId="357C9985" w:rsidR="006432FE" w:rsidRDefault="006432FE" w:rsidP="006432FE">
      <w:pPr>
        <w:pStyle w:val="NormalWeb"/>
        <w:jc w:val="both"/>
        <w:rPr>
          <w:sz w:val="20"/>
          <w:szCs w:val="20"/>
        </w:rPr>
      </w:pPr>
      <w:r w:rsidRPr="006432FE">
        <w:rPr>
          <w:sz w:val="20"/>
          <w:szCs w:val="20"/>
        </w:rPr>
        <w:t xml:space="preserve">The attention score for each time step </w:t>
      </w:r>
      <w:r w:rsidRPr="006432FE">
        <w:rPr>
          <w:rStyle w:val="katex-mathml"/>
          <w:sz w:val="20"/>
          <w:szCs w:val="20"/>
        </w:rPr>
        <w:t>t</w:t>
      </w:r>
      <w:r>
        <w:rPr>
          <w:rStyle w:val="katex-mathml"/>
          <w:sz w:val="20"/>
          <w:szCs w:val="20"/>
        </w:rPr>
        <w:t xml:space="preserve"> </w:t>
      </w:r>
      <w:r w:rsidRPr="006432FE">
        <w:rPr>
          <w:sz w:val="20"/>
          <w:szCs w:val="20"/>
        </w:rPr>
        <w:t>is computed as:</w:t>
      </w:r>
    </w:p>
    <w:p w14:paraId="103B4685" w14:textId="77777777" w:rsidR="006432FE" w:rsidRPr="006432FE" w:rsidRDefault="00A43E9E" w:rsidP="006432FE">
      <w:pPr>
        <w:pStyle w:val="NormalWeb"/>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t</m:t>
              </m:r>
            </m:sub>
          </m:sSub>
          <m:r>
            <w:rPr>
              <w:rFonts w:ascii="Cambria Math" w:hAnsi="Cambria Math"/>
              <w:sz w:val="20"/>
              <w:szCs w:val="20"/>
            </w:rPr>
            <m:t xml:space="preserve">= </m:t>
          </m:r>
          <m:func>
            <m:funcPr>
              <m:ctrlPr>
                <w:rPr>
                  <w:rFonts w:ascii="Cambria Math" w:hAnsi="Cambria Math"/>
                  <w:i/>
                  <w:sz w:val="20"/>
                  <w:szCs w:val="20"/>
                </w:rPr>
              </m:ctrlPr>
            </m:funcPr>
            <m:fName>
              <m:r>
                <m:rPr>
                  <m:sty m:val="p"/>
                </m:rPr>
                <w:rPr>
                  <w:rFonts w:ascii="Cambria Math" w:hAnsi="Cambria Math"/>
                  <w:sz w:val="20"/>
                  <w:szCs w:val="20"/>
                </w:rPr>
                <m:t>tanh</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a</m:t>
                      </m:r>
                    </m:sub>
                  </m:sSub>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t</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a</m:t>
                      </m:r>
                    </m:sub>
                  </m:sSub>
                </m:e>
              </m:d>
            </m:e>
          </m:func>
          <m:r>
            <m:rPr>
              <m:sty m:val="p"/>
            </m:rPr>
            <w:rPr>
              <w:rFonts w:ascii="Cambria Math" w:hAnsi="Cambria Math"/>
              <w:sz w:val="20"/>
              <w:szCs w:val="20"/>
            </w:rPr>
            <w:br/>
          </m:r>
        </m:oMath>
        <m:oMath>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t</m:t>
              </m:r>
            </m:sub>
          </m:sSub>
          <m:r>
            <w:rPr>
              <w:rFonts w:ascii="Cambria Math" w:hAnsi="Cambria Math"/>
              <w:sz w:val="20"/>
              <w:szCs w:val="20"/>
            </w:rPr>
            <m:t>=</m:t>
          </m:r>
          <m:f>
            <m:fPr>
              <m:ctrlPr>
                <w:rPr>
                  <w:rFonts w:ascii="Cambria Math" w:hAnsi="Cambria Math"/>
                  <w:i/>
                  <w:sz w:val="20"/>
                  <w:szCs w:val="20"/>
                </w:rPr>
              </m:ctrlPr>
            </m:fPr>
            <m:num>
              <m:func>
                <m:funcPr>
                  <m:ctrlPr>
                    <w:rPr>
                      <w:rFonts w:ascii="Cambria Math" w:hAnsi="Cambria Math"/>
                      <w:sz w:val="20"/>
                      <w:szCs w:val="20"/>
                    </w:rPr>
                  </m:ctrlPr>
                </m:funcPr>
                <m:fName>
                  <m:r>
                    <m:rPr>
                      <m:sty m:val="p"/>
                    </m:rPr>
                    <w:rPr>
                      <w:rFonts w:ascii="Cambria Math" w:hAnsi="Cambria Math"/>
                      <w:sz w:val="20"/>
                      <w:szCs w:val="20"/>
                    </w:rPr>
                    <m:t>exp</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t</m:t>
                          </m:r>
                        </m:sub>
                      </m:sSub>
                    </m:e>
                  </m:d>
                </m:e>
              </m:func>
            </m:num>
            <m:den>
              <m:nary>
                <m:naryPr>
                  <m:chr m:val="∑"/>
                  <m:limLoc m:val="subSup"/>
                  <m:ctrlPr>
                    <w:rPr>
                      <w:rFonts w:ascii="Cambria Math" w:hAnsi="Cambria Math"/>
                      <w:i/>
                      <w:sz w:val="20"/>
                      <w:szCs w:val="20"/>
                    </w:rPr>
                  </m:ctrlPr>
                </m:naryPr>
                <m:sub>
                  <m:r>
                    <w:rPr>
                      <w:rFonts w:ascii="Cambria Math" w:hAnsi="Cambria Math"/>
                      <w:sz w:val="20"/>
                      <w:szCs w:val="20"/>
                    </w:rPr>
                    <m:t>k=1</m:t>
                  </m:r>
                </m:sub>
                <m:sup>
                  <m:r>
                    <w:rPr>
                      <w:rFonts w:ascii="Cambria Math" w:hAnsi="Cambria Math"/>
                      <w:sz w:val="20"/>
                      <w:szCs w:val="20"/>
                    </w:rPr>
                    <m:t>T</m:t>
                  </m:r>
                </m:sup>
                <m:e>
                  <m:func>
                    <m:funcPr>
                      <m:ctrlPr>
                        <w:rPr>
                          <w:rFonts w:ascii="Cambria Math" w:hAnsi="Cambria Math"/>
                          <w:sz w:val="20"/>
                          <w:szCs w:val="20"/>
                        </w:rPr>
                      </m:ctrlPr>
                    </m:funcPr>
                    <m:fName>
                      <m:r>
                        <m:rPr>
                          <m:sty m:val="p"/>
                        </m:rPr>
                        <w:rPr>
                          <w:rFonts w:ascii="Cambria Math" w:hAnsi="Cambria Math"/>
                          <w:sz w:val="20"/>
                          <w:szCs w:val="20"/>
                        </w:rPr>
                        <m:t>exp</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k</m:t>
                              </m:r>
                            </m:sub>
                          </m:sSub>
                        </m:e>
                      </m:d>
                    </m:e>
                  </m:func>
                </m:e>
              </m:nary>
            </m:den>
          </m:f>
        </m:oMath>
      </m:oMathPara>
    </w:p>
    <w:p w14:paraId="126BAF81" w14:textId="219B4C93" w:rsidR="003C234A" w:rsidRPr="003C234A" w:rsidRDefault="003C234A" w:rsidP="003C234A">
      <w:pPr>
        <w:pStyle w:val="NormalWeb"/>
        <w:jc w:val="both"/>
        <w:rPr>
          <w:sz w:val="20"/>
          <w:szCs w:val="20"/>
        </w:rPr>
      </w:pPr>
      <w:r w:rsidRPr="003C234A">
        <w:rPr>
          <w:sz w:val="20"/>
          <w:szCs w:val="20"/>
        </w:rPr>
        <w:t xml:space="preserve">where </w:t>
      </w:r>
      <w:r w:rsidRPr="003C234A">
        <w:rPr>
          <w:rStyle w:val="katex-mathml"/>
          <w:i/>
          <w:sz w:val="20"/>
          <w:szCs w:val="20"/>
        </w:rPr>
        <w:t>α</w:t>
      </w:r>
      <w:r w:rsidRPr="003C234A">
        <w:rPr>
          <w:rStyle w:val="katex-mathml"/>
          <w:i/>
          <w:sz w:val="20"/>
          <w:szCs w:val="20"/>
          <w:vertAlign w:val="subscript"/>
        </w:rPr>
        <w:t>t</w:t>
      </w:r>
      <w:r w:rsidRPr="003C234A">
        <w:rPr>
          <w:rStyle w:val="vlist-s"/>
          <w:sz w:val="20"/>
          <w:szCs w:val="20"/>
        </w:rPr>
        <w:t>​</w:t>
      </w:r>
      <w:r w:rsidRPr="003C234A">
        <w:rPr>
          <w:sz w:val="20"/>
          <w:szCs w:val="20"/>
        </w:rPr>
        <w:t xml:space="preserve"> represents the normalized attention weight and </w:t>
      </w:r>
      <w:r w:rsidRPr="003C234A">
        <w:rPr>
          <w:rStyle w:val="katex-mathml"/>
          <w:i/>
          <w:sz w:val="20"/>
          <w:szCs w:val="20"/>
        </w:rPr>
        <w:t>T</w:t>
      </w:r>
      <w:r w:rsidRPr="003C234A">
        <w:rPr>
          <w:sz w:val="20"/>
          <w:szCs w:val="20"/>
        </w:rPr>
        <w:t xml:space="preserve"> is the total number of time steps.</w:t>
      </w:r>
    </w:p>
    <w:p w14:paraId="074924D7" w14:textId="77777777" w:rsidR="003C234A" w:rsidRDefault="003C234A" w:rsidP="006432FE">
      <w:pPr>
        <w:pStyle w:val="NormalWeb"/>
        <w:jc w:val="both"/>
        <w:rPr>
          <w:sz w:val="20"/>
          <w:szCs w:val="20"/>
        </w:rPr>
      </w:pPr>
      <w:r w:rsidRPr="003C234A">
        <w:rPr>
          <w:sz w:val="20"/>
          <w:szCs w:val="20"/>
        </w:rPr>
        <w:t xml:space="preserve">The context vector </w:t>
      </w:r>
      <w:r w:rsidRPr="003C234A">
        <w:rPr>
          <w:rStyle w:val="katex-mathml"/>
          <w:b/>
          <w:sz w:val="20"/>
          <w:szCs w:val="20"/>
        </w:rPr>
        <w:t>c</w:t>
      </w:r>
      <w:r w:rsidRPr="003C234A">
        <w:rPr>
          <w:sz w:val="20"/>
          <w:szCs w:val="20"/>
        </w:rPr>
        <w:t xml:space="preserve"> is then obtained as a weighted sum of Bi-LSTM outputs:</w:t>
      </w:r>
    </w:p>
    <w:p w14:paraId="081A5FB5" w14:textId="1C170295" w:rsidR="006432FE" w:rsidRPr="003C234A" w:rsidRDefault="006432FE" w:rsidP="006432FE">
      <w:pPr>
        <w:pStyle w:val="NormalWeb"/>
        <w:jc w:val="both"/>
        <w:rPr>
          <w:sz w:val="20"/>
          <w:szCs w:val="20"/>
        </w:rPr>
      </w:pPr>
      <m:oMathPara>
        <m:oMath>
          <m:r>
            <m:rPr>
              <m:sty m:val="p"/>
            </m:rPr>
            <w:rPr>
              <w:rFonts w:ascii="Cambria Math" w:hAnsi="Cambria Math"/>
              <w:sz w:val="20"/>
              <w:szCs w:val="20"/>
            </w:rPr>
            <w:br/>
          </m:r>
        </m:oMath>
        <m:oMath>
          <m:r>
            <w:rPr>
              <w:rFonts w:ascii="Cambria Math" w:hAnsi="Cambria Math"/>
              <w:sz w:val="20"/>
              <w:szCs w:val="20"/>
            </w:rPr>
            <m:t xml:space="preserve">c= </m:t>
          </m:r>
          <m:nary>
            <m:naryPr>
              <m:chr m:val="∑"/>
              <m:limLoc m:val="undOvr"/>
              <m:ctrlPr>
                <w:rPr>
                  <w:rFonts w:ascii="Cambria Math" w:hAnsi="Cambria Math"/>
                  <w:i/>
                  <w:sz w:val="20"/>
                  <w:szCs w:val="20"/>
                </w:rPr>
              </m:ctrlPr>
            </m:naryPr>
            <m:sub>
              <m:r>
                <w:rPr>
                  <w:rFonts w:ascii="Cambria Math" w:hAnsi="Cambria Math"/>
                  <w:sz w:val="20"/>
                  <w:szCs w:val="20"/>
                </w:rPr>
                <m:t>t=1</m:t>
              </m:r>
            </m:sub>
            <m:sup>
              <m:r>
                <w:rPr>
                  <w:rFonts w:ascii="Cambria Math" w:hAnsi="Cambria Math"/>
                  <w:sz w:val="20"/>
                  <w:szCs w:val="20"/>
                </w:rPr>
                <m:t>T</m:t>
              </m:r>
            </m:sup>
            <m:e>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t</m:t>
                  </m:r>
                </m:sub>
              </m:sSub>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t</m:t>
                  </m:r>
                </m:sub>
              </m:sSub>
            </m:e>
          </m:nary>
        </m:oMath>
      </m:oMathPara>
    </w:p>
    <w:p w14:paraId="39CAC3A1" w14:textId="72E91D7A" w:rsidR="003C234A" w:rsidRDefault="003C234A" w:rsidP="006432FE">
      <w:pPr>
        <w:pStyle w:val="NormalWeb"/>
        <w:jc w:val="both"/>
        <w:rPr>
          <w:sz w:val="20"/>
          <w:szCs w:val="20"/>
        </w:rPr>
      </w:pPr>
      <w:r w:rsidRPr="003C234A">
        <w:rPr>
          <w:sz w:val="20"/>
          <w:szCs w:val="20"/>
        </w:rPr>
        <w:t xml:space="preserve">This mechanism allows the model to focus on </w:t>
      </w:r>
      <w:r w:rsidRPr="003C234A">
        <w:rPr>
          <w:rStyle w:val="Strong"/>
          <w:sz w:val="20"/>
          <w:szCs w:val="20"/>
        </w:rPr>
        <w:t>salient temporal features</w:t>
      </w:r>
      <w:r w:rsidRPr="003C234A">
        <w:rPr>
          <w:sz w:val="20"/>
          <w:szCs w:val="20"/>
        </w:rPr>
        <w:t>, improving robustness against noise and irrelevant signal fluctuations.</w:t>
      </w:r>
    </w:p>
    <w:p w14:paraId="741CB9B1" w14:textId="109931B5" w:rsidR="003C234A" w:rsidRDefault="003C234A" w:rsidP="006432FE">
      <w:pPr>
        <w:pStyle w:val="NormalWeb"/>
        <w:jc w:val="both"/>
        <w:rPr>
          <w:sz w:val="20"/>
          <w:szCs w:val="20"/>
        </w:rPr>
      </w:pPr>
    </w:p>
    <w:p w14:paraId="01DEAEDC" w14:textId="72CA07C8" w:rsidR="003C234A" w:rsidRDefault="003C234A" w:rsidP="00341E0A">
      <w:pPr>
        <w:pStyle w:val="Heading3"/>
      </w:pPr>
      <w:r>
        <w:t>Classification Layer</w:t>
      </w:r>
    </w:p>
    <w:p w14:paraId="11926276" w14:textId="25496348" w:rsidR="003C234A" w:rsidRDefault="003C234A" w:rsidP="006432FE">
      <w:pPr>
        <w:pStyle w:val="NormalWeb"/>
        <w:jc w:val="both"/>
        <w:rPr>
          <w:sz w:val="20"/>
          <w:szCs w:val="20"/>
        </w:rPr>
      </w:pPr>
      <w:r w:rsidRPr="003C234A">
        <w:rPr>
          <w:sz w:val="20"/>
          <w:szCs w:val="20"/>
        </w:rPr>
        <w:t xml:space="preserve">The context vector </w:t>
      </w:r>
      <w:r w:rsidRPr="003C234A">
        <w:rPr>
          <w:rStyle w:val="katex-mathml"/>
          <w:b/>
          <w:sz w:val="20"/>
          <w:szCs w:val="20"/>
        </w:rPr>
        <w:t>c</w:t>
      </w:r>
      <w:r w:rsidRPr="003C234A">
        <w:rPr>
          <w:sz w:val="20"/>
          <w:szCs w:val="20"/>
        </w:rPr>
        <w:t xml:space="preserve"> is passed through a fully connected layer followed by a softmax activation to produce the final gesture class probabilities:</w:t>
      </w:r>
      <w:r w:rsidR="00E63411" w:rsidRPr="00E63411">
        <w:rPr>
          <w:noProof/>
          <w:sz w:val="20"/>
          <w:szCs w:val="20"/>
        </w:rPr>
        <w:t xml:space="preserve"> </w:t>
      </w:r>
    </w:p>
    <w:p w14:paraId="0BD11404" w14:textId="30E84098" w:rsidR="003C234A" w:rsidRDefault="003C234A" w:rsidP="006432FE">
      <w:pPr>
        <w:pStyle w:val="NormalWeb"/>
        <w:jc w:val="both"/>
        <w:rPr>
          <w:sz w:val="20"/>
          <w:szCs w:val="20"/>
        </w:rPr>
      </w:pPr>
      <w:r>
        <w:rPr>
          <w:sz w:val="20"/>
          <w:szCs w:val="20"/>
        </w:rPr>
        <w:tab/>
      </w:r>
      <w:r>
        <w:rPr>
          <w:sz w:val="20"/>
          <w:szCs w:val="20"/>
        </w:rPr>
        <w:tab/>
      </w:r>
      <m:oMath>
        <m:r>
          <w:rPr>
            <w:rFonts w:ascii="Cambria Math" w:hAnsi="Cambria Math"/>
            <w:sz w:val="20"/>
            <w:szCs w:val="20"/>
          </w:rPr>
          <m:t>y=Softmax(</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s</m:t>
            </m:r>
          </m:sub>
        </m:sSub>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s</m:t>
            </m:r>
          </m:sub>
        </m:sSub>
        <m:r>
          <w:rPr>
            <w:rFonts w:ascii="Cambria Math" w:hAnsi="Cambria Math"/>
            <w:sz w:val="20"/>
            <w:szCs w:val="20"/>
          </w:rPr>
          <m:t>)</m:t>
        </m:r>
      </m:oMath>
    </w:p>
    <w:p w14:paraId="330FEA83" w14:textId="0FB5705F" w:rsidR="00341E0A" w:rsidRPr="00341E0A" w:rsidRDefault="003C234A" w:rsidP="006432FE">
      <w:pPr>
        <w:pStyle w:val="NormalWeb"/>
        <w:jc w:val="both"/>
        <w:rPr>
          <w:sz w:val="20"/>
          <w:szCs w:val="20"/>
        </w:rPr>
      </w:pPr>
      <w:r>
        <w:rPr>
          <w:sz w:val="20"/>
          <w:szCs w:val="20"/>
        </w:rPr>
        <w:t>The model is trained using the categorical cross-entropy loss function:</w:t>
      </w:r>
    </w:p>
    <w:p w14:paraId="01B3A439" w14:textId="6630FF37" w:rsidR="003C234A" w:rsidRPr="00341E0A" w:rsidRDefault="00341E0A" w:rsidP="006432FE">
      <w:pPr>
        <w:pStyle w:val="NormalWeb"/>
        <w:jc w:val="both"/>
        <w:rPr>
          <w:sz w:val="20"/>
          <w:szCs w:val="20"/>
        </w:rPr>
      </w:pPr>
      <m:oMathPara>
        <m:oMath>
          <m:r>
            <w:rPr>
              <w:rFonts w:ascii="Cambria Math" w:hAnsi="Cambria Math"/>
              <w:sz w:val="20"/>
              <w:szCs w:val="20"/>
            </w:rPr>
            <m:t>L= -</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C</m:t>
              </m:r>
            </m:sup>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m:rPr>
                  <m:sty m:val="p"/>
                </m:rPr>
                <w:rPr>
                  <w:rFonts w:ascii="Cambria Math" w:hAnsi="Cambria Math"/>
                  <w:sz w:val="20"/>
                  <w:szCs w:val="20"/>
                </w:rPr>
                <m:t>log⁡</m:t>
              </m:r>
              <m:r>
                <w:rPr>
                  <w:rFonts w:ascii="Cambria Math" w:hAnsi="Cambria Math"/>
                  <w:sz w:val="20"/>
                  <w:szCs w:val="20"/>
                </w:rPr>
                <m:t>(</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y</m:t>
                      </m:r>
                    </m:e>
                  </m:acc>
                </m:e>
                <m:sub>
                  <m:r>
                    <w:rPr>
                      <w:rFonts w:ascii="Cambria Math" w:hAnsi="Cambria Math"/>
                      <w:sz w:val="20"/>
                      <w:szCs w:val="20"/>
                    </w:rPr>
                    <m:t>i</m:t>
                  </m:r>
                </m:sub>
              </m:sSub>
            </m:e>
          </m:nary>
          <m:r>
            <w:rPr>
              <w:rFonts w:ascii="Cambria Math" w:hAnsi="Cambria Math"/>
              <w:sz w:val="20"/>
              <w:szCs w:val="20"/>
            </w:rPr>
            <m:t>)</m:t>
          </m:r>
        </m:oMath>
      </m:oMathPara>
    </w:p>
    <w:p w14:paraId="4D413715" w14:textId="1F74FD95" w:rsidR="00341E0A" w:rsidRPr="00341E0A" w:rsidRDefault="00341E0A" w:rsidP="006432FE">
      <w:pPr>
        <w:pStyle w:val="NormalWeb"/>
        <w:jc w:val="both"/>
        <w:rPr>
          <w:sz w:val="20"/>
          <w:szCs w:val="20"/>
        </w:rPr>
      </w:pPr>
      <w:r w:rsidRPr="00341E0A">
        <w:rPr>
          <w:sz w:val="20"/>
          <w:szCs w:val="20"/>
        </w:rPr>
        <w:t xml:space="preserve">where </w:t>
      </w:r>
      <w:r w:rsidRPr="00341E0A">
        <w:rPr>
          <w:rStyle w:val="mord"/>
          <w:sz w:val="20"/>
          <w:szCs w:val="20"/>
        </w:rPr>
        <w:t>C</w:t>
      </w:r>
      <w:r w:rsidRPr="00341E0A">
        <w:rPr>
          <w:sz w:val="20"/>
          <w:szCs w:val="20"/>
        </w:rPr>
        <w:t xml:space="preserve"> is the number of gesture classes, </w:t>
      </w:r>
      <m:oMath>
        <m:sSub>
          <m:sSubPr>
            <m:ctrlPr>
              <w:rPr>
                <w:rStyle w:val="katex-mathml"/>
                <w:rFonts w:ascii="Cambria Math" w:hAnsi="Cambria Math"/>
                <w:i/>
                <w:sz w:val="20"/>
                <w:szCs w:val="20"/>
              </w:rPr>
            </m:ctrlPr>
          </m:sSubPr>
          <m:e>
            <m:acc>
              <m:accPr>
                <m:ctrlPr>
                  <w:rPr>
                    <w:rStyle w:val="katex-mathml"/>
                    <w:rFonts w:ascii="Cambria Math" w:hAnsi="Cambria Math"/>
                    <w:i/>
                    <w:sz w:val="20"/>
                    <w:szCs w:val="20"/>
                  </w:rPr>
                </m:ctrlPr>
              </m:accPr>
              <m:e>
                <m:r>
                  <w:rPr>
                    <w:rStyle w:val="katex-mathml"/>
                    <w:rFonts w:ascii="Cambria Math" w:hAnsi="Cambria Math"/>
                    <w:sz w:val="20"/>
                    <w:szCs w:val="20"/>
                  </w:rPr>
                  <m:t>y</m:t>
                </m:r>
              </m:e>
            </m:acc>
          </m:e>
          <m:sub>
            <m:r>
              <w:rPr>
                <w:rStyle w:val="katex-mathml"/>
                <w:rFonts w:ascii="Cambria Math" w:hAnsi="Cambria Math"/>
                <w:sz w:val="20"/>
                <w:szCs w:val="20"/>
              </w:rPr>
              <m:t>i</m:t>
            </m:r>
          </m:sub>
        </m:sSub>
      </m:oMath>
      <w:r w:rsidRPr="00341E0A">
        <w:rPr>
          <w:rStyle w:val="vlist-s"/>
          <w:sz w:val="20"/>
          <w:szCs w:val="20"/>
        </w:rPr>
        <w:t>​</w:t>
      </w:r>
      <w:r w:rsidRPr="00341E0A">
        <w:rPr>
          <w:sz w:val="20"/>
          <w:szCs w:val="20"/>
        </w:rPr>
        <w:t xml:space="preserve"> is the ground-truth label, and </w:t>
      </w:r>
      <m:oMath>
        <m:sSub>
          <m:sSubPr>
            <m:ctrlPr>
              <w:rPr>
                <w:rStyle w:val="katex-mathml"/>
                <w:rFonts w:ascii="Cambria Math" w:hAnsi="Cambria Math"/>
                <w:i/>
                <w:sz w:val="20"/>
                <w:szCs w:val="20"/>
              </w:rPr>
            </m:ctrlPr>
          </m:sSubPr>
          <m:e>
            <m:acc>
              <m:accPr>
                <m:ctrlPr>
                  <w:rPr>
                    <w:rStyle w:val="katex-mathml"/>
                    <w:rFonts w:ascii="Cambria Math" w:hAnsi="Cambria Math"/>
                    <w:i/>
                    <w:sz w:val="20"/>
                    <w:szCs w:val="20"/>
                  </w:rPr>
                </m:ctrlPr>
              </m:accPr>
              <m:e>
                <m:r>
                  <w:rPr>
                    <w:rStyle w:val="katex-mathml"/>
                    <w:rFonts w:ascii="Cambria Math" w:hAnsi="Cambria Math"/>
                    <w:sz w:val="20"/>
                    <w:szCs w:val="20"/>
                  </w:rPr>
                  <m:t>y</m:t>
                </m:r>
              </m:e>
            </m:acc>
          </m:e>
          <m:sub>
            <m:r>
              <w:rPr>
                <w:rStyle w:val="katex-mathml"/>
                <w:rFonts w:ascii="Cambria Math" w:hAnsi="Cambria Math"/>
                <w:sz w:val="20"/>
                <w:szCs w:val="20"/>
              </w:rPr>
              <m:t>i</m:t>
            </m:r>
          </m:sub>
        </m:sSub>
      </m:oMath>
      <w:r w:rsidRPr="00341E0A">
        <w:rPr>
          <w:rStyle w:val="vlist-s"/>
          <w:sz w:val="20"/>
          <w:szCs w:val="20"/>
        </w:rPr>
        <w:t>​</w:t>
      </w:r>
      <w:r w:rsidRPr="00341E0A">
        <w:rPr>
          <w:sz w:val="20"/>
          <w:szCs w:val="20"/>
        </w:rPr>
        <w:t xml:space="preserve"> is the predicted probability.</w:t>
      </w:r>
    </w:p>
    <w:p w14:paraId="4AC68130" w14:textId="77777777" w:rsidR="006F6D3D" w:rsidRPr="00430D5C" w:rsidRDefault="006F6D3D" w:rsidP="00391559">
      <w:pPr>
        <w:jc w:val="both"/>
        <w:rPr>
          <w:i/>
          <w:iCs/>
          <w:noProof/>
          <w:color w:val="000000" w:themeColor="text1"/>
        </w:rPr>
      </w:pPr>
    </w:p>
    <w:p w14:paraId="3C56E4E8" w14:textId="20BBE8BF" w:rsidR="009303D9" w:rsidRDefault="009E3F14" w:rsidP="009E3F14">
      <w:pPr>
        <w:pStyle w:val="Heading1"/>
      </w:pPr>
      <w:r>
        <w:t>Result and Experiments</w:t>
      </w:r>
    </w:p>
    <w:p w14:paraId="212BEB98" w14:textId="77777777" w:rsidR="00584FA2" w:rsidRPr="00584FA2" w:rsidRDefault="00584FA2" w:rsidP="00584FA2"/>
    <w:p w14:paraId="7A3194D9" w14:textId="77777777" w:rsidR="00584FA2" w:rsidRPr="00584FA2" w:rsidRDefault="00584FA2" w:rsidP="00755EF7">
      <w:pPr>
        <w:pStyle w:val="Heading2"/>
        <w:ind w:start="85.50pt"/>
      </w:pPr>
      <w:r w:rsidRPr="00584FA2">
        <w:t>Experimental Setup</w:t>
      </w:r>
    </w:p>
    <w:p w14:paraId="54225385" w14:textId="77777777" w:rsidR="000E4484" w:rsidRPr="000E4484" w:rsidRDefault="000E4484" w:rsidP="000E4484">
      <w:pPr>
        <w:pStyle w:val="NormalWeb"/>
        <w:jc w:val="both"/>
        <w:rPr>
          <w:sz w:val="20"/>
          <w:szCs w:val="20"/>
        </w:rPr>
      </w:pPr>
      <w:r w:rsidRPr="000E4484">
        <w:rPr>
          <w:sz w:val="20"/>
          <w:szCs w:val="20"/>
        </w:rPr>
        <w:t xml:space="preserve">All experiments were conducted using the NinaPro Database 2 (DB2), which contains surface electromyography (sEMG) recordings from 40 subjects, each performing 49 hand and wrist gestures. A subject-dependent evaluation protocol was adopted, where each subject’s data were partitioned into </w:t>
      </w:r>
      <w:r w:rsidRPr="000E4484">
        <w:rPr>
          <w:sz w:val="20"/>
          <w:szCs w:val="20"/>
        </w:rPr>
        <w:lastRenderedPageBreak/>
        <w:t>training, validation, and test sets based on repetition indices to ensure temporal separation between training and testing samples. Specifically, repetitions 1–4 were used for training, repetition 5 for validation, and repetition 6 for testing.</w:t>
      </w:r>
    </w:p>
    <w:p w14:paraId="23F1B29F" w14:textId="29A303A6" w:rsidR="00584FA2" w:rsidRDefault="000E4484" w:rsidP="000E4484">
      <w:pPr>
        <w:pStyle w:val="NormalWeb"/>
        <w:spacing w:before="0pt" w:beforeAutospacing="0" w:after="0pt" w:afterAutospacing="0"/>
        <w:jc w:val="both"/>
      </w:pPr>
      <w:r w:rsidRPr="000E4484">
        <w:rPr>
          <w:sz w:val="20"/>
          <w:szCs w:val="20"/>
        </w:rPr>
        <w:t xml:space="preserve">To account for inter-subject variability in muscle activation patterns, the proposed attention-based BiLSTM model was trained independently for each subject. Model optimization was performed using the </w:t>
      </w:r>
      <w:proofErr w:type="spellStart"/>
      <w:r w:rsidRPr="000E4484">
        <w:rPr>
          <w:sz w:val="20"/>
          <w:szCs w:val="20"/>
        </w:rPr>
        <w:t>AdamW</w:t>
      </w:r>
      <w:proofErr w:type="spellEnd"/>
      <w:r w:rsidRPr="000E4484">
        <w:rPr>
          <w:sz w:val="20"/>
          <w:szCs w:val="20"/>
        </w:rPr>
        <w:t xml:space="preserve"> optimizer, with early stopping applied based on validation accuracy to mitigate overfitting. Performance was evaluated using classification accuracy, weighted precision, weighted recall, and weighted F1-score, which are standard metrics for multi-class sEMG-based gesture recognition.</w:t>
      </w:r>
    </w:p>
    <w:p w14:paraId="71F36022" w14:textId="496C096C" w:rsidR="00584FA2" w:rsidRPr="00584FA2" w:rsidRDefault="00584FA2" w:rsidP="00755EF7">
      <w:pPr>
        <w:pStyle w:val="Heading2"/>
        <w:ind w:start="0pt"/>
        <w:jc w:val="center"/>
      </w:pPr>
      <w:r w:rsidRPr="00584FA2">
        <w:t>Subject-Wise Classification Performance</w:t>
      </w:r>
    </w:p>
    <w:p w14:paraId="50D7DCF4" w14:textId="574F98DB" w:rsidR="00584FA2" w:rsidRDefault="00584FA2" w:rsidP="00584FA2">
      <w:pPr>
        <w:pStyle w:val="NormalWeb"/>
        <w:spacing w:before="0pt" w:beforeAutospacing="0"/>
        <w:jc w:val="both"/>
        <w:rPr>
          <w:sz w:val="20"/>
          <w:szCs w:val="20"/>
        </w:rPr>
      </w:pPr>
      <w:r w:rsidRPr="00584FA2">
        <w:rPr>
          <w:sz w:val="20"/>
          <w:szCs w:val="20"/>
        </w:rPr>
        <w:t>Figure</w:t>
      </w:r>
      <w:r w:rsidR="000E4484">
        <w:rPr>
          <w:sz w:val="20"/>
          <w:szCs w:val="20"/>
        </w:rPr>
        <w:t xml:space="preserve"> 6</w:t>
      </w:r>
      <w:r w:rsidRPr="00584FA2">
        <w:rPr>
          <w:sz w:val="20"/>
          <w:szCs w:val="20"/>
        </w:rPr>
        <w:t xml:space="preserve"> </w:t>
      </w:r>
      <w:r w:rsidRPr="000E4484">
        <w:rPr>
          <w:rStyle w:val="Strong"/>
          <w:b w:val="0"/>
          <w:sz w:val="20"/>
          <w:szCs w:val="20"/>
        </w:rPr>
        <w:t>(Accuracy per Subject)</w:t>
      </w:r>
      <w:r w:rsidRPr="000E4484">
        <w:rPr>
          <w:b/>
          <w:sz w:val="20"/>
          <w:szCs w:val="20"/>
        </w:rPr>
        <w:t xml:space="preserve"> </w:t>
      </w:r>
      <w:r w:rsidRPr="000E4484">
        <w:rPr>
          <w:sz w:val="20"/>
          <w:szCs w:val="20"/>
        </w:rPr>
        <w:t>illustrates the</w:t>
      </w:r>
      <w:r w:rsidRPr="000E4484">
        <w:rPr>
          <w:b/>
          <w:sz w:val="20"/>
          <w:szCs w:val="20"/>
        </w:rPr>
        <w:t xml:space="preserve"> </w:t>
      </w:r>
      <w:r w:rsidRPr="000E4484">
        <w:rPr>
          <w:rStyle w:val="Strong"/>
          <w:b w:val="0"/>
          <w:sz w:val="20"/>
          <w:szCs w:val="20"/>
        </w:rPr>
        <w:t>gesture classification accuracy obtained for each of the 40</w:t>
      </w:r>
      <w:r w:rsidRPr="00584FA2">
        <w:rPr>
          <w:rStyle w:val="Strong"/>
          <w:sz w:val="20"/>
          <w:szCs w:val="20"/>
        </w:rPr>
        <w:t xml:space="preserve"> </w:t>
      </w:r>
      <w:r w:rsidRPr="000E4484">
        <w:rPr>
          <w:rStyle w:val="Strong"/>
          <w:b w:val="0"/>
          <w:sz w:val="20"/>
          <w:szCs w:val="20"/>
        </w:rPr>
        <w:t>subjects</w:t>
      </w:r>
      <w:r w:rsidRPr="00584FA2">
        <w:rPr>
          <w:sz w:val="20"/>
          <w:szCs w:val="20"/>
        </w:rPr>
        <w:t>. The results demonstrate noticeable inter-subject variability, which is a well-known characteristic of sEMG-based systems due to differences in muscle physiology, electrode placement, and signal quality.</w:t>
      </w:r>
    </w:p>
    <w:p w14:paraId="4DD5F16C" w14:textId="77777777" w:rsidR="00584FA2" w:rsidRPr="00584FA2" w:rsidRDefault="00584FA2" w:rsidP="00584FA2">
      <w:pPr>
        <w:pStyle w:val="NormalWeb"/>
        <w:jc w:val="both"/>
        <w:rPr>
          <w:sz w:val="20"/>
          <w:szCs w:val="20"/>
        </w:rPr>
      </w:pPr>
      <w:r w:rsidRPr="00584FA2">
        <w:rPr>
          <w:sz w:val="20"/>
          <w:szCs w:val="20"/>
        </w:rPr>
        <w:t xml:space="preserve">Several subjects (e.g., DB2_s1, DB2_s40, DB2_s55, DB2_s58) achieved accuracies above </w:t>
      </w:r>
      <w:r w:rsidRPr="00584FA2">
        <w:rPr>
          <w:rStyle w:val="Strong"/>
          <w:sz w:val="20"/>
          <w:szCs w:val="20"/>
        </w:rPr>
        <w:t>75%</w:t>
      </w:r>
      <w:r w:rsidRPr="00584FA2">
        <w:rPr>
          <w:sz w:val="20"/>
          <w:szCs w:val="20"/>
        </w:rPr>
        <w:t xml:space="preserve">, with the highest accuracy exceeding </w:t>
      </w:r>
      <w:r w:rsidRPr="00584FA2">
        <w:rPr>
          <w:rStyle w:val="Strong"/>
          <w:sz w:val="20"/>
          <w:szCs w:val="20"/>
        </w:rPr>
        <w:t>80%</w:t>
      </w:r>
      <w:r w:rsidRPr="00584FA2">
        <w:rPr>
          <w:sz w:val="20"/>
          <w:szCs w:val="20"/>
        </w:rPr>
        <w:t xml:space="preserve">, indicating that the proposed model is capable of learning highly discriminative temporal patterns from sEMG signals. Conversely, a small number of subjects exhibited lower accuracies (around </w:t>
      </w:r>
      <w:r w:rsidRPr="00584FA2">
        <w:rPr>
          <w:rStyle w:val="Strong"/>
          <w:sz w:val="20"/>
          <w:szCs w:val="20"/>
        </w:rPr>
        <w:t>55–60%</w:t>
      </w:r>
      <w:r w:rsidRPr="00584FA2">
        <w:rPr>
          <w:sz w:val="20"/>
          <w:szCs w:val="20"/>
        </w:rPr>
        <w:t>), which can be attributed to noisy signal acquisition, weaker muscle contractions, or higher intra-class variability.</w:t>
      </w:r>
    </w:p>
    <w:p w14:paraId="239B9F84" w14:textId="55F2D996" w:rsidR="00584FA2" w:rsidRDefault="00584FA2" w:rsidP="00584FA2">
      <w:pPr>
        <w:pStyle w:val="NormalWeb"/>
        <w:jc w:val="both"/>
        <w:rPr>
          <w:sz w:val="20"/>
          <w:szCs w:val="20"/>
        </w:rPr>
      </w:pPr>
      <w:r w:rsidRPr="00584FA2">
        <w:rPr>
          <w:sz w:val="20"/>
          <w:szCs w:val="20"/>
        </w:rPr>
        <w:t xml:space="preserve">These results highlight </w:t>
      </w:r>
      <w:r w:rsidRPr="000E4484">
        <w:rPr>
          <w:sz w:val="20"/>
          <w:szCs w:val="20"/>
        </w:rPr>
        <w:t>the</w:t>
      </w:r>
      <w:r w:rsidRPr="000E4484">
        <w:rPr>
          <w:b/>
          <w:sz w:val="20"/>
          <w:szCs w:val="20"/>
        </w:rPr>
        <w:t xml:space="preserve"> </w:t>
      </w:r>
      <w:r w:rsidRPr="000E4484">
        <w:rPr>
          <w:rStyle w:val="Strong"/>
          <w:b w:val="0"/>
          <w:sz w:val="20"/>
          <w:szCs w:val="20"/>
        </w:rPr>
        <w:t>realistic and challenging nature of subject-specific sEMG gesture classification</w:t>
      </w:r>
      <w:r w:rsidRPr="00584FA2">
        <w:rPr>
          <w:sz w:val="20"/>
          <w:szCs w:val="20"/>
        </w:rPr>
        <w:t>, where perfect performance across all users is rarely attainable without subject adaptation or calibration.</w:t>
      </w:r>
    </w:p>
    <w:p w14:paraId="60923146" w14:textId="3CAC663A" w:rsidR="00584FA2" w:rsidRPr="00584FA2" w:rsidRDefault="00584FA2" w:rsidP="00755EF7">
      <w:pPr>
        <w:pStyle w:val="Heading2"/>
        <w:tabs>
          <w:tab w:val="clear" w:pos="130.50pt"/>
          <w:tab w:val="num" w:pos="112.50pt"/>
        </w:tabs>
        <w:ind w:start="22.50pt"/>
        <w:jc w:val="center"/>
      </w:pPr>
      <w:r w:rsidRPr="00584FA2">
        <w:t>Distribution of Accuracy Across Subjects</w:t>
      </w:r>
    </w:p>
    <w:p w14:paraId="1828F663" w14:textId="4C22007C" w:rsidR="00AB1B37" w:rsidRPr="00AB1B37" w:rsidRDefault="000E4484" w:rsidP="00AB1B37">
      <w:pPr>
        <w:pStyle w:val="NormalWeb"/>
        <w:jc w:val="both"/>
        <w:rPr>
          <w:sz w:val="20"/>
          <w:szCs w:val="20"/>
        </w:rPr>
      </w:pPr>
      <w:r w:rsidRPr="000E4484">
        <w:rPr>
          <w:sz w:val="20"/>
          <w:szCs w:val="20"/>
        </w:rPr>
        <w:t>To further assess the robustness of the proposed approach, the distribution of classification accuracy across all subjects is illustrated using a histogram</w:t>
      </w:r>
      <w:r w:rsidR="00AB1B37" w:rsidRPr="00AB1B37">
        <w:rPr>
          <w:sz w:val="20"/>
          <w:szCs w:val="20"/>
        </w:rPr>
        <w:t>.</w:t>
      </w:r>
    </w:p>
    <w:p w14:paraId="2D11EA2B" w14:textId="77777777" w:rsidR="0086229C" w:rsidRDefault="0086229C" w:rsidP="0086229C">
      <w:pPr>
        <w:pStyle w:val="NormalWeb"/>
        <w:keepNext/>
        <w:jc w:val="both"/>
      </w:pPr>
      <w:r>
        <w:rPr>
          <w:noProof/>
          <w:sz w:val="20"/>
          <w:szCs w:val="20"/>
        </w:rPr>
        <w:drawing>
          <wp:inline distT="0" distB="0" distL="0" distR="0" wp14:anchorId="71C19927" wp14:editId="2CEFBBC7">
            <wp:extent cx="3089910" cy="1287780"/>
            <wp:effectExtent l="0" t="0" r="0" b="7620"/>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fig5_accuracy_per_subjec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1287780"/>
                    </a:xfrm>
                    <a:prstGeom prst="rect">
                      <a:avLst/>
                    </a:prstGeom>
                  </pic:spPr>
                </pic:pic>
              </a:graphicData>
            </a:graphic>
          </wp:inline>
        </w:drawing>
      </w:r>
    </w:p>
    <w:p w14:paraId="13117F34" w14:textId="1679672F" w:rsidR="00423858" w:rsidRPr="00777DBB" w:rsidRDefault="0086229C" w:rsidP="00777DBB">
      <w:pPr>
        <w:pStyle w:val="Caption"/>
        <w:rPr>
          <w:rStyle w:val="Strong"/>
          <w:b w:val="0"/>
          <w:bCs w:val="0"/>
          <w:sz w:val="20"/>
          <w:szCs w:val="20"/>
        </w:rPr>
      </w:pPr>
      <w:r>
        <w:t xml:space="preserve">Figure </w:t>
      </w:r>
      <w:r w:rsidR="00006F76">
        <w:rPr>
          <w:noProof/>
        </w:rPr>
        <w:fldChar w:fldCharType="begin"/>
      </w:r>
      <w:r w:rsidR="00006F76">
        <w:rPr>
          <w:noProof/>
        </w:rPr>
        <w:instrText xml:space="preserve"> SEQ Figure \* ARABIC </w:instrText>
      </w:r>
      <w:r w:rsidR="00006F76">
        <w:rPr>
          <w:noProof/>
        </w:rPr>
        <w:fldChar w:fldCharType="separate"/>
      </w:r>
      <w:r w:rsidR="004465CF">
        <w:rPr>
          <w:noProof/>
        </w:rPr>
        <w:t>6</w:t>
      </w:r>
      <w:r w:rsidR="00006F76">
        <w:rPr>
          <w:noProof/>
        </w:rPr>
        <w:fldChar w:fldCharType="end"/>
      </w:r>
      <w:r>
        <w:t>-Accuracy achieved for each subject across the NinaPro Dataset</w:t>
      </w:r>
    </w:p>
    <w:p w14:paraId="6B5D57BC" w14:textId="07C01201" w:rsidR="00AB1B37" w:rsidRPr="000E4484" w:rsidRDefault="000E4484" w:rsidP="00AB1B37">
      <w:pPr>
        <w:pStyle w:val="NormalWeb"/>
        <w:jc w:val="both"/>
        <w:rPr>
          <w:sz w:val="20"/>
        </w:rPr>
      </w:pPr>
      <w:r w:rsidRPr="000E4484">
        <w:rPr>
          <w:sz w:val="20"/>
        </w:rPr>
        <w:t>The results indicate that most subjects achieve accuracies in the range of 60%–75%, with a smaller subset exceeding 80%. This distribution suggests a relatively consistent performance across subjects and indicates that the proposed attention-</w:t>
      </w:r>
      <w:r w:rsidRPr="000E4484">
        <w:rPr>
          <w:sz w:val="20"/>
        </w:rPr>
        <w:t>based BiLSTM does not rely on high accuracy from a limited number of individuals.</w:t>
      </w:r>
    </w:p>
    <w:p w14:paraId="420A8381" w14:textId="7DAD49D3" w:rsidR="00423858" w:rsidRPr="00423858" w:rsidRDefault="00423858" w:rsidP="00755EF7">
      <w:pPr>
        <w:pStyle w:val="Heading2"/>
        <w:ind w:start="18pt" w:hanging="13.50pt"/>
        <w:jc w:val="center"/>
      </w:pPr>
      <w:r w:rsidRPr="00423858">
        <w:t>Discussion of Attention Mechanism Effectiveness</w:t>
      </w:r>
    </w:p>
    <w:p w14:paraId="75208628" w14:textId="7F28D257" w:rsidR="0086229C" w:rsidRDefault="000E4484" w:rsidP="0086229C">
      <w:pPr>
        <w:pStyle w:val="NormalWeb"/>
        <w:keepNext/>
        <w:jc w:val="both"/>
      </w:pPr>
      <w:r w:rsidRPr="000E4484">
        <w:rPr>
          <w:sz w:val="20"/>
          <w:szCs w:val="20"/>
        </w:rPr>
        <w:t>The incorporation of an attention mechanism into the BiLSTM architecture allows the model to assign higher importance to informative temporal segments within each sEMG window. This is particularly advantageous for gesture recognition, where discriminative muscle activation patterns may occur only during short time intervals. As indicated by the attention weight visualizations, the model places greater emphasis on time steps associated with active muscle contractions while attenuating redundant or low-information segments. This selective focus supports improved generalization, especially for gestures with subtle inter-class differences.</w:t>
      </w:r>
      <w:r w:rsidR="0086229C">
        <w:rPr>
          <w:noProof/>
          <w:sz w:val="20"/>
          <w:szCs w:val="20"/>
        </w:rPr>
        <w:drawing>
          <wp:inline distT="0" distB="0" distL="0" distR="0" wp14:anchorId="7B9B05E4" wp14:editId="6F4151AE">
            <wp:extent cx="3089910" cy="2317750"/>
            <wp:effectExtent l="0" t="0" r="0" b="6350"/>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 name="fig6_confusion_matrix.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2317750"/>
                    </a:xfrm>
                    <a:prstGeom prst="rect">
                      <a:avLst/>
                    </a:prstGeom>
                  </pic:spPr>
                </pic:pic>
              </a:graphicData>
            </a:graphic>
          </wp:inline>
        </w:drawing>
      </w:r>
    </w:p>
    <w:p w14:paraId="0CAFDC0E" w14:textId="5DD535A4" w:rsidR="0086229C" w:rsidRDefault="0086229C" w:rsidP="0086229C">
      <w:pPr>
        <w:pStyle w:val="Caption"/>
        <w:jc w:val="both"/>
      </w:pPr>
      <w:r>
        <w:t xml:space="preserve">Figure </w:t>
      </w:r>
      <w:r w:rsidR="00006F76">
        <w:rPr>
          <w:noProof/>
        </w:rPr>
        <w:fldChar w:fldCharType="begin"/>
      </w:r>
      <w:r w:rsidR="00006F76">
        <w:rPr>
          <w:noProof/>
        </w:rPr>
        <w:instrText xml:space="preserve"> SEQ Figure \* ARABIC </w:instrText>
      </w:r>
      <w:r w:rsidR="00006F76">
        <w:rPr>
          <w:noProof/>
        </w:rPr>
        <w:fldChar w:fldCharType="separate"/>
      </w:r>
      <w:r w:rsidR="004465CF">
        <w:rPr>
          <w:noProof/>
        </w:rPr>
        <w:t>7</w:t>
      </w:r>
      <w:r w:rsidR="00006F76">
        <w:rPr>
          <w:noProof/>
        </w:rPr>
        <w:fldChar w:fldCharType="end"/>
      </w:r>
      <w:r>
        <w:t>-Confusion matrix that shows performance across subjects</w:t>
      </w:r>
    </w:p>
    <w:p w14:paraId="02F8E95F" w14:textId="77777777" w:rsidR="004465CF" w:rsidRDefault="004465CF" w:rsidP="004465CF">
      <w:pPr>
        <w:keepNext/>
      </w:pPr>
      <w:r>
        <w:rPr>
          <w:noProof/>
        </w:rPr>
        <w:drawing>
          <wp:inline distT="0" distB="0" distL="0" distR="0" wp14:anchorId="44CB61C5" wp14:editId="2E5DDAAA">
            <wp:extent cx="3089910" cy="1802765"/>
            <wp:effectExtent l="0" t="0" r="0" b="6985"/>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fig7_prediction_exampl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1802765"/>
                    </a:xfrm>
                    <a:prstGeom prst="rect">
                      <a:avLst/>
                    </a:prstGeom>
                  </pic:spPr>
                </pic:pic>
              </a:graphicData>
            </a:graphic>
          </wp:inline>
        </w:drawing>
      </w:r>
    </w:p>
    <w:p w14:paraId="1DDD4C1A" w14:textId="6F7BFD17" w:rsidR="004465CF" w:rsidRDefault="004465CF" w:rsidP="004465CF">
      <w:pPr>
        <w:pStyle w:val="Caption"/>
      </w:pPr>
      <w:r>
        <w:t xml:space="preserve">Figure </w:t>
      </w:r>
      <w:r w:rsidR="00006F76">
        <w:rPr>
          <w:noProof/>
        </w:rPr>
        <w:fldChar w:fldCharType="begin"/>
      </w:r>
      <w:r w:rsidR="00006F76">
        <w:rPr>
          <w:noProof/>
        </w:rPr>
        <w:instrText xml:space="preserve"> SEQ Figure \* ARABIC </w:instrText>
      </w:r>
      <w:r w:rsidR="00006F76">
        <w:rPr>
          <w:noProof/>
        </w:rPr>
        <w:fldChar w:fldCharType="separate"/>
      </w:r>
      <w:r>
        <w:rPr>
          <w:noProof/>
        </w:rPr>
        <w:t>8</w:t>
      </w:r>
      <w:r w:rsidR="00006F76">
        <w:rPr>
          <w:noProof/>
        </w:rPr>
        <w:fldChar w:fldCharType="end"/>
      </w:r>
      <w:r>
        <w:t>-</w:t>
      </w:r>
      <w:r w:rsidRPr="00997F90">
        <w:t>gesture prediction and attention-based interpretability for DB2_s1</w:t>
      </w:r>
    </w:p>
    <w:p w14:paraId="02A94469" w14:textId="0287E7F7" w:rsidR="00777DBB" w:rsidRPr="00777DBB" w:rsidRDefault="00777DBB" w:rsidP="00777DBB">
      <w:pPr>
        <w:jc w:val="both"/>
      </w:pPr>
      <w:r>
        <w:t>Though Figure 8, illustrates a representative sEMG window and the corresponding attention distribution used by the proposed model to make a prediction. While individual windows may be misclassified, the example highlights how the attention mechanism focuses on discriminative temporal regions that influence the final decision.</w:t>
      </w:r>
    </w:p>
    <w:p w14:paraId="3BB39587" w14:textId="56289F81" w:rsidR="00777DBB" w:rsidRPr="00777DBB" w:rsidRDefault="00423858" w:rsidP="00777DBB">
      <w:pPr>
        <w:pStyle w:val="Heading2"/>
        <w:tabs>
          <w:tab w:val="start" w:pos="27pt"/>
        </w:tabs>
        <w:ind w:start="31.50pt" w:hanging="13.50pt"/>
        <w:jc w:val="center"/>
      </w:pPr>
      <w:r w:rsidRPr="00423858">
        <w:t>Comparative and Practical Analysis</w:t>
      </w:r>
    </w:p>
    <w:p w14:paraId="5B704136" w14:textId="6DC93C1A" w:rsidR="00423858" w:rsidRDefault="000E4484" w:rsidP="00423858">
      <w:pPr>
        <w:pStyle w:val="NormalWeb"/>
        <w:jc w:val="both"/>
        <w:rPr>
          <w:sz w:val="20"/>
          <w:szCs w:val="20"/>
        </w:rPr>
      </w:pPr>
      <w:r w:rsidRPr="000E4484">
        <w:rPr>
          <w:sz w:val="20"/>
          <w:szCs w:val="20"/>
        </w:rPr>
        <w:t xml:space="preserve">Although higher classification accuracies have been reported in prior studies, many of these results are obtained under </w:t>
      </w:r>
      <w:r w:rsidRPr="000E4484">
        <w:rPr>
          <w:sz w:val="20"/>
          <w:szCs w:val="20"/>
        </w:rPr>
        <w:lastRenderedPageBreak/>
        <w:t>reduced gesture sets, subset-based evaluations, or highly controlled experimental conditions. In contrast, the present study evaluates all 49 gestures across 40 subjects, resulting in a substantially more challenging and practically relevant setting. Within this context, the proposed framework demonstrates a balanced trade-off between model complexity, computational efficiency, and classification performance, indicating its potential suitability for real-time human–machine interaction and assistive technology applications.</w:t>
      </w:r>
    </w:p>
    <w:p w14:paraId="7F5562AE" w14:textId="7549CE1C" w:rsidR="00423858" w:rsidRDefault="00423858" w:rsidP="00423858">
      <w:pPr>
        <w:pStyle w:val="Heading1"/>
      </w:pPr>
      <w:r>
        <w:t>CONCLUSIONS AND FUTURE WORKS</w:t>
      </w:r>
    </w:p>
    <w:p w14:paraId="67664B9A" w14:textId="79743D2E" w:rsidR="008147B5" w:rsidRDefault="00A30DB9" w:rsidP="00A30DB9">
      <w:pPr>
        <w:pStyle w:val="NormalWeb"/>
        <w:jc w:val="both"/>
      </w:pPr>
      <w:r w:rsidRPr="00A30DB9">
        <w:rPr>
          <w:sz w:val="20"/>
          <w:szCs w:val="20"/>
        </w:rPr>
        <w:t>This study presented an attention-based BiLSTM framework for surface electromyography (sEMG)–based hand gesture recognition using the NinaPro DB2 dataset. By combining robust signal preprocessing, discriminative time–frequency feature extraction, and an attention mechanism that emphasizes salient temporal segments, the proposed model demonstrated consistent performance across all 40 subjects. Experimental results indicate that the framework generalizes reasonably well to inter-subject variability, achieving competitive subject-wise accuracies and stable weighted performance metrics.</w:t>
      </w:r>
      <w:r>
        <w:rPr>
          <w:sz w:val="20"/>
          <w:szCs w:val="20"/>
        </w:rPr>
        <w:t xml:space="preserve"> </w:t>
      </w:r>
      <w:r w:rsidRPr="00A30DB9">
        <w:rPr>
          <w:sz w:val="20"/>
          <w:szCs w:val="20"/>
        </w:rPr>
        <w:t>While the results do not surpass all state-of-the-art deep learning methods that rely on larger models or cross-subject fine-tuning, the approach offers a balanced trade-off between accuracy, computational efficiency, and interpretability. The attention mechanism provides additional insight into the temporal importance of muscle activations, enhancing the explainability of the model for biomedical applications.</w:t>
      </w:r>
      <w:r>
        <w:rPr>
          <w:sz w:val="20"/>
          <w:szCs w:val="20"/>
        </w:rPr>
        <w:t xml:space="preserve"> </w:t>
      </w:r>
      <w:r w:rsidRPr="00A30DB9">
        <w:rPr>
          <w:sz w:val="20"/>
          <w:szCs w:val="20"/>
        </w:rPr>
        <w:t>Future work will focus on improving generalization through advanced domain adaptation and subject-invariant learning strategies, such as transfer learning and self-supervised pretraining on large-scale sEMG datasets. Incorporating convolutional temporal encoders or transformer-based architectures may further improve long-range dependency modeling. Real-time deployment aspects, including latency optimization and evaluation on embedded hardware, will be explored to support practical applications in prosthetic control and human–computer interaction. Additionally, extending the framework to cross-dataset validation and multi-modal bio</w:t>
      </w:r>
      <w:r>
        <w:rPr>
          <w:sz w:val="20"/>
          <w:szCs w:val="20"/>
        </w:rPr>
        <w:t>-</w:t>
      </w:r>
      <w:r w:rsidRPr="00A30DB9">
        <w:rPr>
          <w:sz w:val="20"/>
          <w:szCs w:val="20"/>
        </w:rPr>
        <w:t>signal fusion represents a promising direction for enhancing robustness in real-world clinical and assistive scenarios</w:t>
      </w:r>
      <w:r w:rsidR="00FD03A0">
        <w:t>.</w:t>
      </w:r>
    </w:p>
    <w:p w14:paraId="1CD2F9D7" w14:textId="77777777" w:rsidR="00836367" w:rsidRDefault="00836367" w:rsidP="00391559">
      <w:pPr>
        <w:pStyle w:val="references"/>
        <w:numPr>
          <w:ilvl w:val="0"/>
          <w:numId w:val="0"/>
        </w:numPr>
        <w:spacing w:line="12pt" w:lineRule="auto"/>
        <w:ind w:start="18pt" w:hanging="18pt"/>
        <w:rPr>
          <w:rFonts w:eastAsia="SimSun"/>
          <w:b/>
          <w:noProof w:val="0"/>
          <w:color w:val="000000" w:themeColor="text1"/>
          <w:spacing w:val="-1"/>
          <w:sz w:val="20"/>
          <w:szCs w:val="20"/>
          <w:lang w:val="x-none" w:eastAsia="x-none"/>
        </w:rPr>
      </w:pPr>
    </w:p>
    <w:p w14:paraId="5215ABAD" w14:textId="77777777" w:rsidR="004B0BBD" w:rsidRDefault="004B0BBD" w:rsidP="00391559">
      <w:pPr>
        <w:pStyle w:val="references"/>
        <w:numPr>
          <w:ilvl w:val="0"/>
          <w:numId w:val="0"/>
        </w:numPr>
        <w:spacing w:line="12pt" w:lineRule="auto"/>
        <w:ind w:start="18pt" w:hanging="18pt"/>
        <w:rPr>
          <w:rFonts w:eastAsia="SimSun"/>
          <w:b/>
          <w:noProof w:val="0"/>
          <w:color w:val="000000" w:themeColor="text1"/>
          <w:spacing w:val="-1"/>
          <w:sz w:val="20"/>
          <w:szCs w:val="20"/>
          <w:lang w:val="x-none" w:eastAsia="x-none"/>
        </w:rPr>
      </w:pPr>
    </w:p>
    <w:p w14:paraId="262EF3AC" w14:textId="77777777" w:rsidR="004B0BBD" w:rsidRDefault="004B0BBD" w:rsidP="004B0BBD">
      <w:pPr>
        <w:pStyle w:val="Heading1"/>
      </w:pPr>
      <w:r>
        <w:t>References</w:t>
      </w:r>
    </w:p>
    <w:bookmarkEnd w:id="0"/>
    <w:p w14:paraId="22316898" w14:textId="407CD8D9" w:rsidR="00281B27" w:rsidRPr="00281B27" w:rsidRDefault="00D13F07" w:rsidP="00281B27">
      <w:pPr>
        <w:widowControl w:val="0"/>
        <w:autoSpaceDE w:val="0"/>
        <w:autoSpaceDN w:val="0"/>
        <w:adjustRightInd w:val="0"/>
        <w:ind w:start="32pt" w:hanging="32pt"/>
        <w:rPr>
          <w:noProof/>
          <w:szCs w:val="24"/>
        </w:rPr>
      </w:pPr>
      <w:r>
        <w:fldChar w:fldCharType="begin" w:fldLock="1"/>
      </w:r>
      <w:r>
        <w:instrText xml:space="preserve">ADDIN Mendeley Bibliography CSL_BIBLIOGRAPHY </w:instrText>
      </w:r>
      <w:r>
        <w:fldChar w:fldCharType="separate"/>
      </w:r>
      <w:r w:rsidR="00281B27" w:rsidRPr="00281B27">
        <w:rPr>
          <w:noProof/>
          <w:szCs w:val="24"/>
        </w:rPr>
        <w:t>[1]</w:t>
      </w:r>
      <w:r w:rsidR="00281B27" w:rsidRPr="00281B27">
        <w:rPr>
          <w:noProof/>
          <w:szCs w:val="24"/>
        </w:rPr>
        <w:tab/>
        <w:t xml:space="preserve">Z. Lu, X. Chen, Q. Li, X. Zhang, and P. Zhou, “A hand gesture recognition framework and wearable gesture-based interaction prototype for mobile </w:t>
      </w:r>
      <w:r w:rsidR="00281B27" w:rsidRPr="00281B27">
        <w:rPr>
          <w:noProof/>
          <w:szCs w:val="24"/>
        </w:rPr>
        <w:t xml:space="preserve">devices,” </w:t>
      </w:r>
      <w:r w:rsidR="00281B27" w:rsidRPr="00281B27">
        <w:rPr>
          <w:i/>
          <w:iCs/>
          <w:noProof/>
          <w:szCs w:val="24"/>
        </w:rPr>
        <w:t>IEEE Trans. Human-Machine Syst.</w:t>
      </w:r>
      <w:r w:rsidR="00281B27" w:rsidRPr="00281B27">
        <w:rPr>
          <w:noProof/>
          <w:szCs w:val="24"/>
        </w:rPr>
        <w:t>, vol. 44, no. 2, pp. 293–299, 2014, doi: 10.1109/THMS.2014.2302794.</w:t>
      </w:r>
    </w:p>
    <w:p w14:paraId="5C8653A0" w14:textId="77777777" w:rsidR="00281B27" w:rsidRPr="00281B27" w:rsidRDefault="00281B27" w:rsidP="00281B27">
      <w:pPr>
        <w:widowControl w:val="0"/>
        <w:autoSpaceDE w:val="0"/>
        <w:autoSpaceDN w:val="0"/>
        <w:adjustRightInd w:val="0"/>
        <w:ind w:start="32pt" w:hanging="32pt"/>
        <w:rPr>
          <w:noProof/>
          <w:szCs w:val="24"/>
        </w:rPr>
      </w:pPr>
      <w:r w:rsidRPr="00281B27">
        <w:rPr>
          <w:noProof/>
          <w:szCs w:val="24"/>
        </w:rPr>
        <w:t>[2]</w:t>
      </w:r>
      <w:r w:rsidRPr="00281B27">
        <w:rPr>
          <w:noProof/>
          <w:szCs w:val="24"/>
        </w:rPr>
        <w:tab/>
        <w:t xml:space="preserve">Z. Feng, Y. Wang, and L. Liu, “Muscle fatigue detection method based on feature extraction and deep learning,” </w:t>
      </w:r>
      <w:r w:rsidRPr="00281B27">
        <w:rPr>
          <w:i/>
          <w:iCs/>
          <w:noProof/>
          <w:szCs w:val="24"/>
        </w:rPr>
        <w:t>2022 7th Int. Conf. Intell. Comput. Signal Process. ICSP 2022</w:t>
      </w:r>
      <w:r w:rsidRPr="00281B27">
        <w:rPr>
          <w:noProof/>
          <w:szCs w:val="24"/>
        </w:rPr>
        <w:t>, pp. 97–100, 2022, doi: 10.1109/ICSP54964.2022.9778406.</w:t>
      </w:r>
    </w:p>
    <w:p w14:paraId="28431B1C" w14:textId="77777777" w:rsidR="00281B27" w:rsidRPr="00281B27" w:rsidRDefault="00281B27" w:rsidP="00281B27">
      <w:pPr>
        <w:widowControl w:val="0"/>
        <w:autoSpaceDE w:val="0"/>
        <w:autoSpaceDN w:val="0"/>
        <w:adjustRightInd w:val="0"/>
        <w:ind w:start="32pt" w:hanging="32pt"/>
        <w:rPr>
          <w:noProof/>
          <w:szCs w:val="24"/>
        </w:rPr>
      </w:pPr>
      <w:r w:rsidRPr="00281B27">
        <w:rPr>
          <w:noProof/>
          <w:szCs w:val="24"/>
        </w:rPr>
        <w:t>[3]</w:t>
      </w:r>
      <w:r w:rsidRPr="00281B27">
        <w:rPr>
          <w:noProof/>
          <w:szCs w:val="24"/>
        </w:rPr>
        <w:tab/>
        <w:t>“</w:t>
      </w:r>
      <w:r w:rsidRPr="00281B27">
        <w:rPr>
          <w:noProof/>
          <w:szCs w:val="24"/>
        </w:rPr>
        <w:t>陈</w:t>
      </w:r>
      <w:r w:rsidRPr="00281B27">
        <w:rPr>
          <w:noProof/>
          <w:szCs w:val="24"/>
        </w:rPr>
        <w:t xml:space="preserve"> </w:t>
      </w:r>
      <w:r w:rsidRPr="00281B27">
        <w:rPr>
          <w:noProof/>
          <w:szCs w:val="24"/>
        </w:rPr>
        <w:t>云</w:t>
      </w:r>
      <w:r w:rsidRPr="00281B27">
        <w:rPr>
          <w:noProof/>
          <w:szCs w:val="24"/>
        </w:rPr>
        <w:t xml:space="preserve"> 1,2 </w:t>
      </w:r>
      <w:r w:rsidRPr="00281B27">
        <w:rPr>
          <w:noProof/>
          <w:szCs w:val="24"/>
        </w:rPr>
        <w:t>，</w:t>
      </w:r>
      <w:r w:rsidRPr="00281B27">
        <w:rPr>
          <w:noProof/>
          <w:szCs w:val="24"/>
        </w:rPr>
        <w:t xml:space="preserve"> </w:t>
      </w:r>
      <w:r w:rsidRPr="00281B27">
        <w:rPr>
          <w:noProof/>
          <w:szCs w:val="24"/>
        </w:rPr>
        <w:t>杨晓雪</w:t>
      </w:r>
      <w:r w:rsidRPr="00281B27">
        <w:rPr>
          <w:noProof/>
          <w:szCs w:val="24"/>
        </w:rPr>
        <w:t xml:space="preserve"> 1,2,” no. 852, pp. 159–161, 2017.</w:t>
      </w:r>
    </w:p>
    <w:p w14:paraId="3173CFEC" w14:textId="77777777" w:rsidR="00281B27" w:rsidRPr="00281B27" w:rsidRDefault="00281B27" w:rsidP="00281B27">
      <w:pPr>
        <w:widowControl w:val="0"/>
        <w:autoSpaceDE w:val="0"/>
        <w:autoSpaceDN w:val="0"/>
        <w:adjustRightInd w:val="0"/>
        <w:ind w:start="32pt" w:hanging="32pt"/>
        <w:rPr>
          <w:noProof/>
          <w:szCs w:val="24"/>
        </w:rPr>
      </w:pPr>
      <w:r w:rsidRPr="00281B27">
        <w:rPr>
          <w:noProof/>
          <w:szCs w:val="24"/>
        </w:rPr>
        <w:t>[4]</w:t>
      </w:r>
      <w:r w:rsidRPr="00281B27">
        <w:rPr>
          <w:noProof/>
          <w:szCs w:val="24"/>
        </w:rPr>
        <w:tab/>
        <w:t xml:space="preserve">J. Xia </w:t>
      </w:r>
      <w:r w:rsidRPr="00281B27">
        <w:rPr>
          <w:i/>
          <w:iCs/>
          <w:noProof/>
          <w:szCs w:val="24"/>
        </w:rPr>
        <w:t>et al.</w:t>
      </w:r>
      <w:r w:rsidRPr="00281B27">
        <w:rPr>
          <w:noProof/>
          <w:szCs w:val="24"/>
        </w:rPr>
        <w:t xml:space="preserve">, “Assessment of Neuro-Musculo-Vascular Activity in Hemiplegic Shoulder Pain: A Multimodal Study with HD-sEMG, Ultrasonography, and Laser Speckle Imaging,” </w:t>
      </w:r>
      <w:r w:rsidRPr="00281B27">
        <w:rPr>
          <w:i/>
          <w:iCs/>
          <w:noProof/>
          <w:szCs w:val="24"/>
        </w:rPr>
        <w:t>IEEE Trans. Neural Syst. Rehabil. Eng.</w:t>
      </w:r>
      <w:r w:rsidRPr="00281B27">
        <w:rPr>
          <w:noProof/>
          <w:szCs w:val="24"/>
        </w:rPr>
        <w:t>, vol. 34, pp. 490–499, 2025, doi: 10.1109/TNSRE.2025.3636606.</w:t>
      </w:r>
    </w:p>
    <w:p w14:paraId="42FC66E7" w14:textId="77777777" w:rsidR="00281B27" w:rsidRPr="00281B27" w:rsidRDefault="00281B27" w:rsidP="00281B27">
      <w:pPr>
        <w:widowControl w:val="0"/>
        <w:autoSpaceDE w:val="0"/>
        <w:autoSpaceDN w:val="0"/>
        <w:adjustRightInd w:val="0"/>
        <w:ind w:start="32pt" w:hanging="32pt"/>
        <w:rPr>
          <w:noProof/>
          <w:szCs w:val="24"/>
        </w:rPr>
      </w:pPr>
      <w:r w:rsidRPr="00281B27">
        <w:rPr>
          <w:noProof/>
          <w:szCs w:val="24"/>
        </w:rPr>
        <w:t>[5]</w:t>
      </w:r>
      <w:r w:rsidRPr="00281B27">
        <w:rPr>
          <w:noProof/>
          <w:szCs w:val="24"/>
        </w:rPr>
        <w:tab/>
        <w:t xml:space="preserve">U. Chandra Sakinala and S. Abinaya, “Enhanced Detection of Hand Gestures From sEMG Signals Using Stacking Ensemble With Particle Swarm Optimization and Meta-Classifier,” </w:t>
      </w:r>
      <w:r w:rsidRPr="00281B27">
        <w:rPr>
          <w:i/>
          <w:iCs/>
          <w:noProof/>
          <w:szCs w:val="24"/>
        </w:rPr>
        <w:t>IEEE Access</w:t>
      </w:r>
      <w:r w:rsidRPr="00281B27">
        <w:rPr>
          <w:noProof/>
          <w:szCs w:val="24"/>
        </w:rPr>
        <w:t>, vol. 13, no. March, pp. 63611–63626, 2025, doi: 10.1109/ACCESS.2025.3559182.</w:t>
      </w:r>
    </w:p>
    <w:p w14:paraId="68048169" w14:textId="77777777" w:rsidR="00281B27" w:rsidRPr="00281B27" w:rsidRDefault="00281B27" w:rsidP="00281B27">
      <w:pPr>
        <w:widowControl w:val="0"/>
        <w:autoSpaceDE w:val="0"/>
        <w:autoSpaceDN w:val="0"/>
        <w:adjustRightInd w:val="0"/>
        <w:ind w:start="32pt" w:hanging="32pt"/>
        <w:rPr>
          <w:noProof/>
          <w:szCs w:val="24"/>
        </w:rPr>
      </w:pPr>
      <w:r w:rsidRPr="00281B27">
        <w:rPr>
          <w:noProof/>
          <w:szCs w:val="24"/>
        </w:rPr>
        <w:t>[6]</w:t>
      </w:r>
      <w:r w:rsidRPr="00281B27">
        <w:rPr>
          <w:noProof/>
          <w:szCs w:val="24"/>
        </w:rPr>
        <w:tab/>
        <w:t xml:space="preserve">S. Doostkam, R. Boostani, and Z. Azimifar, “ViEMGT: A Novel Transformer Architecture for Enhanced Hand Gesture Recognition From HD-sEMG in Individuals With Traumatic Brain Injury,” </w:t>
      </w:r>
      <w:r w:rsidRPr="00281B27">
        <w:rPr>
          <w:i/>
          <w:iCs/>
          <w:noProof/>
          <w:szCs w:val="24"/>
        </w:rPr>
        <w:t>IEEE Access</w:t>
      </w:r>
      <w:r w:rsidRPr="00281B27">
        <w:rPr>
          <w:noProof/>
          <w:szCs w:val="24"/>
        </w:rPr>
        <w:t>, vol. 13, no. September, pp. 171009–171024, 2025, doi: 10.1109/ACCESS.2025.3616066.</w:t>
      </w:r>
    </w:p>
    <w:p w14:paraId="0FE57CA7" w14:textId="77777777" w:rsidR="00281B27" w:rsidRPr="00281B27" w:rsidRDefault="00281B27" w:rsidP="00281B27">
      <w:pPr>
        <w:widowControl w:val="0"/>
        <w:autoSpaceDE w:val="0"/>
        <w:autoSpaceDN w:val="0"/>
        <w:adjustRightInd w:val="0"/>
        <w:ind w:start="32pt" w:hanging="32pt"/>
        <w:rPr>
          <w:noProof/>
          <w:szCs w:val="24"/>
        </w:rPr>
      </w:pPr>
      <w:r w:rsidRPr="00281B27">
        <w:rPr>
          <w:noProof/>
          <w:szCs w:val="24"/>
        </w:rPr>
        <w:t>[7]</w:t>
      </w:r>
      <w:r w:rsidRPr="00281B27">
        <w:rPr>
          <w:noProof/>
          <w:szCs w:val="24"/>
        </w:rPr>
        <w:tab/>
        <w:t xml:space="preserve">Y. Liu, R. Wang, Y. Li, and Y. Wang, “A Novel Dual-Model Adaptive Continuous Learning Strategy for Wrist-sEMG Real-Time Gesture Recognition,” </w:t>
      </w:r>
      <w:r w:rsidRPr="00281B27">
        <w:rPr>
          <w:i/>
          <w:iCs/>
          <w:noProof/>
          <w:szCs w:val="24"/>
        </w:rPr>
        <w:t>IEEE Trans. Neural Syst. Rehabil. Eng.</w:t>
      </w:r>
      <w:r w:rsidRPr="00281B27">
        <w:rPr>
          <w:noProof/>
          <w:szCs w:val="24"/>
        </w:rPr>
        <w:t>, vol. 32, pp. 4186–4196, 2024, doi: 10.1109/TNSRE.2024.3502624.</w:t>
      </w:r>
    </w:p>
    <w:p w14:paraId="71EBCE88" w14:textId="77777777" w:rsidR="00281B27" w:rsidRPr="00281B27" w:rsidRDefault="00281B27" w:rsidP="00281B27">
      <w:pPr>
        <w:widowControl w:val="0"/>
        <w:autoSpaceDE w:val="0"/>
        <w:autoSpaceDN w:val="0"/>
        <w:adjustRightInd w:val="0"/>
        <w:ind w:start="32pt" w:hanging="32pt"/>
        <w:rPr>
          <w:noProof/>
          <w:szCs w:val="24"/>
        </w:rPr>
      </w:pPr>
      <w:r w:rsidRPr="00281B27">
        <w:rPr>
          <w:noProof/>
          <w:szCs w:val="24"/>
        </w:rPr>
        <w:t>[8]</w:t>
      </w:r>
      <w:r w:rsidRPr="00281B27">
        <w:rPr>
          <w:noProof/>
          <w:szCs w:val="24"/>
        </w:rPr>
        <w:tab/>
        <w:t xml:space="preserve">P. N. Aarotale and A. Rattani, “Machine Learning-based sEMG Signal Classification for Hand Gesture Recognition,” </w:t>
      </w:r>
      <w:r w:rsidRPr="00281B27">
        <w:rPr>
          <w:i/>
          <w:iCs/>
          <w:noProof/>
          <w:szCs w:val="24"/>
        </w:rPr>
        <w:t>Proc. - 2024 IEEE Int. Conf. Bioinforma. Biomed. BIBM 2024</w:t>
      </w:r>
      <w:r w:rsidRPr="00281B27">
        <w:rPr>
          <w:noProof/>
          <w:szCs w:val="24"/>
        </w:rPr>
        <w:t>, pp. 6319–6326, 2024, doi: 10.1109/BIBM62325.2024.10822133.</w:t>
      </w:r>
    </w:p>
    <w:p w14:paraId="7E5F3CA0" w14:textId="77777777" w:rsidR="00281B27" w:rsidRPr="00281B27" w:rsidRDefault="00281B27" w:rsidP="00281B27">
      <w:pPr>
        <w:widowControl w:val="0"/>
        <w:autoSpaceDE w:val="0"/>
        <w:autoSpaceDN w:val="0"/>
        <w:adjustRightInd w:val="0"/>
        <w:ind w:start="32pt" w:hanging="32pt"/>
        <w:rPr>
          <w:noProof/>
          <w:szCs w:val="24"/>
        </w:rPr>
      </w:pPr>
      <w:r w:rsidRPr="00281B27">
        <w:rPr>
          <w:noProof/>
          <w:szCs w:val="24"/>
        </w:rPr>
        <w:t>[9]</w:t>
      </w:r>
      <w:r w:rsidRPr="00281B27">
        <w:rPr>
          <w:noProof/>
          <w:szCs w:val="24"/>
        </w:rPr>
        <w:tab/>
        <w:t xml:space="preserve">J. Chang, A. Phinyomark, and E. Scheme, “Assessment of EMG Benchmark Data for Gesture Recognition Using the NinaPro Database,” </w:t>
      </w:r>
      <w:r w:rsidRPr="00281B27">
        <w:rPr>
          <w:i/>
          <w:iCs/>
          <w:noProof/>
          <w:szCs w:val="24"/>
        </w:rPr>
        <w:t>Proc. Annu. Int. Conf. IEEE Eng. Med. Biol. Soc. EMBS</w:t>
      </w:r>
      <w:r w:rsidRPr="00281B27">
        <w:rPr>
          <w:noProof/>
          <w:szCs w:val="24"/>
        </w:rPr>
        <w:t>, vol. 2020-July, pp. 3339–3342, 2020, doi: 10.1109/EMBC44109.2020.9175260.</w:t>
      </w:r>
    </w:p>
    <w:p w14:paraId="26A5C4D5" w14:textId="77777777" w:rsidR="00281B27" w:rsidRPr="00281B27" w:rsidRDefault="00281B27" w:rsidP="00281B27">
      <w:pPr>
        <w:widowControl w:val="0"/>
        <w:autoSpaceDE w:val="0"/>
        <w:autoSpaceDN w:val="0"/>
        <w:adjustRightInd w:val="0"/>
        <w:ind w:start="32pt" w:hanging="32pt"/>
        <w:rPr>
          <w:noProof/>
        </w:rPr>
      </w:pPr>
      <w:r w:rsidRPr="00281B27">
        <w:rPr>
          <w:noProof/>
          <w:szCs w:val="24"/>
        </w:rPr>
        <w:t>[10]</w:t>
      </w:r>
      <w:r w:rsidRPr="00281B27">
        <w:rPr>
          <w:noProof/>
          <w:szCs w:val="24"/>
        </w:rPr>
        <w:tab/>
        <w:t>N. Nahid and A. Rahman, “2020 Joint 9th International Conference on Informatics, Electronics &amp; Vision (ICIEV) and 2020 4th International Conference on Imaging, Vision &amp; Pattern Recognition (icIVPR) : 26-29 August 2020, Kitakyushu, Japan,” p. 369, 2020.</w:t>
      </w:r>
    </w:p>
    <w:p w14:paraId="2CBC4D6A" w14:textId="2CB1070B" w:rsidR="004B0BBD" w:rsidRPr="004B0BBD" w:rsidRDefault="00D13F07" w:rsidP="004B0BBD">
      <w:pPr>
        <w:jc w:val="both"/>
        <w:sectPr w:rsidR="004B0BBD" w:rsidRPr="004B0BBD" w:rsidSect="003B4E04">
          <w:type w:val="continuous"/>
          <w:pgSz w:w="595.30pt" w:h="841.90pt" w:code="9"/>
          <w:pgMar w:top="54pt" w:right="45.35pt" w:bottom="72pt" w:left="45.35pt" w:header="36pt" w:footer="36pt" w:gutter="0pt"/>
          <w:cols w:num="2" w:space="18pt"/>
          <w:docGrid w:linePitch="360"/>
        </w:sectPr>
      </w:pPr>
      <w:r>
        <w:fldChar w:fldCharType="end"/>
      </w:r>
    </w:p>
    <w:p w14:paraId="2945CF4B" w14:textId="6993D48F" w:rsidR="00755EF7" w:rsidRPr="00430D5C" w:rsidRDefault="00755EF7" w:rsidP="00755EF7">
      <w:pPr>
        <w:jc w:val="both"/>
        <w:rPr>
          <w:color w:val="000000" w:themeColor="text1"/>
        </w:rPr>
      </w:pPr>
    </w:p>
    <w:sectPr w:rsidR="00755EF7" w:rsidRPr="00430D5C"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0E1F122A" w14:textId="77777777" w:rsidR="00A43E9E" w:rsidRDefault="00A43E9E" w:rsidP="001A3B3D">
      <w:r>
        <w:separator/>
      </w:r>
    </w:p>
  </w:endnote>
  <w:endnote w:type="continuationSeparator" w:id="0">
    <w:p w14:paraId="398BEDC9" w14:textId="77777777" w:rsidR="00A43E9E" w:rsidRDefault="00A43E9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MS Gothic">
    <w:altName w:val="ＭＳ ゴシック"/>
    <w:panose1 w:val="020B06090702050802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69E75918" w14:textId="69A922D5" w:rsidR="00ED3D6A" w:rsidRPr="006F6D3D" w:rsidRDefault="00ED3D6A"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739C37A4" w14:textId="77777777" w:rsidR="00A43E9E" w:rsidRDefault="00A43E9E" w:rsidP="001A3B3D">
      <w:r>
        <w:separator/>
      </w:r>
    </w:p>
  </w:footnote>
  <w:footnote w:type="continuationSeparator" w:id="0">
    <w:p w14:paraId="2B814776" w14:textId="77777777" w:rsidR="00A43E9E" w:rsidRDefault="00A43E9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153pt"/>
        </w:tabs>
        <w:ind w:start="153pt" w:firstLine="0pt"/>
      </w:pPr>
      <w:rPr>
        <w:rFonts w:ascii="Symbol" w:hAnsi="Symbol" w:hint="default"/>
      </w:rPr>
    </w:lvl>
    <w:lvl w:ilvl="1">
      <w:start w:val="1"/>
      <w:numFmt w:val="bullet"/>
      <w:lvlText w:val=""/>
      <w:lvlJc w:val="start"/>
      <w:pPr>
        <w:tabs>
          <w:tab w:val="num" w:pos="189pt"/>
        </w:tabs>
        <w:ind w:start="207pt" w:hanging="18pt"/>
      </w:pPr>
      <w:rPr>
        <w:rFonts w:ascii="Symbol" w:hAnsi="Symbol" w:hint="default"/>
      </w:rPr>
    </w:lvl>
    <w:lvl w:ilvl="2">
      <w:start w:val="1"/>
      <w:numFmt w:val="bullet"/>
      <w:lvlText w:val="o"/>
      <w:lvlJc w:val="start"/>
      <w:pPr>
        <w:tabs>
          <w:tab w:val="num" w:pos="225pt"/>
        </w:tabs>
        <w:ind w:start="243pt" w:hanging="18pt"/>
      </w:pPr>
      <w:rPr>
        <w:rFonts w:ascii="Courier New" w:hAnsi="Courier New" w:cs="Courier New" w:hint="default"/>
      </w:rPr>
    </w:lvl>
    <w:lvl w:ilvl="3">
      <w:start w:val="1"/>
      <w:numFmt w:val="bullet"/>
      <w:lvlText w:val=""/>
      <w:lvlJc w:val="start"/>
      <w:pPr>
        <w:tabs>
          <w:tab w:val="num" w:pos="261pt"/>
        </w:tabs>
        <w:ind w:start="279pt" w:hanging="18pt"/>
      </w:pPr>
      <w:rPr>
        <w:rFonts w:ascii="Wingdings" w:hAnsi="Wingdings" w:hint="default"/>
      </w:rPr>
    </w:lvl>
    <w:lvl w:ilvl="4">
      <w:start w:val="1"/>
      <w:numFmt w:val="bullet"/>
      <w:lvlText w:val=""/>
      <w:lvlJc w:val="start"/>
      <w:pPr>
        <w:tabs>
          <w:tab w:val="num" w:pos="297pt"/>
        </w:tabs>
        <w:ind w:start="315pt" w:hanging="18pt"/>
      </w:pPr>
      <w:rPr>
        <w:rFonts w:ascii="Wingdings" w:hAnsi="Wingdings" w:hint="default"/>
      </w:rPr>
    </w:lvl>
    <w:lvl w:ilvl="5">
      <w:start w:val="1"/>
      <w:numFmt w:val="bullet"/>
      <w:lvlText w:val=""/>
      <w:lvlJc w:val="start"/>
      <w:pPr>
        <w:tabs>
          <w:tab w:val="num" w:pos="333pt"/>
        </w:tabs>
        <w:ind w:start="351pt" w:hanging="18pt"/>
      </w:pPr>
      <w:rPr>
        <w:rFonts w:ascii="Symbol" w:hAnsi="Symbol" w:hint="default"/>
      </w:rPr>
    </w:lvl>
    <w:lvl w:ilvl="6">
      <w:start w:val="1"/>
      <w:numFmt w:val="bullet"/>
      <w:lvlText w:val="o"/>
      <w:lvlJc w:val="start"/>
      <w:pPr>
        <w:tabs>
          <w:tab w:val="num" w:pos="369pt"/>
        </w:tabs>
        <w:ind w:start="387pt" w:hanging="18pt"/>
      </w:pPr>
      <w:rPr>
        <w:rFonts w:ascii="Courier New" w:hAnsi="Courier New" w:cs="Courier New" w:hint="default"/>
      </w:rPr>
    </w:lvl>
    <w:lvl w:ilvl="7">
      <w:start w:val="1"/>
      <w:numFmt w:val="bullet"/>
      <w:lvlText w:val=""/>
      <w:lvlJc w:val="start"/>
      <w:pPr>
        <w:tabs>
          <w:tab w:val="num" w:pos="405pt"/>
        </w:tabs>
        <w:ind w:start="423pt" w:hanging="18pt"/>
      </w:pPr>
      <w:rPr>
        <w:rFonts w:ascii="Wingdings" w:hAnsi="Wingdings" w:hint="default"/>
      </w:rPr>
    </w:lvl>
    <w:lvl w:ilvl="8">
      <w:start w:val="1"/>
      <w:numFmt w:val="bullet"/>
      <w:lvlText w:val=""/>
      <w:lvlJc w:val="start"/>
      <w:pPr>
        <w:tabs>
          <w:tab w:val="num" w:pos="441pt"/>
        </w:tabs>
        <w:ind w:start="459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DEF47FC"/>
    <w:multiLevelType w:val="multilevel"/>
    <w:tmpl w:val="AE8E2B7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27pt"/>
        </w:tabs>
        <w:ind w:start="27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C9A41672"/>
    <w:lvl w:ilvl="0">
      <w:start w:val="1"/>
      <w:numFmt w:val="upperRoman"/>
      <w:pStyle w:val="Heading1"/>
      <w:lvlText w:val="%1."/>
      <w:lvlJc w:val="end"/>
      <w:pPr>
        <w:tabs>
          <w:tab w:val="num" w:pos="28.80pt"/>
        </w:tabs>
        <w:ind w:start="0pt" w:firstLine="10.80pt"/>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30.50pt"/>
        </w:tabs>
        <w:ind w:start="126.9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start="0pt"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81pt"/>
        </w:tabs>
        <w:ind w:start="49.50pt"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firstLine="0pt"/>
      </w:pPr>
      <w:rPr>
        <w:rFonts w:cs="Times New Roman" w:hint="default"/>
      </w:rPr>
    </w:lvl>
    <w:lvl w:ilvl="5">
      <w:start w:val="1"/>
      <w:numFmt w:val="lowerLetter"/>
      <w:lvlText w:val="(%6)"/>
      <w:lvlJc w:val="start"/>
      <w:pPr>
        <w:tabs>
          <w:tab w:val="num" w:pos="198pt"/>
        </w:tabs>
        <w:ind w:start="180pt" w:firstLine="0pt"/>
      </w:pPr>
      <w:rPr>
        <w:rFonts w:cs="Times New Roman" w:hint="default"/>
      </w:rPr>
    </w:lvl>
    <w:lvl w:ilvl="6">
      <w:start w:val="1"/>
      <w:numFmt w:val="lowerRoman"/>
      <w:lvlText w:val="(%7)"/>
      <w:lvlJc w:val="start"/>
      <w:pPr>
        <w:tabs>
          <w:tab w:val="num" w:pos="234pt"/>
        </w:tabs>
        <w:ind w:start="216pt" w:firstLine="0pt"/>
      </w:pPr>
      <w:rPr>
        <w:rFonts w:cs="Times New Roman" w:hint="default"/>
      </w:rPr>
    </w:lvl>
    <w:lvl w:ilvl="7">
      <w:start w:val="1"/>
      <w:numFmt w:val="lowerLetter"/>
      <w:lvlText w:val="(%8)"/>
      <w:lvlJc w:val="start"/>
      <w:pPr>
        <w:tabs>
          <w:tab w:val="num" w:pos="270pt"/>
        </w:tabs>
        <w:ind w:start="252pt" w:firstLine="0pt"/>
      </w:pPr>
      <w:rPr>
        <w:rFonts w:cs="Times New Roman" w:hint="default"/>
      </w:rPr>
    </w:lvl>
    <w:lvl w:ilvl="8">
      <w:start w:val="1"/>
      <w:numFmt w:val="lowerRoman"/>
      <w:lvlText w:val="(%9)"/>
      <w:lvlJc w:val="start"/>
      <w:pPr>
        <w:tabs>
          <w:tab w:val="num" w:pos="306pt"/>
        </w:tabs>
        <w:ind w:start="288pt" w:firstLine="0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5"/>
  </w:num>
  <w:num w:numId="2">
    <w:abstractNumId w:val="20"/>
  </w:num>
  <w:num w:numId="3">
    <w:abstractNumId w:val="14"/>
  </w:num>
  <w:num w:numId="4">
    <w:abstractNumId w:val="17"/>
  </w:num>
  <w:num w:numId="5">
    <w:abstractNumId w:val="17"/>
  </w:num>
  <w:num w:numId="6">
    <w:abstractNumId w:val="17"/>
  </w:num>
  <w:num w:numId="7">
    <w:abstractNumId w:val="17"/>
  </w:num>
  <w:num w:numId="8">
    <w:abstractNumId w:val="19"/>
  </w:num>
  <w:num w:numId="9">
    <w:abstractNumId w:val="21"/>
  </w:num>
  <w:num w:numId="10">
    <w:abstractNumId w:val="16"/>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17"/>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F76"/>
    <w:rsid w:val="0004781E"/>
    <w:rsid w:val="00060214"/>
    <w:rsid w:val="00084C87"/>
    <w:rsid w:val="0008758A"/>
    <w:rsid w:val="000A6465"/>
    <w:rsid w:val="000C1E68"/>
    <w:rsid w:val="000E4484"/>
    <w:rsid w:val="000F1A7A"/>
    <w:rsid w:val="001A2EFD"/>
    <w:rsid w:val="001A3B3D"/>
    <w:rsid w:val="001B67DC"/>
    <w:rsid w:val="001C7306"/>
    <w:rsid w:val="001D626D"/>
    <w:rsid w:val="001E2A6E"/>
    <w:rsid w:val="002254A9"/>
    <w:rsid w:val="0023168B"/>
    <w:rsid w:val="00233D97"/>
    <w:rsid w:val="002347A2"/>
    <w:rsid w:val="002445CD"/>
    <w:rsid w:val="00281B27"/>
    <w:rsid w:val="00284AE7"/>
    <w:rsid w:val="002850E3"/>
    <w:rsid w:val="00291B82"/>
    <w:rsid w:val="002B5F35"/>
    <w:rsid w:val="002B6709"/>
    <w:rsid w:val="002D26D8"/>
    <w:rsid w:val="002D6C9A"/>
    <w:rsid w:val="003063B5"/>
    <w:rsid w:val="00341E0A"/>
    <w:rsid w:val="00354FCF"/>
    <w:rsid w:val="00391559"/>
    <w:rsid w:val="003A19E2"/>
    <w:rsid w:val="003B2B40"/>
    <w:rsid w:val="003B4E04"/>
    <w:rsid w:val="003C234A"/>
    <w:rsid w:val="003D4684"/>
    <w:rsid w:val="003E09C4"/>
    <w:rsid w:val="003E3F9C"/>
    <w:rsid w:val="003F5A08"/>
    <w:rsid w:val="00420716"/>
    <w:rsid w:val="00423858"/>
    <w:rsid w:val="00430D5C"/>
    <w:rsid w:val="00431B20"/>
    <w:rsid w:val="004325FB"/>
    <w:rsid w:val="004432BA"/>
    <w:rsid w:val="0044407E"/>
    <w:rsid w:val="004465CF"/>
    <w:rsid w:val="00447087"/>
    <w:rsid w:val="00447BB9"/>
    <w:rsid w:val="0046031D"/>
    <w:rsid w:val="00473AC9"/>
    <w:rsid w:val="00483FAE"/>
    <w:rsid w:val="004B0BBD"/>
    <w:rsid w:val="004C1715"/>
    <w:rsid w:val="004D4FCA"/>
    <w:rsid w:val="004D72B5"/>
    <w:rsid w:val="00527D81"/>
    <w:rsid w:val="00544674"/>
    <w:rsid w:val="00547C07"/>
    <w:rsid w:val="00551B7F"/>
    <w:rsid w:val="0056610F"/>
    <w:rsid w:val="00575BCA"/>
    <w:rsid w:val="00584FA2"/>
    <w:rsid w:val="005B02C0"/>
    <w:rsid w:val="005B0344"/>
    <w:rsid w:val="005B520E"/>
    <w:rsid w:val="005E2800"/>
    <w:rsid w:val="005F3ECF"/>
    <w:rsid w:val="006014EA"/>
    <w:rsid w:val="00605825"/>
    <w:rsid w:val="00622A90"/>
    <w:rsid w:val="006432FE"/>
    <w:rsid w:val="00645D22"/>
    <w:rsid w:val="00651A08"/>
    <w:rsid w:val="00654204"/>
    <w:rsid w:val="00670434"/>
    <w:rsid w:val="006A5D82"/>
    <w:rsid w:val="006B6B66"/>
    <w:rsid w:val="006F6D3D"/>
    <w:rsid w:val="00715BEA"/>
    <w:rsid w:val="00740EEA"/>
    <w:rsid w:val="00755EF7"/>
    <w:rsid w:val="0077640D"/>
    <w:rsid w:val="00777DBB"/>
    <w:rsid w:val="00794804"/>
    <w:rsid w:val="007B33F1"/>
    <w:rsid w:val="007B6DDA"/>
    <w:rsid w:val="007C0308"/>
    <w:rsid w:val="007C2FF2"/>
    <w:rsid w:val="007D6232"/>
    <w:rsid w:val="007F1F99"/>
    <w:rsid w:val="007F7329"/>
    <w:rsid w:val="007F768F"/>
    <w:rsid w:val="0080791D"/>
    <w:rsid w:val="008147B5"/>
    <w:rsid w:val="00827E0C"/>
    <w:rsid w:val="00836367"/>
    <w:rsid w:val="008371A6"/>
    <w:rsid w:val="0086229C"/>
    <w:rsid w:val="00873603"/>
    <w:rsid w:val="008A2C7D"/>
    <w:rsid w:val="008B6524"/>
    <w:rsid w:val="008C4B23"/>
    <w:rsid w:val="008D11C2"/>
    <w:rsid w:val="008E1C37"/>
    <w:rsid w:val="008F6E2C"/>
    <w:rsid w:val="009130C3"/>
    <w:rsid w:val="009303D9"/>
    <w:rsid w:val="009330E6"/>
    <w:rsid w:val="00933C64"/>
    <w:rsid w:val="00942DBF"/>
    <w:rsid w:val="00956A4A"/>
    <w:rsid w:val="0096706E"/>
    <w:rsid w:val="00970E50"/>
    <w:rsid w:val="00972203"/>
    <w:rsid w:val="009731F6"/>
    <w:rsid w:val="00987B01"/>
    <w:rsid w:val="009E3F14"/>
    <w:rsid w:val="009E4946"/>
    <w:rsid w:val="009F1D79"/>
    <w:rsid w:val="00A033C6"/>
    <w:rsid w:val="00A059B3"/>
    <w:rsid w:val="00A0664A"/>
    <w:rsid w:val="00A30DB9"/>
    <w:rsid w:val="00A43E9E"/>
    <w:rsid w:val="00A87393"/>
    <w:rsid w:val="00A96E73"/>
    <w:rsid w:val="00AA0F7D"/>
    <w:rsid w:val="00AB1B37"/>
    <w:rsid w:val="00AB5DCE"/>
    <w:rsid w:val="00AE3409"/>
    <w:rsid w:val="00B11A60"/>
    <w:rsid w:val="00B22613"/>
    <w:rsid w:val="00B44A76"/>
    <w:rsid w:val="00B56C6F"/>
    <w:rsid w:val="00B737E6"/>
    <w:rsid w:val="00B768D1"/>
    <w:rsid w:val="00BA1025"/>
    <w:rsid w:val="00BA5F32"/>
    <w:rsid w:val="00BA7F29"/>
    <w:rsid w:val="00BC3420"/>
    <w:rsid w:val="00BD670B"/>
    <w:rsid w:val="00BE7D3C"/>
    <w:rsid w:val="00BF5FF6"/>
    <w:rsid w:val="00C0207F"/>
    <w:rsid w:val="00C16117"/>
    <w:rsid w:val="00C3075A"/>
    <w:rsid w:val="00C82237"/>
    <w:rsid w:val="00C8250F"/>
    <w:rsid w:val="00C919A4"/>
    <w:rsid w:val="00C95416"/>
    <w:rsid w:val="00CA4392"/>
    <w:rsid w:val="00CA7AD1"/>
    <w:rsid w:val="00CB5CCE"/>
    <w:rsid w:val="00CC393F"/>
    <w:rsid w:val="00CC512A"/>
    <w:rsid w:val="00D05A7E"/>
    <w:rsid w:val="00D13F07"/>
    <w:rsid w:val="00D20BA7"/>
    <w:rsid w:val="00D2176E"/>
    <w:rsid w:val="00D30E5C"/>
    <w:rsid w:val="00D632BE"/>
    <w:rsid w:val="00D72D06"/>
    <w:rsid w:val="00D7522C"/>
    <w:rsid w:val="00D7536F"/>
    <w:rsid w:val="00D76668"/>
    <w:rsid w:val="00DC7986"/>
    <w:rsid w:val="00E07383"/>
    <w:rsid w:val="00E121A0"/>
    <w:rsid w:val="00E15221"/>
    <w:rsid w:val="00E165BC"/>
    <w:rsid w:val="00E2469A"/>
    <w:rsid w:val="00E61E12"/>
    <w:rsid w:val="00E632D7"/>
    <w:rsid w:val="00E63411"/>
    <w:rsid w:val="00E7596C"/>
    <w:rsid w:val="00E878F2"/>
    <w:rsid w:val="00EA7D35"/>
    <w:rsid w:val="00EB4C01"/>
    <w:rsid w:val="00ED0149"/>
    <w:rsid w:val="00ED3D6A"/>
    <w:rsid w:val="00EF7DE3"/>
    <w:rsid w:val="00F03103"/>
    <w:rsid w:val="00F271DE"/>
    <w:rsid w:val="00F565B3"/>
    <w:rsid w:val="00F627DA"/>
    <w:rsid w:val="00F7288F"/>
    <w:rsid w:val="00F847A6"/>
    <w:rsid w:val="00F858D5"/>
    <w:rsid w:val="00F9441B"/>
    <w:rsid w:val="00FA4C32"/>
    <w:rsid w:val="00FD03A0"/>
    <w:rsid w:val="00FE2628"/>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1B39C803-FB95-4D89-904C-1D72D898BD87}"/>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font-claude-response-body">
    <w:name w:val="font-claude-response-body"/>
    <w:basedOn w:val="Normal"/>
    <w:rsid w:val="005F3ECF"/>
    <w:pPr>
      <w:spacing w:before="5pt" w:beforeAutospacing="1" w:after="5pt" w:afterAutospacing="1"/>
      <w:jc w:val="start"/>
    </w:pPr>
    <w:rPr>
      <w:rFonts w:eastAsia="Times New Roman"/>
      <w:sz w:val="24"/>
      <w:szCs w:val="24"/>
    </w:rPr>
  </w:style>
  <w:style w:type="paragraph" w:styleId="NormalWeb">
    <w:name w:val="Normal (Web)"/>
    <w:basedOn w:val="Normal"/>
    <w:uiPriority w:val="99"/>
    <w:unhideWhenUsed/>
    <w:rsid w:val="00391559"/>
    <w:pPr>
      <w:spacing w:before="5pt" w:beforeAutospacing="1" w:after="5pt" w:afterAutospacing="1"/>
      <w:jc w:val="start"/>
    </w:pPr>
    <w:rPr>
      <w:rFonts w:eastAsia="Times New Roman"/>
      <w:sz w:val="24"/>
      <w:szCs w:val="24"/>
    </w:rPr>
  </w:style>
  <w:style w:type="paragraph" w:styleId="Caption">
    <w:name w:val="caption"/>
    <w:basedOn w:val="Normal"/>
    <w:next w:val="Normal"/>
    <w:unhideWhenUsed/>
    <w:qFormat/>
    <w:rsid w:val="008D11C2"/>
    <w:pPr>
      <w:spacing w:after="10pt"/>
    </w:pPr>
    <w:rPr>
      <w:i/>
      <w:iCs/>
      <w:color w:val="44546A" w:themeColor="text2"/>
      <w:sz w:val="18"/>
      <w:szCs w:val="18"/>
    </w:rPr>
  </w:style>
  <w:style w:type="character" w:styleId="Emphasis">
    <w:name w:val="Emphasis"/>
    <w:basedOn w:val="DefaultParagraphFont"/>
    <w:uiPriority w:val="20"/>
    <w:qFormat/>
    <w:rsid w:val="00622A90"/>
    <w:rPr>
      <w:i/>
      <w:iCs/>
    </w:rPr>
  </w:style>
  <w:style w:type="character" w:customStyle="1" w:styleId="mord">
    <w:name w:val="mord"/>
    <w:basedOn w:val="DefaultParagraphFont"/>
    <w:rsid w:val="00CA7AD1"/>
  </w:style>
  <w:style w:type="character" w:customStyle="1" w:styleId="vlist-s">
    <w:name w:val="vlist-s"/>
    <w:basedOn w:val="DefaultParagraphFont"/>
    <w:rsid w:val="00CA7AD1"/>
  </w:style>
  <w:style w:type="character" w:customStyle="1" w:styleId="mrel">
    <w:name w:val="mrel"/>
    <w:basedOn w:val="DefaultParagraphFont"/>
    <w:rsid w:val="00CA7AD1"/>
  </w:style>
  <w:style w:type="character" w:customStyle="1" w:styleId="mop">
    <w:name w:val="mop"/>
    <w:basedOn w:val="DefaultParagraphFont"/>
    <w:rsid w:val="00CA7AD1"/>
  </w:style>
  <w:style w:type="character" w:customStyle="1" w:styleId="mopen">
    <w:name w:val="mopen"/>
    <w:basedOn w:val="DefaultParagraphFont"/>
    <w:rsid w:val="00CA7AD1"/>
  </w:style>
  <w:style w:type="character" w:customStyle="1" w:styleId="mbin">
    <w:name w:val="mbin"/>
    <w:basedOn w:val="DefaultParagraphFont"/>
    <w:rsid w:val="00CA7AD1"/>
  </w:style>
  <w:style w:type="character" w:customStyle="1" w:styleId="mclose">
    <w:name w:val="mclose"/>
    <w:basedOn w:val="DefaultParagraphFont"/>
    <w:rsid w:val="00CA7AD1"/>
  </w:style>
  <w:style w:type="character" w:customStyle="1" w:styleId="katex-mathml">
    <w:name w:val="katex-mathml"/>
    <w:basedOn w:val="DefaultParagraphFont"/>
    <w:rsid w:val="00CA7AD1"/>
  </w:style>
  <w:style w:type="character" w:styleId="Strong">
    <w:name w:val="Strong"/>
    <w:basedOn w:val="DefaultParagraphFont"/>
    <w:uiPriority w:val="22"/>
    <w:qFormat/>
    <w:rsid w:val="0077640D"/>
    <w:rPr>
      <w:b/>
      <w:bCs/>
    </w:rPr>
  </w:style>
  <w:style w:type="character" w:styleId="PlaceholderText">
    <w:name w:val="Placeholder Text"/>
    <w:basedOn w:val="DefaultParagraphFont"/>
    <w:uiPriority w:val="99"/>
    <w:semiHidden/>
    <w:rsid w:val="00060214"/>
    <w:rPr>
      <w:color w:val="808080"/>
    </w:rPr>
  </w:style>
  <w:style w:type="character" w:styleId="Hyperlink">
    <w:name w:val="Hyperlink"/>
    <w:basedOn w:val="DefaultParagraphFont"/>
    <w:rsid w:val="008371A6"/>
    <w:rPr>
      <w:color w:val="0563C1" w:themeColor="hyperlink"/>
      <w:u w:val="single"/>
    </w:rPr>
  </w:style>
  <w:style w:type="character" w:styleId="UnresolvedMention">
    <w:name w:val="Unresolved Mention"/>
    <w:basedOn w:val="DefaultParagraphFont"/>
    <w:uiPriority w:val="99"/>
    <w:semiHidden/>
    <w:unhideWhenUsed/>
    <w:rsid w:val="008371A6"/>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ivs>
    <w:div w:id="8606894">
      <w:bodyDiv w:val="1"/>
      <w:marLeft w:val="0pt"/>
      <w:marRight w:val="0pt"/>
      <w:marTop w:val="0pt"/>
      <w:marBottom w:val="0pt"/>
      <w:divBdr>
        <w:top w:val="none" w:sz="0" w:space="0" w:color="auto"/>
        <w:left w:val="none" w:sz="0" w:space="0" w:color="auto"/>
        <w:bottom w:val="none" w:sz="0" w:space="0" w:color="auto"/>
        <w:right w:val="none" w:sz="0" w:space="0" w:color="auto"/>
      </w:divBdr>
    </w:div>
    <w:div w:id="32390914">
      <w:bodyDiv w:val="1"/>
      <w:marLeft w:val="0pt"/>
      <w:marRight w:val="0pt"/>
      <w:marTop w:val="0pt"/>
      <w:marBottom w:val="0pt"/>
      <w:divBdr>
        <w:top w:val="none" w:sz="0" w:space="0" w:color="auto"/>
        <w:left w:val="none" w:sz="0" w:space="0" w:color="auto"/>
        <w:bottom w:val="none" w:sz="0" w:space="0" w:color="auto"/>
        <w:right w:val="none" w:sz="0" w:space="0" w:color="auto"/>
      </w:divBdr>
    </w:div>
    <w:div w:id="86467986">
      <w:bodyDiv w:val="1"/>
      <w:marLeft w:val="0pt"/>
      <w:marRight w:val="0pt"/>
      <w:marTop w:val="0pt"/>
      <w:marBottom w:val="0pt"/>
      <w:divBdr>
        <w:top w:val="none" w:sz="0" w:space="0" w:color="auto"/>
        <w:left w:val="none" w:sz="0" w:space="0" w:color="auto"/>
        <w:bottom w:val="none" w:sz="0" w:space="0" w:color="auto"/>
        <w:right w:val="none" w:sz="0" w:space="0" w:color="auto"/>
      </w:divBdr>
    </w:div>
    <w:div w:id="165438677">
      <w:bodyDiv w:val="1"/>
      <w:marLeft w:val="0pt"/>
      <w:marRight w:val="0pt"/>
      <w:marTop w:val="0pt"/>
      <w:marBottom w:val="0pt"/>
      <w:divBdr>
        <w:top w:val="none" w:sz="0" w:space="0" w:color="auto"/>
        <w:left w:val="none" w:sz="0" w:space="0" w:color="auto"/>
        <w:bottom w:val="none" w:sz="0" w:space="0" w:color="auto"/>
        <w:right w:val="none" w:sz="0" w:space="0" w:color="auto"/>
      </w:divBdr>
    </w:div>
    <w:div w:id="180093582">
      <w:bodyDiv w:val="1"/>
      <w:marLeft w:val="0pt"/>
      <w:marRight w:val="0pt"/>
      <w:marTop w:val="0pt"/>
      <w:marBottom w:val="0pt"/>
      <w:divBdr>
        <w:top w:val="none" w:sz="0" w:space="0" w:color="auto"/>
        <w:left w:val="none" w:sz="0" w:space="0" w:color="auto"/>
        <w:bottom w:val="none" w:sz="0" w:space="0" w:color="auto"/>
        <w:right w:val="none" w:sz="0" w:space="0" w:color="auto"/>
      </w:divBdr>
    </w:div>
    <w:div w:id="334262195">
      <w:bodyDiv w:val="1"/>
      <w:marLeft w:val="0pt"/>
      <w:marRight w:val="0pt"/>
      <w:marTop w:val="0pt"/>
      <w:marBottom w:val="0pt"/>
      <w:divBdr>
        <w:top w:val="none" w:sz="0" w:space="0" w:color="auto"/>
        <w:left w:val="none" w:sz="0" w:space="0" w:color="auto"/>
        <w:bottom w:val="none" w:sz="0" w:space="0" w:color="auto"/>
        <w:right w:val="none" w:sz="0" w:space="0" w:color="auto"/>
      </w:divBdr>
    </w:div>
    <w:div w:id="408306839">
      <w:bodyDiv w:val="1"/>
      <w:marLeft w:val="0pt"/>
      <w:marRight w:val="0pt"/>
      <w:marTop w:val="0pt"/>
      <w:marBottom w:val="0pt"/>
      <w:divBdr>
        <w:top w:val="none" w:sz="0" w:space="0" w:color="auto"/>
        <w:left w:val="none" w:sz="0" w:space="0" w:color="auto"/>
        <w:bottom w:val="none" w:sz="0" w:space="0" w:color="auto"/>
        <w:right w:val="none" w:sz="0" w:space="0" w:color="auto"/>
      </w:divBdr>
    </w:div>
    <w:div w:id="537477146">
      <w:bodyDiv w:val="1"/>
      <w:marLeft w:val="0pt"/>
      <w:marRight w:val="0pt"/>
      <w:marTop w:val="0pt"/>
      <w:marBottom w:val="0pt"/>
      <w:divBdr>
        <w:top w:val="none" w:sz="0" w:space="0" w:color="auto"/>
        <w:left w:val="none" w:sz="0" w:space="0" w:color="auto"/>
        <w:bottom w:val="none" w:sz="0" w:space="0" w:color="auto"/>
        <w:right w:val="none" w:sz="0" w:space="0" w:color="auto"/>
      </w:divBdr>
    </w:div>
    <w:div w:id="540828753">
      <w:bodyDiv w:val="1"/>
      <w:marLeft w:val="0pt"/>
      <w:marRight w:val="0pt"/>
      <w:marTop w:val="0pt"/>
      <w:marBottom w:val="0pt"/>
      <w:divBdr>
        <w:top w:val="none" w:sz="0" w:space="0" w:color="auto"/>
        <w:left w:val="none" w:sz="0" w:space="0" w:color="auto"/>
        <w:bottom w:val="none" w:sz="0" w:space="0" w:color="auto"/>
        <w:right w:val="none" w:sz="0" w:space="0" w:color="auto"/>
      </w:divBdr>
    </w:div>
    <w:div w:id="563224652">
      <w:bodyDiv w:val="1"/>
      <w:marLeft w:val="0pt"/>
      <w:marRight w:val="0pt"/>
      <w:marTop w:val="0pt"/>
      <w:marBottom w:val="0pt"/>
      <w:divBdr>
        <w:top w:val="none" w:sz="0" w:space="0" w:color="auto"/>
        <w:left w:val="none" w:sz="0" w:space="0" w:color="auto"/>
        <w:bottom w:val="none" w:sz="0" w:space="0" w:color="auto"/>
        <w:right w:val="none" w:sz="0" w:space="0" w:color="auto"/>
      </w:divBdr>
    </w:div>
    <w:div w:id="572472069">
      <w:bodyDiv w:val="1"/>
      <w:marLeft w:val="0pt"/>
      <w:marRight w:val="0pt"/>
      <w:marTop w:val="0pt"/>
      <w:marBottom w:val="0pt"/>
      <w:divBdr>
        <w:top w:val="none" w:sz="0" w:space="0" w:color="auto"/>
        <w:left w:val="none" w:sz="0" w:space="0" w:color="auto"/>
        <w:bottom w:val="none" w:sz="0" w:space="0" w:color="auto"/>
        <w:right w:val="none" w:sz="0" w:space="0" w:color="auto"/>
      </w:divBdr>
    </w:div>
    <w:div w:id="584195142">
      <w:bodyDiv w:val="1"/>
      <w:marLeft w:val="0pt"/>
      <w:marRight w:val="0pt"/>
      <w:marTop w:val="0pt"/>
      <w:marBottom w:val="0pt"/>
      <w:divBdr>
        <w:top w:val="none" w:sz="0" w:space="0" w:color="auto"/>
        <w:left w:val="none" w:sz="0" w:space="0" w:color="auto"/>
        <w:bottom w:val="none" w:sz="0" w:space="0" w:color="auto"/>
        <w:right w:val="none" w:sz="0" w:space="0" w:color="auto"/>
      </w:divBdr>
    </w:div>
    <w:div w:id="738986468">
      <w:bodyDiv w:val="1"/>
      <w:marLeft w:val="0pt"/>
      <w:marRight w:val="0pt"/>
      <w:marTop w:val="0pt"/>
      <w:marBottom w:val="0pt"/>
      <w:divBdr>
        <w:top w:val="none" w:sz="0" w:space="0" w:color="auto"/>
        <w:left w:val="none" w:sz="0" w:space="0" w:color="auto"/>
        <w:bottom w:val="none" w:sz="0" w:space="0" w:color="auto"/>
        <w:right w:val="none" w:sz="0" w:space="0" w:color="auto"/>
      </w:divBdr>
    </w:div>
    <w:div w:id="741677726">
      <w:bodyDiv w:val="1"/>
      <w:marLeft w:val="0pt"/>
      <w:marRight w:val="0pt"/>
      <w:marTop w:val="0pt"/>
      <w:marBottom w:val="0pt"/>
      <w:divBdr>
        <w:top w:val="none" w:sz="0" w:space="0" w:color="auto"/>
        <w:left w:val="none" w:sz="0" w:space="0" w:color="auto"/>
        <w:bottom w:val="none" w:sz="0" w:space="0" w:color="auto"/>
        <w:right w:val="none" w:sz="0" w:space="0" w:color="auto"/>
      </w:divBdr>
    </w:div>
    <w:div w:id="776871558">
      <w:bodyDiv w:val="1"/>
      <w:marLeft w:val="0pt"/>
      <w:marRight w:val="0pt"/>
      <w:marTop w:val="0pt"/>
      <w:marBottom w:val="0pt"/>
      <w:divBdr>
        <w:top w:val="none" w:sz="0" w:space="0" w:color="auto"/>
        <w:left w:val="none" w:sz="0" w:space="0" w:color="auto"/>
        <w:bottom w:val="none" w:sz="0" w:space="0" w:color="auto"/>
        <w:right w:val="none" w:sz="0" w:space="0" w:color="auto"/>
      </w:divBdr>
    </w:div>
    <w:div w:id="889002012">
      <w:bodyDiv w:val="1"/>
      <w:marLeft w:val="0pt"/>
      <w:marRight w:val="0pt"/>
      <w:marTop w:val="0pt"/>
      <w:marBottom w:val="0pt"/>
      <w:divBdr>
        <w:top w:val="none" w:sz="0" w:space="0" w:color="auto"/>
        <w:left w:val="none" w:sz="0" w:space="0" w:color="auto"/>
        <w:bottom w:val="none" w:sz="0" w:space="0" w:color="auto"/>
        <w:right w:val="none" w:sz="0" w:space="0" w:color="auto"/>
      </w:divBdr>
    </w:div>
    <w:div w:id="891426134">
      <w:bodyDiv w:val="1"/>
      <w:marLeft w:val="0pt"/>
      <w:marRight w:val="0pt"/>
      <w:marTop w:val="0pt"/>
      <w:marBottom w:val="0pt"/>
      <w:divBdr>
        <w:top w:val="none" w:sz="0" w:space="0" w:color="auto"/>
        <w:left w:val="none" w:sz="0" w:space="0" w:color="auto"/>
        <w:bottom w:val="none" w:sz="0" w:space="0" w:color="auto"/>
        <w:right w:val="none" w:sz="0" w:space="0" w:color="auto"/>
      </w:divBdr>
    </w:div>
    <w:div w:id="946278228">
      <w:bodyDiv w:val="1"/>
      <w:marLeft w:val="0pt"/>
      <w:marRight w:val="0pt"/>
      <w:marTop w:val="0pt"/>
      <w:marBottom w:val="0pt"/>
      <w:divBdr>
        <w:top w:val="none" w:sz="0" w:space="0" w:color="auto"/>
        <w:left w:val="none" w:sz="0" w:space="0" w:color="auto"/>
        <w:bottom w:val="none" w:sz="0" w:space="0" w:color="auto"/>
        <w:right w:val="none" w:sz="0" w:space="0" w:color="auto"/>
      </w:divBdr>
    </w:div>
    <w:div w:id="96118260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95522909">
          <w:blockQuote w:val="1"/>
          <w:marLeft w:val="36pt"/>
          <w:marRight w:val="36pt"/>
          <w:marTop w:val="5pt"/>
          <w:marBottom w:val="5pt"/>
          <w:divBdr>
            <w:top w:val="none" w:sz="0" w:space="0" w:color="auto"/>
            <w:left w:val="none" w:sz="0" w:space="0" w:color="auto"/>
            <w:bottom w:val="none" w:sz="0" w:space="0" w:color="auto"/>
            <w:right w:val="none" w:sz="0" w:space="0" w:color="auto"/>
          </w:divBdr>
        </w:div>
        <w:div w:id="1771469855">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1009795369">
      <w:bodyDiv w:val="1"/>
      <w:marLeft w:val="0pt"/>
      <w:marRight w:val="0pt"/>
      <w:marTop w:val="0pt"/>
      <w:marBottom w:val="0pt"/>
      <w:divBdr>
        <w:top w:val="none" w:sz="0" w:space="0" w:color="auto"/>
        <w:left w:val="none" w:sz="0" w:space="0" w:color="auto"/>
        <w:bottom w:val="none" w:sz="0" w:space="0" w:color="auto"/>
        <w:right w:val="none" w:sz="0" w:space="0" w:color="auto"/>
      </w:divBdr>
    </w:div>
    <w:div w:id="1036465619">
      <w:bodyDiv w:val="1"/>
      <w:marLeft w:val="0pt"/>
      <w:marRight w:val="0pt"/>
      <w:marTop w:val="0pt"/>
      <w:marBottom w:val="0pt"/>
      <w:divBdr>
        <w:top w:val="none" w:sz="0" w:space="0" w:color="auto"/>
        <w:left w:val="none" w:sz="0" w:space="0" w:color="auto"/>
        <w:bottom w:val="none" w:sz="0" w:space="0" w:color="auto"/>
        <w:right w:val="none" w:sz="0" w:space="0" w:color="auto"/>
      </w:divBdr>
    </w:div>
    <w:div w:id="1045759020">
      <w:bodyDiv w:val="1"/>
      <w:marLeft w:val="0pt"/>
      <w:marRight w:val="0pt"/>
      <w:marTop w:val="0pt"/>
      <w:marBottom w:val="0pt"/>
      <w:divBdr>
        <w:top w:val="none" w:sz="0" w:space="0" w:color="auto"/>
        <w:left w:val="none" w:sz="0" w:space="0" w:color="auto"/>
        <w:bottom w:val="none" w:sz="0" w:space="0" w:color="auto"/>
        <w:right w:val="none" w:sz="0" w:space="0" w:color="auto"/>
      </w:divBdr>
    </w:div>
    <w:div w:id="1087311387">
      <w:bodyDiv w:val="1"/>
      <w:marLeft w:val="0pt"/>
      <w:marRight w:val="0pt"/>
      <w:marTop w:val="0pt"/>
      <w:marBottom w:val="0pt"/>
      <w:divBdr>
        <w:top w:val="none" w:sz="0" w:space="0" w:color="auto"/>
        <w:left w:val="none" w:sz="0" w:space="0" w:color="auto"/>
        <w:bottom w:val="none" w:sz="0" w:space="0" w:color="auto"/>
        <w:right w:val="none" w:sz="0" w:space="0" w:color="auto"/>
      </w:divBdr>
    </w:div>
    <w:div w:id="1097139889">
      <w:bodyDiv w:val="1"/>
      <w:marLeft w:val="0pt"/>
      <w:marRight w:val="0pt"/>
      <w:marTop w:val="0pt"/>
      <w:marBottom w:val="0pt"/>
      <w:divBdr>
        <w:top w:val="none" w:sz="0" w:space="0" w:color="auto"/>
        <w:left w:val="none" w:sz="0" w:space="0" w:color="auto"/>
        <w:bottom w:val="none" w:sz="0" w:space="0" w:color="auto"/>
        <w:right w:val="none" w:sz="0" w:space="0" w:color="auto"/>
      </w:divBdr>
    </w:div>
    <w:div w:id="1108695382">
      <w:bodyDiv w:val="1"/>
      <w:marLeft w:val="0pt"/>
      <w:marRight w:val="0pt"/>
      <w:marTop w:val="0pt"/>
      <w:marBottom w:val="0pt"/>
      <w:divBdr>
        <w:top w:val="none" w:sz="0" w:space="0" w:color="auto"/>
        <w:left w:val="none" w:sz="0" w:space="0" w:color="auto"/>
        <w:bottom w:val="none" w:sz="0" w:space="0" w:color="auto"/>
        <w:right w:val="none" w:sz="0" w:space="0" w:color="auto"/>
      </w:divBdr>
    </w:div>
    <w:div w:id="1148401003">
      <w:bodyDiv w:val="1"/>
      <w:marLeft w:val="0pt"/>
      <w:marRight w:val="0pt"/>
      <w:marTop w:val="0pt"/>
      <w:marBottom w:val="0pt"/>
      <w:divBdr>
        <w:top w:val="none" w:sz="0" w:space="0" w:color="auto"/>
        <w:left w:val="none" w:sz="0" w:space="0" w:color="auto"/>
        <w:bottom w:val="none" w:sz="0" w:space="0" w:color="auto"/>
        <w:right w:val="none" w:sz="0" w:space="0" w:color="auto"/>
      </w:divBdr>
    </w:div>
    <w:div w:id="1165241835">
      <w:bodyDiv w:val="1"/>
      <w:marLeft w:val="0pt"/>
      <w:marRight w:val="0pt"/>
      <w:marTop w:val="0pt"/>
      <w:marBottom w:val="0pt"/>
      <w:divBdr>
        <w:top w:val="none" w:sz="0" w:space="0" w:color="auto"/>
        <w:left w:val="none" w:sz="0" w:space="0" w:color="auto"/>
        <w:bottom w:val="none" w:sz="0" w:space="0" w:color="auto"/>
        <w:right w:val="none" w:sz="0" w:space="0" w:color="auto"/>
      </w:divBdr>
    </w:div>
    <w:div w:id="1198619388">
      <w:bodyDiv w:val="1"/>
      <w:marLeft w:val="0pt"/>
      <w:marRight w:val="0pt"/>
      <w:marTop w:val="0pt"/>
      <w:marBottom w:val="0pt"/>
      <w:divBdr>
        <w:top w:val="none" w:sz="0" w:space="0" w:color="auto"/>
        <w:left w:val="none" w:sz="0" w:space="0" w:color="auto"/>
        <w:bottom w:val="none" w:sz="0" w:space="0" w:color="auto"/>
        <w:right w:val="none" w:sz="0" w:space="0" w:color="auto"/>
      </w:divBdr>
    </w:div>
    <w:div w:id="1199587385">
      <w:bodyDiv w:val="1"/>
      <w:marLeft w:val="0pt"/>
      <w:marRight w:val="0pt"/>
      <w:marTop w:val="0pt"/>
      <w:marBottom w:val="0pt"/>
      <w:divBdr>
        <w:top w:val="none" w:sz="0" w:space="0" w:color="auto"/>
        <w:left w:val="none" w:sz="0" w:space="0" w:color="auto"/>
        <w:bottom w:val="none" w:sz="0" w:space="0" w:color="auto"/>
        <w:right w:val="none" w:sz="0" w:space="0" w:color="auto"/>
      </w:divBdr>
    </w:div>
    <w:div w:id="1203597212">
      <w:bodyDiv w:val="1"/>
      <w:marLeft w:val="0pt"/>
      <w:marRight w:val="0pt"/>
      <w:marTop w:val="0pt"/>
      <w:marBottom w:val="0pt"/>
      <w:divBdr>
        <w:top w:val="none" w:sz="0" w:space="0" w:color="auto"/>
        <w:left w:val="none" w:sz="0" w:space="0" w:color="auto"/>
        <w:bottom w:val="none" w:sz="0" w:space="0" w:color="auto"/>
        <w:right w:val="none" w:sz="0" w:space="0" w:color="auto"/>
      </w:divBdr>
    </w:div>
    <w:div w:id="1222669595">
      <w:bodyDiv w:val="1"/>
      <w:marLeft w:val="0pt"/>
      <w:marRight w:val="0pt"/>
      <w:marTop w:val="0pt"/>
      <w:marBottom w:val="0pt"/>
      <w:divBdr>
        <w:top w:val="none" w:sz="0" w:space="0" w:color="auto"/>
        <w:left w:val="none" w:sz="0" w:space="0" w:color="auto"/>
        <w:bottom w:val="none" w:sz="0" w:space="0" w:color="auto"/>
        <w:right w:val="none" w:sz="0" w:space="0" w:color="auto"/>
      </w:divBdr>
    </w:div>
    <w:div w:id="1244954249">
      <w:bodyDiv w:val="1"/>
      <w:marLeft w:val="0pt"/>
      <w:marRight w:val="0pt"/>
      <w:marTop w:val="0pt"/>
      <w:marBottom w:val="0pt"/>
      <w:divBdr>
        <w:top w:val="none" w:sz="0" w:space="0" w:color="auto"/>
        <w:left w:val="none" w:sz="0" w:space="0" w:color="auto"/>
        <w:bottom w:val="none" w:sz="0" w:space="0" w:color="auto"/>
        <w:right w:val="none" w:sz="0" w:space="0" w:color="auto"/>
      </w:divBdr>
    </w:div>
    <w:div w:id="1329989021">
      <w:bodyDiv w:val="1"/>
      <w:marLeft w:val="0pt"/>
      <w:marRight w:val="0pt"/>
      <w:marTop w:val="0pt"/>
      <w:marBottom w:val="0pt"/>
      <w:divBdr>
        <w:top w:val="none" w:sz="0" w:space="0" w:color="auto"/>
        <w:left w:val="none" w:sz="0" w:space="0" w:color="auto"/>
        <w:bottom w:val="none" w:sz="0" w:space="0" w:color="auto"/>
        <w:right w:val="none" w:sz="0" w:space="0" w:color="auto"/>
      </w:divBdr>
    </w:div>
    <w:div w:id="1406024592">
      <w:bodyDiv w:val="1"/>
      <w:marLeft w:val="0pt"/>
      <w:marRight w:val="0pt"/>
      <w:marTop w:val="0pt"/>
      <w:marBottom w:val="0pt"/>
      <w:divBdr>
        <w:top w:val="none" w:sz="0" w:space="0" w:color="auto"/>
        <w:left w:val="none" w:sz="0" w:space="0" w:color="auto"/>
        <w:bottom w:val="none" w:sz="0" w:space="0" w:color="auto"/>
        <w:right w:val="none" w:sz="0" w:space="0" w:color="auto"/>
      </w:divBdr>
    </w:div>
    <w:div w:id="1488399403">
      <w:bodyDiv w:val="1"/>
      <w:marLeft w:val="0pt"/>
      <w:marRight w:val="0pt"/>
      <w:marTop w:val="0pt"/>
      <w:marBottom w:val="0pt"/>
      <w:divBdr>
        <w:top w:val="none" w:sz="0" w:space="0" w:color="auto"/>
        <w:left w:val="none" w:sz="0" w:space="0" w:color="auto"/>
        <w:bottom w:val="none" w:sz="0" w:space="0" w:color="auto"/>
        <w:right w:val="none" w:sz="0" w:space="0" w:color="auto"/>
      </w:divBdr>
    </w:div>
    <w:div w:id="1657681040">
      <w:bodyDiv w:val="1"/>
      <w:marLeft w:val="0pt"/>
      <w:marRight w:val="0pt"/>
      <w:marTop w:val="0pt"/>
      <w:marBottom w:val="0pt"/>
      <w:divBdr>
        <w:top w:val="none" w:sz="0" w:space="0" w:color="auto"/>
        <w:left w:val="none" w:sz="0" w:space="0" w:color="auto"/>
        <w:bottom w:val="none" w:sz="0" w:space="0" w:color="auto"/>
        <w:right w:val="none" w:sz="0" w:space="0" w:color="auto"/>
      </w:divBdr>
    </w:div>
    <w:div w:id="1740975726">
      <w:bodyDiv w:val="1"/>
      <w:marLeft w:val="0pt"/>
      <w:marRight w:val="0pt"/>
      <w:marTop w:val="0pt"/>
      <w:marBottom w:val="0pt"/>
      <w:divBdr>
        <w:top w:val="none" w:sz="0" w:space="0" w:color="auto"/>
        <w:left w:val="none" w:sz="0" w:space="0" w:color="auto"/>
        <w:bottom w:val="none" w:sz="0" w:space="0" w:color="auto"/>
        <w:right w:val="none" w:sz="0" w:space="0" w:color="auto"/>
      </w:divBdr>
    </w:div>
    <w:div w:id="17451057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42963679">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1763644218">
      <w:bodyDiv w:val="1"/>
      <w:marLeft w:val="0pt"/>
      <w:marRight w:val="0pt"/>
      <w:marTop w:val="0pt"/>
      <w:marBottom w:val="0pt"/>
      <w:divBdr>
        <w:top w:val="none" w:sz="0" w:space="0" w:color="auto"/>
        <w:left w:val="none" w:sz="0" w:space="0" w:color="auto"/>
        <w:bottom w:val="none" w:sz="0" w:space="0" w:color="auto"/>
        <w:right w:val="none" w:sz="0" w:space="0" w:color="auto"/>
      </w:divBdr>
    </w:div>
    <w:div w:id="1808081156">
      <w:bodyDiv w:val="1"/>
      <w:marLeft w:val="0pt"/>
      <w:marRight w:val="0pt"/>
      <w:marTop w:val="0pt"/>
      <w:marBottom w:val="0pt"/>
      <w:divBdr>
        <w:top w:val="none" w:sz="0" w:space="0" w:color="auto"/>
        <w:left w:val="none" w:sz="0" w:space="0" w:color="auto"/>
        <w:bottom w:val="none" w:sz="0" w:space="0" w:color="auto"/>
        <w:right w:val="none" w:sz="0" w:space="0" w:color="auto"/>
      </w:divBdr>
    </w:div>
    <w:div w:id="1819149488">
      <w:bodyDiv w:val="1"/>
      <w:marLeft w:val="0pt"/>
      <w:marRight w:val="0pt"/>
      <w:marTop w:val="0pt"/>
      <w:marBottom w:val="0pt"/>
      <w:divBdr>
        <w:top w:val="none" w:sz="0" w:space="0" w:color="auto"/>
        <w:left w:val="none" w:sz="0" w:space="0" w:color="auto"/>
        <w:bottom w:val="none" w:sz="0" w:space="0" w:color="auto"/>
        <w:right w:val="none" w:sz="0" w:space="0" w:color="auto"/>
      </w:divBdr>
    </w:div>
    <w:div w:id="182512139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88794446">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1902598031">
      <w:bodyDiv w:val="1"/>
      <w:marLeft w:val="0pt"/>
      <w:marRight w:val="0pt"/>
      <w:marTop w:val="0pt"/>
      <w:marBottom w:val="0pt"/>
      <w:divBdr>
        <w:top w:val="none" w:sz="0" w:space="0" w:color="auto"/>
        <w:left w:val="none" w:sz="0" w:space="0" w:color="auto"/>
        <w:bottom w:val="none" w:sz="0" w:space="0" w:color="auto"/>
        <w:right w:val="none" w:sz="0" w:space="0" w:color="auto"/>
      </w:divBdr>
    </w:div>
    <w:div w:id="2033872735">
      <w:bodyDiv w:val="1"/>
      <w:marLeft w:val="0pt"/>
      <w:marRight w:val="0pt"/>
      <w:marTop w:val="0pt"/>
      <w:marBottom w:val="0pt"/>
      <w:divBdr>
        <w:top w:val="none" w:sz="0" w:space="0" w:color="auto"/>
        <w:left w:val="none" w:sz="0" w:space="0" w:color="auto"/>
        <w:bottom w:val="none" w:sz="0" w:space="0" w:color="auto"/>
        <w:right w:val="none" w:sz="0" w:space="0" w:color="auto"/>
      </w:divBdr>
    </w:div>
    <w:div w:id="2043630168">
      <w:bodyDiv w:val="1"/>
      <w:marLeft w:val="0pt"/>
      <w:marRight w:val="0pt"/>
      <w:marTop w:val="0pt"/>
      <w:marBottom w:val="0pt"/>
      <w:divBdr>
        <w:top w:val="none" w:sz="0" w:space="0" w:color="auto"/>
        <w:left w:val="none" w:sz="0" w:space="0" w:color="auto"/>
        <w:bottom w:val="none" w:sz="0" w:space="0" w:color="auto"/>
        <w:right w:val="none" w:sz="0" w:space="0" w:color="auto"/>
      </w:divBdr>
    </w:div>
    <w:div w:id="207920244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glossaryDocument" Target="glossary/document.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docParts>
    <w:docPart>
      <w:docPartPr>
        <w:name w:val="DefaultPlaceholder_-1854013440"/>
        <w:category>
          <w:name w:val="General"/>
          <w:gallery w:val="placeholder"/>
        </w:category>
        <w:types>
          <w:type w:val="bbPlcHdr"/>
        </w:types>
        <w:behaviors>
          <w:behavior w:val="content"/>
        </w:behaviors>
        <w:guid w:val="{170BF518-663C-4048-8154-35C914ED1929}"/>
      </w:docPartPr>
      <w:docPartBody>
        <w:p w:rsidR="00AD384C" w:rsidRDefault="00A13D03">
          <w:r w:rsidRPr="0096415A">
            <w:rPr>
              <w:rStyle w:val="PlaceholderText"/>
            </w:rPr>
            <w:t>Click or tap here to enter text.</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MS Gothic">
    <w:altName w:val="ＭＳ ゴシック"/>
    <w:panose1 w:val="020B06090702050802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D03"/>
    <w:rsid w:val="009F728F"/>
    <w:rsid w:val="00A13D03"/>
    <w:rsid w:val="00AD384C"/>
    <w:rsid w:val="00DD2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8pt" w:line="12.95pt"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13D03"/>
    <w:rPr>
      <w:color w:val="808080"/>
    </w:rPr>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purl.oclc.org/ooxml/officeDocument/relationships" r:id="rId1"/>
  </wetp:taskpane>
</wetp:taskpanes>
</file>

<file path=word/webextensions/webextension1.xml><?xml version="1.0" encoding="utf-8"?>
<we:webextension xmlns:we="http://schemas.microsoft.com/office/webextensions/webextension/2010/11" id="{E425D12E-98DF-4EC6-8C8A-BFE0490D21E6}">
  <we:reference id="wa104382081" version="1.55.1.0" store="en-US" storeType="OMEX"/>
  <we:alternateReferences>
    <we:reference id="wa104382081" version="1.55.1.0" store="" storeType="OMEX"/>
  </we:alternateReferences>
  <we:properties>
    <we:property name="MENDELEY_CITATIONS_STYLE" value="{&quot;id&quot;:&quot;https://www.zotero.org/styles/ieee&quot;,&quot;title&quot;:&quot;IEEE Reference Guide version 11.29.2023&quot;,&quot;format&quot;:&quot;numeric&quot;,&quot;defaultLocale&quot;:null,&quot;isLocaleCodeValid&quot;:true}"/>
    <we:property name="MENDELEY_CITATIONS" value="[{&quot;citationID&quot;:&quot;MENDELEY_CITATION_0a5322ff-7eea-436f-bf48-6a4050572cfc&quot;,&quot;properties&quot;:{&quot;noteIndex&quot;:0},&quot;isEdited&quot;:false,&quot;manualOverride&quot;:{&quot;isManuallyOverridden&quot;:false,&quot;citeprocText&quot;:&quot;[1]&quot;,&quot;manualOverrideText&quot;:&quot;&quot;},&quot;citationTag&quot;:&quot;MENDELEY_CITATION_v3_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&quot;,&quot;citationItems&quot;:[{&quot;id&quot;:&quot;d0538941-4980-3c2b-b469-61123b69121e&quot;,&quot;itemData&quot;:{&quot;type&quot;:&quot;article-journal&quot;,&quot;id&quot;:&quot;d0538941-4980-3c2b-b469-61123b69121e&quot;,&quot;title&quot;:&quot;2020 Joint 9th International Conference on Informatics, Electronics &amp; Vision (ICIEV) and 2020 4th International Conference on Imaging, Vision &amp; Pattern Recognition (icIVPR) : 26-29 August 2020, Kitakyushu, Japan&quot;,&quot;author&quot;:[{&quot;family&quot;:&quot;Nahid&quot;,&quot;given&quot;:&quot;Nazmun&quot;,&quot;parse-names&quot;:false,&quot;dropping-particle&quot;:&quot;&quot;,&quot;non-dropping-particle&quot;:&quot;&quot;},{&quot;family&quot;:&quot;Rahman&quot;,&quot;given&quot;:&quot;Arafat&quot;,&quot;parse-names&quot;:false,&quot;dropping-particle&quot;:&quot;&quot;,&quot;non-dropping-particle&quot;:&quot;&quot;}],&quot;ISBN&quot;:&quot;9781728193311&quot;,&quot;issued&quot;:{&quot;date-parts&quot;:[[2020]]},&quot;page&quot;:&quot;369&quot;,&quot;abstract&quot;:&quot;Computer Vision Image Processing Pattern Recognition Machine Learning Medical Image Processing Human Computer Interaction Remote Sensing &amp; Geoscience Biomedical Systems, Applications in Medicine Robotics &amp; Mechatronics Automation &amp; Control Systems Biometrics Intelligent Transportation Systems Vehicular Electrotechnology Cybernetics Computational Intelligence Soft Computing Fuzzy systems Signal Processing. &quot;,&quot;container-title-short&quot;:&quot;&quot;},&quot;isTemporary&quot;:false}]}]"/>
    <we:property name="MENDELEY_BIBLIOGRAPHY_LAST_MODIFIED" value="1769680156412"/>
    <we:property name="MENDELEY_BIBLIOGRAPHY_IS_DIRTY" value="tru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purl.oclc.org/ooxml/officeDocument/customXml" ds:itemID="{AF177DF8-3C1C-4864-9C13-DFE13339B3D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2689</TotalTime>
  <Pages>6</Pages>
  <Words>7580</Words>
  <Characters>43211</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mashc</cp:lastModifiedBy>
  <cp:revision>3</cp:revision>
  <dcterms:created xsi:type="dcterms:W3CDTF">2026-01-18T04:58:00Z</dcterms:created>
  <dcterms:modified xsi:type="dcterms:W3CDTF">2026-01-29T10:03:00Z</dcterms:modified>
</cp:coreProperties>
</file>

<file path=docProps/custom.xml><?xml version="1.0" encoding="utf-8"?>
<Properties xmlns="http://purl.oclc.org/ooxml/officeDocument/customProperties" xmlns:vt="http://purl.oclc.org/ooxml/officeDocument/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a00c399e-e99b-3341-8119-8256e5b1ff11</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