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931A" w14:textId="77777777" w:rsidR="00F9124E" w:rsidRPr="00F9124E" w:rsidRDefault="00F9124E" w:rsidP="00F9124E"/>
    <w:p w14:paraId="30F06F07" w14:textId="64268483" w:rsidR="00F9124E" w:rsidRPr="00F9124E" w:rsidRDefault="00F9124E" w:rsidP="00F9124E">
      <w:r w:rsidRPr="00F9124E">
        <w:drawing>
          <wp:inline distT="0" distB="0" distL="0" distR="0" wp14:anchorId="34B68E9A" wp14:editId="2B5FBC14">
            <wp:extent cx="5943600" cy="3278505"/>
            <wp:effectExtent l="0" t="0" r="0" b="0"/>
            <wp:docPr id="50628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85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5E79" w14:textId="7053420E" w:rsidR="00F9124E" w:rsidRPr="00F9124E" w:rsidRDefault="00F9124E" w:rsidP="00F9124E">
      <w:pPr>
        <w:rPr>
          <w:rFonts w:ascii="Times New Roman" w:hAnsi="Times New Roman" w:cs="Times New Roman"/>
        </w:rPr>
      </w:pPr>
      <w:r w:rsidRPr="00F9124E">
        <w:rPr>
          <w:rFonts w:ascii="Times New Roman" w:hAnsi="Times New Roman" w:cs="Times New Roman"/>
        </w:rPr>
        <w:t xml:space="preserve">The provided Simulink model illustrates a comprehensive Robotic Control </w:t>
      </w:r>
      <w:proofErr w:type="gramStart"/>
      <w:r w:rsidRPr="00F9124E">
        <w:rPr>
          <w:rFonts w:ascii="Times New Roman" w:hAnsi="Times New Roman" w:cs="Times New Roman"/>
        </w:rPr>
        <w:t>Architecture ,</w:t>
      </w:r>
      <w:proofErr w:type="gramEnd"/>
      <w:r w:rsidRPr="00F9124E">
        <w:rPr>
          <w:rFonts w:ascii="Times New Roman" w:hAnsi="Times New Roman" w:cs="Times New Roman"/>
        </w:rPr>
        <w:t xml:space="preserve"> integrating essential kinematic and dynamic subsystems for a high-degree-of-freedom manipulator.</w:t>
      </w:r>
      <w:r w:rsidRPr="00F9124E">
        <w:rPr>
          <w:rFonts w:ascii="Times New Roman" w:hAnsi="Times New Roman" w:cs="Times New Roman"/>
        </w:rPr>
        <w:t xml:space="preserve"> </w:t>
      </w:r>
      <w:r w:rsidRPr="00F9124E">
        <w:rPr>
          <w:rFonts w:ascii="Times New Roman" w:hAnsi="Times New Roman" w:cs="Times New Roman"/>
        </w:rPr>
        <w:t>Trajectory Generation</w:t>
      </w:r>
      <w:r>
        <w:rPr>
          <w:rFonts w:ascii="Times New Roman" w:hAnsi="Times New Roman" w:cs="Times New Roman"/>
        </w:rPr>
        <w:t>,</w:t>
      </w:r>
      <w:r w:rsidRPr="00F9124E">
        <w:rPr>
          <w:rFonts w:ascii="Times New Roman" w:hAnsi="Times New Roman" w:cs="Times New Roman"/>
        </w:rPr>
        <w:t xml:space="preserve"> </w:t>
      </w:r>
      <w:proofErr w:type="gramStart"/>
      <w:r w:rsidRPr="00F9124E">
        <w:rPr>
          <w:rFonts w:ascii="Times New Roman" w:hAnsi="Times New Roman" w:cs="Times New Roman"/>
        </w:rPr>
        <w:t>The</w:t>
      </w:r>
      <w:proofErr w:type="gramEnd"/>
      <w:r w:rsidRPr="00F9124E">
        <w:rPr>
          <w:rFonts w:ascii="Times New Roman" w:hAnsi="Times New Roman" w:cs="Times New Roman"/>
        </w:rPr>
        <w:t xml:space="preserve"> workflow begins with a Trajectory Generator that computes the desired task-space transformation matrix</w:t>
      </w:r>
      <w:r w:rsidRPr="00F9124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T </m:t>
        </m:r>
      </m:oMath>
      <w:r w:rsidRPr="00F9124E">
        <w:rPr>
          <w:rFonts w:ascii="Times New Roman" w:hAnsi="Times New Roman" w:cs="Times New Roman"/>
        </w:rPr>
        <w:t>over time.</w:t>
      </w:r>
      <w:r w:rsidRPr="00F9124E">
        <w:rPr>
          <w:rFonts w:ascii="Times New Roman" w:hAnsi="Times New Roman" w:cs="Times New Roman"/>
        </w:rPr>
        <w:t xml:space="preserve"> </w:t>
      </w:r>
      <w:r w:rsidRPr="00F9124E">
        <w:rPr>
          <w:rFonts w:ascii="Times New Roman" w:hAnsi="Times New Roman" w:cs="Times New Roman"/>
        </w:rPr>
        <w:t>Inverse Kinematics (IK</w:t>
      </w:r>
      <w:proofErr w:type="gramStart"/>
      <w:r w:rsidRPr="00F9124E">
        <w:rPr>
          <w:rFonts w:ascii="Times New Roman" w:hAnsi="Times New Roman" w:cs="Times New Roman"/>
        </w:rPr>
        <w:t>) :</w:t>
      </w:r>
      <w:proofErr w:type="gramEnd"/>
      <w:r w:rsidRPr="00F9124E">
        <w:rPr>
          <w:rFonts w:ascii="Times New Roman" w:hAnsi="Times New Roman" w:cs="Times New Roman"/>
        </w:rPr>
        <w:t xml:space="preserve"> The IK block maps the target pose back to joint space, </w:t>
      </w:r>
      <w:proofErr w:type="gramStart"/>
      <w:r w:rsidRPr="00F9124E">
        <w:rPr>
          <w:rFonts w:ascii="Times New Roman" w:hAnsi="Times New Roman" w:cs="Times New Roman"/>
        </w:rPr>
        <w:t>solving for</w:t>
      </w:r>
      <w:proofErr w:type="gramEnd"/>
      <w:r w:rsidRPr="00F9124E">
        <w:rPr>
          <w:rFonts w:ascii="Times New Roman" w:hAnsi="Times New Roman" w:cs="Times New Roman"/>
        </w:rPr>
        <w:t xml:space="preserve"> the joint position vector</w:t>
      </w:r>
      <w:r w:rsidRPr="00F9124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q</m:t>
        </m:r>
      </m:oMath>
      <w:r w:rsidRPr="00F9124E">
        <w:rPr>
          <w:rFonts w:ascii="Times New Roman" w:hAnsi="Times New Roman" w:cs="Times New Roman"/>
        </w:rPr>
        <w:t>. This is critical for translating Cartesian goals into actuator commands.</w:t>
      </w:r>
      <w:r w:rsidRPr="00F9124E">
        <w:rPr>
          <w:rFonts w:ascii="Times New Roman" w:hAnsi="Times New Roman" w:cs="Times New Roman"/>
        </w:rPr>
        <w:t xml:space="preserve"> </w:t>
      </w:r>
      <w:r w:rsidRPr="00F9124E">
        <w:rPr>
          <w:rFonts w:ascii="Times New Roman" w:hAnsi="Times New Roman" w:cs="Times New Roman"/>
        </w:rPr>
        <w:t>Forward Kinematics (FK)</w:t>
      </w:r>
      <w:r>
        <w:rPr>
          <w:rFonts w:ascii="Times New Roman" w:hAnsi="Times New Roman" w:cs="Times New Roman"/>
        </w:rPr>
        <w:t xml:space="preserve"> </w:t>
      </w:r>
      <w:r w:rsidRPr="00F9124E">
        <w:rPr>
          <w:rFonts w:ascii="Times New Roman" w:hAnsi="Times New Roman" w:cs="Times New Roman"/>
        </w:rPr>
        <w:t>Simultaneously, the FK block validates the joint positions by calculating the end-effector's pose in task space, often used for feedback or monitoring.</w:t>
      </w:r>
      <w:r w:rsidRPr="00F9124E">
        <w:rPr>
          <w:rFonts w:ascii="Times New Roman" w:hAnsi="Times New Roman" w:cs="Times New Roman"/>
        </w:rPr>
        <w:t xml:space="preserve"> </w:t>
      </w:r>
      <w:r w:rsidRPr="00F9124E">
        <w:rPr>
          <w:rFonts w:ascii="Times New Roman" w:hAnsi="Times New Roman" w:cs="Times New Roman"/>
        </w:rPr>
        <w:t>Inverse Dynamics The model calculates the required joint torques</w:t>
      </w:r>
      <w:r w:rsidRPr="00F9124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τ </m:t>
        </m:r>
      </m:oMath>
      <w:r w:rsidRPr="00F9124E">
        <w:rPr>
          <w:rFonts w:ascii="Times New Roman" w:hAnsi="Times New Roman" w:cs="Times New Roman"/>
        </w:rPr>
        <w:t>based on</w:t>
      </w:r>
      <w:r w:rsidRPr="00F9124E">
        <w:rPr>
          <w:rFonts w:ascii="Times New Roman" w:hAnsi="Times New Roman" w:cs="Times New Roman"/>
        </w:rPr>
        <w:t xml:space="preserve"> q</w:t>
      </w:r>
      <w:r w:rsidRPr="00F9124E">
        <w:rPr>
          <w:rFonts w:ascii="Times New Roman" w:hAnsi="Times New Roman" w:cs="Times New Roman"/>
        </w:rPr>
        <w:t xml:space="preserve">, its derivatives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q</m:t>
                </m:r>
              </m:e>
            </m:acc>
            <m:r>
              <w:rPr>
                <w:rFonts w:ascii="Cambria Math" w:hAnsi="Cambria Math" w:cs="Times New Roman"/>
              </w:rPr>
              <m:t>,</m:t>
            </m:r>
            <m:acc>
              <m:accPr>
                <m:chr m:val="̈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q</m:t>
                </m:r>
              </m:e>
            </m:acc>
          </m:e>
        </m:d>
      </m:oMath>
      <w:r w:rsidRPr="00F9124E">
        <w:rPr>
          <w:rFonts w:ascii="Times New Roman" w:hAnsi="Times New Roman" w:cs="Times New Roman"/>
        </w:rPr>
        <w:t>and the robot's inertial properties (Denavit-Hartenberg and dynamic parameters).</w:t>
      </w:r>
    </w:p>
    <w:p w14:paraId="5C747EFA" w14:textId="77777777" w:rsidR="00F9124E" w:rsidRPr="00F9124E" w:rsidRDefault="00F9124E">
      <w:pPr>
        <w:rPr>
          <w:rFonts w:ascii="Times New Roman" w:hAnsi="Times New Roman" w:cs="Times New Roman"/>
        </w:rPr>
      </w:pPr>
    </w:p>
    <w:sectPr w:rsidR="00F9124E" w:rsidRPr="00F91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7C55"/>
    <w:multiLevelType w:val="multilevel"/>
    <w:tmpl w:val="20BE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487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24E"/>
    <w:rsid w:val="00E434F5"/>
    <w:rsid w:val="00F9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6E50C"/>
  <w15:chartTrackingRefBased/>
  <w15:docId w15:val="{53C7759D-4EB8-4527-ABDA-40C6815DD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24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912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139</Words>
  <Characters>753</Characters>
  <Application>Microsoft Office Word</Application>
  <DocSecurity>0</DocSecurity>
  <Lines>44</Lines>
  <Paragraphs>10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Masimba</dc:creator>
  <cp:keywords/>
  <dc:description/>
  <cp:lastModifiedBy>Collins Masimba</cp:lastModifiedBy>
  <cp:revision>1</cp:revision>
  <dcterms:created xsi:type="dcterms:W3CDTF">2026-01-31T15:02:00Z</dcterms:created>
  <dcterms:modified xsi:type="dcterms:W3CDTF">2026-01-31T15:06:00Z</dcterms:modified>
</cp:coreProperties>
</file>