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00"/>
        <w:jc w:val="center"/>
      </w:pPr>
      <w:r>
        <w:rPr>
          <w:rFonts w:ascii="Arial" w:cs="Arial" w:eastAsia="Arial" w:hAnsi="Arial"/>
          <w:b/>
          <w:bCs/>
          <w:color w:val="1B2A4A"/>
          <w:sz w:val="52"/>
          <w:szCs w:val="52"/>
        </w:rPr>
        <w:t xml:space="preserve">LANSPORT INVESTMENTS</w:t>
      </w:r>
    </w:p>
    <w:p>
      <w:pPr>
        <w:pBdr>
          <w:bottom w:val="single" w:color="2E75B6" w:sz="6" w:space="1"/>
        </w:pBdr>
        <w:spacing w:after="200"/>
        <w:jc w:val="center"/>
      </w:pPr>
      <w:r>
        <w:rPr>
          <w:rFonts w:ascii="Arial" w:cs="Arial" w:eastAsia="Arial" w:hAnsi="Arial"/>
          <w:color w:val="2E75B6"/>
          <w:sz w:val="28"/>
          <w:szCs w:val="28"/>
        </w:rPr>
        <w:t xml:space="preserve">Real Estate Portfolio Management</w:t>
      </w:r>
    </w:p>
    <w:p>
      <w:pPr>
        <w:spacing w:after="400"/>
      </w:pPr>
    </w:p>
    <w:p>
      <w:pPr>
        <w:spacing w:after="200"/>
        <w:jc w:val="center"/>
      </w:pPr>
      <w:r>
        <w:rPr>
          <w:rFonts w:ascii="Arial" w:cs="Arial" w:eastAsia="Arial" w:hAnsi="Arial"/>
          <w:b/>
          <w:bCs/>
          <w:color w:val="1B2A4A"/>
          <w:sz w:val="44"/>
          <w:szCs w:val="44"/>
        </w:rPr>
        <w:t xml:space="preserve">Software Development Plan</w:t>
      </w:r>
    </w:p>
    <w:p>
      <w:pPr>
        <w:spacing w:after="100"/>
        <w:jc w:val="center"/>
      </w:pPr>
      <w:r>
        <w:rPr>
          <w:rFonts w:ascii="Arial" w:cs="Arial" w:eastAsia="Arial" w:hAnsi="Arial"/>
          <w:color w:val="2E75B6"/>
          <w:sz w:val="30"/>
          <w:szCs w:val="30"/>
        </w:rPr>
        <w:t xml:space="preserve">Financial Data Analysis &amp; Visualisation Platform</w:t>
      </w:r>
    </w:p>
    <w:p>
      <w:pPr>
        <w:spacing w:after="600"/>
      </w:pPr>
    </w:p>
    <w:p>
      <w:pPr>
        <w:pBdr>
          <w:top w:val="single" w:color="2E75B6" w:sz="2" w:space="1"/>
        </w:pBdr>
        <w:spacing w:after="200"/>
        <w:jc w:val="center"/>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1B2A4A"/>
                <w:sz w:val="22"/>
                <w:szCs w:val="22"/>
              </w:rPr>
              <w:t xml:space="preserve">Document Version:</w:t>
            </w:r>
          </w:p>
        </w:tc>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595959"/>
                <w:sz w:val="22"/>
                <w:szCs w:val="22"/>
              </w:rPr>
              <w:t xml:space="preserve">1.0</w:t>
            </w:r>
          </w:p>
        </w:tc>
      </w:tr>
      <w:tr>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1B2A4A"/>
                <w:sz w:val="22"/>
                <w:szCs w:val="22"/>
              </w:rPr>
              <w:t xml:space="preserve">Date:</w:t>
            </w:r>
          </w:p>
        </w:tc>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595959"/>
                <w:sz w:val="22"/>
                <w:szCs w:val="22"/>
              </w:rPr>
              <w:t xml:space="preserve">March 2026</w:t>
            </w:r>
          </w:p>
        </w:tc>
      </w:tr>
      <w:tr>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1B2A4A"/>
                <w:sz w:val="22"/>
                <w:szCs w:val="22"/>
              </w:rPr>
              <w:t xml:space="preserve">Classification:</w:t>
            </w:r>
          </w:p>
        </w:tc>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595959"/>
                <w:sz w:val="22"/>
                <w:szCs w:val="22"/>
              </w:rPr>
              <w:t xml:space="preserve">Internal – Confidential</w:t>
            </w:r>
          </w:p>
        </w:tc>
      </w:tr>
      <w:tr>
        <w:tc>
          <w:tcPr>
            <w:tcW w:type="dxa" w:w="22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1B2A4A"/>
                <w:sz w:val="22"/>
                <w:szCs w:val="22"/>
              </w:rPr>
              <w:t xml:space="preserve">Prepared By:</w:t>
            </w:r>
          </w:p>
        </w:tc>
        <w:tc>
          <w:tcPr>
            <w:tcW w:type="dxa" w:w="28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595959"/>
                <w:sz w:val="22"/>
                <w:szCs w:val="22"/>
              </w:rPr>
              <w:t xml:space="preserve">Lansport Investments IT</w:t>
            </w:r>
          </w:p>
        </w:tc>
      </w:tr>
    </w:tbl>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Executive Summary</w:t>
      </w:r>
    </w:p>
    <w:p>
      <w:pPr>
        <w:spacing w:after="120" w:line="276"/>
      </w:pPr>
      <w:r>
        <w:rPr>
          <w:rFonts w:ascii="Arial" w:cs="Arial" w:eastAsia="Arial" w:hAnsi="Arial"/>
          <w:color w:val="595959"/>
          <w:sz w:val="24"/>
          <w:szCs w:val="24"/>
        </w:rPr>
        <w:t xml:space="preserve">Lansport Investments manages a diversified real estate portfolio comprising 17 rental units across multiple properties, including Units 16–32, Units Mn8–Mn9, Mainway, Glaudina House, and Glaudina Cottage. The company currently relies on an Excel-based automated accounting workbook that flows data from a General Ledger into a Trial Balance, Income Statement, and Balance Sheet via formulae linked to a Chart of Accounts.</w:t>
      </w:r>
    </w:p>
    <w:p>
      <w:pPr>
        <w:spacing w:after="120" w:line="276"/>
      </w:pPr>
      <w:r>
        <w:rPr>
          <w:rFonts w:ascii="Arial" w:cs="Arial" w:eastAsia="Arial" w:hAnsi="Arial"/>
          <w:color w:val="595959"/>
          <w:sz w:val="24"/>
          <w:szCs w:val="24"/>
        </w:rPr>
        <w:t xml:space="preserve">While this workbook provides accurate financial record-keeping, it lacks the analytical depth needed to support strategic decision-making. Key questions such as identifying the most and least profitable rental units, tracking expense trends per property, forecasting cash flow, and evaluating portfolio performance remain difficult to answer through spreadsheets alone.</w:t>
      </w:r>
    </w:p>
    <w:p>
      <w:pPr>
        <w:spacing w:after="120" w:line="276"/>
      </w:pPr>
      <w:r>
        <w:rPr>
          <w:rFonts w:ascii="Arial" w:cs="Arial" w:eastAsia="Arial" w:hAnsi="Arial"/>
          <w:color w:val="595959"/>
          <w:sz w:val="24"/>
          <w:szCs w:val="24"/>
        </w:rPr>
        <w:t xml:space="preserve">This Software Development Plan outlines the design, construction, and deployment of a dedicated Financial Data Analysis and Visualisation Platform (hereinafter referred to as “Lansport Analytics”). The platform will ingest data from the existing Excel workbook, apply automated financial calculations, and present interactive dashboards that surface actionable business insights for property management, cost optimisation, and investment planning.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2"/>
              <w:bottom w:val="single" w:color="2E75B6" w:sz="2"/>
              <w:right w:val="single" w:color="2E75B6" w:sz="2"/>
            </w:tcBorders>
            <w:shd w:fill="D5E8F0" w:val="clear"/>
            <w:tcMar>
              <w:top w:type="dxa" w:w="120"/>
              <w:left w:type="dxa" w:w="200"/>
              <w:bottom w:type="dxa" w:w="60"/>
              <w:right w:type="dxa" w:w="200"/>
            </w:tcMar>
          </w:tcPr>
          <w:p>
            <w:r>
              <w:rPr>
                <w:rFonts w:ascii="Arial" w:cs="Arial" w:eastAsia="Arial" w:hAnsi="Arial"/>
                <w:b/>
                <w:bCs/>
                <w:color w:val="1B2A4A"/>
                <w:sz w:val="22"/>
                <w:szCs w:val="22"/>
              </w:rPr>
              <w:t xml:space="preserve">Project Objective</w:t>
            </w:r>
          </w:p>
        </w:tc>
      </w:tr>
      <w:tr>
        <w:tc>
          <w:tcPr>
            <w:tcW w:type="dxa" w:w="9360"/>
            <w:tcBorders>
              <w:top w:val="single" w:color="2E75B6" w:sz="2"/>
              <w:left w:val="single" w:color="2E75B6" w:sz="2"/>
              <w:bottom w:val="single" w:color="2E75B6" w:sz="2"/>
              <w:right w:val="single" w:color="2E75B6" w:sz="2"/>
            </w:tcBorders>
            <w:tcMar>
              <w:top w:type="dxa" w:w="60"/>
              <w:left w:type="dxa" w:w="200"/>
              <w:bottom w:type="dxa" w:w="120"/>
              <w:right w:type="dxa" w:w="200"/>
            </w:tcMar>
          </w:tcPr>
          <w:p>
            <w:pPr>
              <w:spacing w:after="60"/>
            </w:pPr>
            <w:r>
              <w:rPr>
                <w:rFonts w:ascii="Arial" w:cs="Arial" w:eastAsia="Arial" w:hAnsi="Arial"/>
                <w:color w:val="595959"/>
                <w:sz w:val="22"/>
                <w:szCs w:val="22"/>
              </w:rPr>
              <w:t xml:space="preserve">Build a web-based analytics platform that transforms Lansport Investments’ raw accounting data into interactive dashboards, per-unit profitability analysis, trend visualisations, and financial health indicators to support data-driven business decisions.</w:t>
            </w:r>
          </w:p>
        </w:tc>
      </w:tr>
    </w:tbl>
    <w:p>
      <w:pPr>
        <w:spacing w:after="100"/>
      </w:pPr>
    </w:p>
    <w:p>
      <w:r>
        <w:br w:type="page"/>
      </w:r>
    </w:p>
    <w:p>
      <w:pPr>
        <w:pStyle w:val="Heading1"/>
      </w:pPr>
      <w:r>
        <w:t xml:space="preserve">2. Current State Analysis</w:t>
      </w:r>
    </w:p>
    <w:p>
      <w:pPr>
        <w:pStyle w:val="Heading2"/>
      </w:pPr>
      <w:r>
        <w:t xml:space="preserve">2.1 Existing Workbook Architecture</w:t>
      </w:r>
    </w:p>
    <w:p>
      <w:pPr>
        <w:spacing w:after="120" w:line="276"/>
      </w:pPr>
      <w:r>
        <w:rPr>
          <w:rFonts w:ascii="Arial" w:cs="Arial" w:eastAsia="Arial" w:hAnsi="Arial"/>
          <w:color w:val="595959"/>
          <w:sz w:val="24"/>
          <w:szCs w:val="24"/>
        </w:rPr>
        <w:t xml:space="preserve">The current accounting system is built as a single Excel workbook containing five interlinked worksheets. Data entry occurs exclusively in the General Ledger, and all downstream reports are populated automatically through cell references and formulae.</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Worksheet</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Data Points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Chart of Accounts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Defines account taxonomy with 92 accounts across 6 types (Asset, Contra Asset, Liability, Equity, Revenue, Expense)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Account numbers (1000–5418), names, types, normal balance direction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General Ledger</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Central transaction register; single point of data entry for the entire workbook</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~1,968 journal entries with date, account, description, debit/credit amounts, and automated balance checks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Trial Balance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Aggregates all GL entries by account to verify debit/credit equality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Per-account debit totals, credit totals, net balance; automated balance check indicator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Income Statement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Profit &amp; Loss report showing revenue and expenses for the reporting period</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17 rental income lines, sales revenue, 34+ expense categories, net income calculation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Balance Sheet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Statement of financial position showing assets, liabilities, and equity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Total assets, liabilities, equity with automated A = L + E verification</w:t>
            </w:r>
          </w:p>
        </w:tc>
      </w:tr>
    </w:tbl>
    <w:p>
      <w:pPr>
        <w:spacing w:after="100"/>
      </w:pPr>
    </w:p>
    <w:p>
      <w:pPr>
        <w:pStyle w:val="Heading2"/>
      </w:pPr>
      <w:r>
        <w:t xml:space="preserve">2.2 Portfolio Composition</w:t>
      </w:r>
    </w:p>
    <w:p>
      <w:pPr>
        <w:spacing w:after="120" w:line="276"/>
      </w:pPr>
      <w:r>
        <w:rPr>
          <w:rFonts w:ascii="Arial" w:cs="Arial" w:eastAsia="Arial" w:hAnsi="Arial"/>
          <w:color w:val="595959"/>
          <w:sz w:val="24"/>
          <w:szCs w:val="24"/>
        </w:rPr>
        <w:t xml:space="preserve">The rental portfolio generates income from 17 distinct units, each tracked as a separate revenue account. Associated expenses for each unit include Repairs &amp; Maintenance (R&amp;M) and Levies, enabling granular per-unit profitability analysis. This structure makes the data particularly well-suited for comparative property performance dashboards.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Property Group</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Units</w:t>
            </w:r>
          </w:p>
        </w:tc>
        <w:tc>
          <w:tcPr>
            <w:tcW w:type="dxa" w:w="2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Revenue Range (Current Period)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Main Complex (Units 16–32)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Units 16, 17, 18, 19, 25, 26, 27, 28, 29, 30, 31, 32</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$700 – $1,650 per unit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Mn Block</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Units Mn8, Mn9</w:t>
            </w:r>
          </w:p>
        </w:tc>
        <w:tc>
          <w:tcPr>
            <w:tcW w:type="dxa" w:w="2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$590 – $680 per unit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Standalone Properties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Mainway, Glaudina House, Glaudina Cottage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$500 per unit</w:t>
            </w:r>
          </w:p>
        </w:tc>
      </w:tr>
    </w:tbl>
    <w:p>
      <w:pPr>
        <w:spacing w:after="100"/>
      </w:pPr>
    </w:p>
    <w:p>
      <w:pPr>
        <w:pStyle w:val="Heading2"/>
      </w:pPr>
      <w:r>
        <w:t xml:space="preserve">2.3 Identified Limitations</w:t>
      </w:r>
    </w:p>
    <w:p>
      <w:pPr>
        <w:pStyle w:val="ListParagraph"/>
        <w:numPr>
          <w:ilvl w:val="0"/>
          <w:numId w:val="2"/>
        </w:numPr>
        <w:spacing w:after="60" w:line="276"/>
      </w:pPr>
      <w:r>
        <w:rPr>
          <w:rFonts w:ascii="Arial" w:cs="Arial" w:eastAsia="Arial" w:hAnsi="Arial"/>
          <w:b/>
          <w:bCs/>
          <w:color w:val="1B2A4A"/>
          <w:sz w:val="24"/>
          <w:szCs w:val="24"/>
        </w:rPr>
        <w:t xml:space="preserve">No trend analysis: </w:t>
      </w:r>
      <w:r>
        <w:rPr>
          <w:rFonts w:ascii="Arial" w:cs="Arial" w:eastAsia="Arial" w:hAnsi="Arial"/>
          <w:color w:val="595959"/>
          <w:sz w:val="24"/>
          <w:szCs w:val="24"/>
        </w:rPr>
        <w:t xml:space="preserve">The workbook captures point-in-time totals but cannot display how revenue, expenses, or cash balances change over time.</w:t>
      </w:r>
    </w:p>
    <w:p>
      <w:pPr>
        <w:pStyle w:val="ListParagraph"/>
        <w:numPr>
          <w:ilvl w:val="0"/>
          <w:numId w:val="2"/>
        </w:numPr>
        <w:spacing w:after="60" w:line="276"/>
      </w:pPr>
      <w:r>
        <w:rPr>
          <w:rFonts w:ascii="Arial" w:cs="Arial" w:eastAsia="Arial" w:hAnsi="Arial"/>
          <w:b/>
          <w:bCs/>
          <w:color w:val="1B2A4A"/>
          <w:sz w:val="24"/>
          <w:szCs w:val="24"/>
        </w:rPr>
        <w:t xml:space="preserve">No per-unit profitability: </w:t>
      </w:r>
      <w:r>
        <w:rPr>
          <w:rFonts w:ascii="Arial" w:cs="Arial" w:eastAsia="Arial" w:hAnsi="Arial"/>
          <w:color w:val="595959"/>
          <w:sz w:val="24"/>
          <w:szCs w:val="24"/>
        </w:rPr>
        <w:t xml:space="preserve">While income and expenses are tracked per unit, there is no consolidated view showing net profitability by property.</w:t>
      </w:r>
    </w:p>
    <w:p>
      <w:pPr>
        <w:pStyle w:val="ListParagraph"/>
        <w:numPr>
          <w:ilvl w:val="0"/>
          <w:numId w:val="2"/>
        </w:numPr>
        <w:spacing w:after="60" w:line="276"/>
      </w:pPr>
      <w:r>
        <w:rPr>
          <w:rFonts w:ascii="Arial" w:cs="Arial" w:eastAsia="Arial" w:hAnsi="Arial"/>
          <w:b/>
          <w:bCs/>
          <w:color w:val="1B2A4A"/>
          <w:sz w:val="24"/>
          <w:szCs w:val="24"/>
        </w:rPr>
        <w:t xml:space="preserve">No forecasting: </w:t>
      </w:r>
      <w:r>
        <w:rPr>
          <w:rFonts w:ascii="Arial" w:cs="Arial" w:eastAsia="Arial" w:hAnsi="Arial"/>
          <w:color w:val="595959"/>
          <w:sz w:val="24"/>
          <w:szCs w:val="24"/>
        </w:rPr>
        <w:t xml:space="preserve">Cash flow projections and budget-to-actual comparisons are not possible within the current spreadsheet structure.</w:t>
      </w:r>
    </w:p>
    <w:p>
      <w:pPr>
        <w:pStyle w:val="ListParagraph"/>
        <w:numPr>
          <w:ilvl w:val="0"/>
          <w:numId w:val="2"/>
        </w:numPr>
        <w:spacing w:after="60" w:line="276"/>
      </w:pPr>
      <w:r>
        <w:rPr>
          <w:rFonts w:ascii="Arial" w:cs="Arial" w:eastAsia="Arial" w:hAnsi="Arial"/>
          <w:b/>
          <w:bCs/>
          <w:color w:val="1B2A4A"/>
          <w:sz w:val="24"/>
          <w:szCs w:val="24"/>
        </w:rPr>
        <w:t xml:space="preserve">Manual reporting: </w:t>
      </w:r>
      <w:r>
        <w:rPr>
          <w:rFonts w:ascii="Arial" w:cs="Arial" w:eastAsia="Arial" w:hAnsi="Arial"/>
          <w:color w:val="595959"/>
          <w:sz w:val="24"/>
          <w:szCs w:val="24"/>
        </w:rPr>
        <w:t xml:space="preserve">Generating comparative reports or filtering data by date range requires manual manipulation.</w:t>
      </w:r>
    </w:p>
    <w:p>
      <w:pPr>
        <w:pStyle w:val="ListParagraph"/>
        <w:numPr>
          <w:ilvl w:val="0"/>
          <w:numId w:val="2"/>
        </w:numPr>
        <w:spacing w:after="60" w:line="276"/>
      </w:pPr>
      <w:r>
        <w:rPr>
          <w:rFonts w:ascii="Arial" w:cs="Arial" w:eastAsia="Arial" w:hAnsi="Arial"/>
          <w:b/>
          <w:bCs/>
          <w:color w:val="1B2A4A"/>
          <w:sz w:val="24"/>
          <w:szCs w:val="24"/>
        </w:rPr>
        <w:t xml:space="preserve">Single-user access: </w:t>
      </w:r>
      <w:r>
        <w:rPr>
          <w:rFonts w:ascii="Arial" w:cs="Arial" w:eastAsia="Arial" w:hAnsi="Arial"/>
          <w:color w:val="595959"/>
          <w:sz w:val="24"/>
          <w:szCs w:val="24"/>
        </w:rPr>
        <w:t xml:space="preserve">The Excel file does not support concurrent multi-user access or role-based data visibility.</w:t>
      </w:r>
    </w:p>
    <w:p>
      <w:pPr>
        <w:pStyle w:val="ListParagraph"/>
        <w:numPr>
          <w:ilvl w:val="0"/>
          <w:numId w:val="2"/>
        </w:numPr>
        <w:spacing w:after="60" w:line="276"/>
      </w:pPr>
      <w:r>
        <w:rPr>
          <w:rFonts w:ascii="Arial" w:cs="Arial" w:eastAsia="Arial" w:hAnsi="Arial"/>
          <w:b/>
          <w:bCs/>
          <w:color w:val="1B2A4A"/>
          <w:sz w:val="24"/>
          <w:szCs w:val="24"/>
        </w:rPr>
        <w:t xml:space="preserve">No anomaly detection: </w:t>
      </w:r>
      <w:r>
        <w:rPr>
          <w:rFonts w:ascii="Arial" w:cs="Arial" w:eastAsia="Arial" w:hAnsi="Arial"/>
          <w:color w:val="595959"/>
          <w:sz w:val="24"/>
          <w:szCs w:val="24"/>
        </w:rPr>
        <w:t xml:space="preserve">Unusual transactions or deviations from expected patterns are not flagged automatically.</w:t>
      </w:r>
    </w:p>
    <w:p>
      <w:r>
        <w:br w:type="page"/>
      </w:r>
    </w:p>
    <w:p>
      <w:pPr>
        <w:pStyle w:val="Heading1"/>
      </w:pPr>
      <w:r>
        <w:t xml:space="preserve">3. Project Scope &amp; Objectives</w:t>
      </w:r>
    </w:p>
    <w:p>
      <w:pPr>
        <w:pStyle w:val="Heading2"/>
      </w:pPr>
      <w:r>
        <w:t xml:space="preserve">3.1 In-Scope Features</w:t>
      </w:r>
    </w:p>
    <w:p>
      <w:pPr>
        <w:spacing w:after="120" w:line="276"/>
      </w:pPr>
      <w:r>
        <w:rPr>
          <w:rFonts w:ascii="Arial" w:cs="Arial" w:eastAsia="Arial" w:hAnsi="Arial"/>
          <w:color w:val="595959"/>
          <w:sz w:val="24"/>
          <w:szCs w:val="24"/>
        </w:rPr>
        <w:t xml:space="preserve">The Lansport Analytics platform will deliver the following core capabilities: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Module</w:t>
            </w:r>
          </w:p>
        </w:tc>
        <w:tc>
          <w:tcPr>
            <w:tcW w:type="dxa" w:w="4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Business Value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Executive Dashboard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High-level KPI cards showing total revenue, total expenses, net income, cash position, occupancy metrics, and month-over-month changes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Instant snapshot of business health without opening spreadsheets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Per-Unit Profitability</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Drill-down view for each of the 17 rental units showing gross rent, R&amp;M costs, levies, and net contribution margin</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Identify underperforming units, justify rent adjustments, prioritise maintenance spend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Revenue Analytics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Time-series charts of rental income by unit and property group, with period-over-period comparison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Spot seasonal trends, vacancy impact, and revenue concentration risk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Expense Analytics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Breakdown of operating expenses by category (R&amp;M, levies, office, fuel, vehicle, etc.) with trend lines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Control cost overruns, benchmark maintenance costs, budget more accurately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Cash Flow Tracker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Running cash balance visualisation with inflow/outflow decomposition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Anticipate shortfalls, time capital expenditures, manage working capital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Balance Sheet Explorer</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Interactive representation of assets, liabilities, and equity with historical snapshots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Track capital structure changes, monitor leverage ratios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General Ledger Browser</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Searchable, filterable view of all journal entries with export capability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Quick transaction lookup, audit trail, ad-hoc analysis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Financial Ratios</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Automated calculation of key ratios: operating margin, expense ratio per unit, return on equity, current ratio</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Benchmark performance, support loan applications, investor reporting</w:t>
            </w:r>
          </w:p>
        </w:tc>
      </w:tr>
    </w:tbl>
    <w:p>
      <w:pPr>
        <w:spacing w:after="100"/>
      </w:pPr>
    </w:p>
    <w:p>
      <w:pPr>
        <w:pStyle w:val="Heading2"/>
      </w:pPr>
      <w:r>
        <w:t xml:space="preserve">3.2 Out of Scope (Phase 1)</w:t>
      </w:r>
    </w:p>
    <w:p>
      <w:pPr>
        <w:pStyle w:val="ListParagraph"/>
        <w:numPr>
          <w:ilvl w:val="0"/>
          <w:numId w:val="2"/>
        </w:numPr>
        <w:spacing w:after="60" w:line="276"/>
      </w:pPr>
      <w:r>
        <w:rPr>
          <w:rFonts w:ascii="Arial" w:cs="Arial" w:eastAsia="Arial" w:hAnsi="Arial"/>
          <w:color w:val="595959"/>
          <w:sz w:val="24"/>
          <w:szCs w:val="24"/>
        </w:rPr>
        <w:t xml:space="preserve">Tenant management and lease tracking</w:t>
      </w:r>
    </w:p>
    <w:p>
      <w:pPr>
        <w:pStyle w:val="ListParagraph"/>
        <w:numPr>
          <w:ilvl w:val="0"/>
          <w:numId w:val="2"/>
        </w:numPr>
        <w:spacing w:after="60" w:line="276"/>
      </w:pPr>
      <w:r>
        <w:rPr>
          <w:rFonts w:ascii="Arial" w:cs="Arial" w:eastAsia="Arial" w:hAnsi="Arial"/>
          <w:color w:val="595959"/>
          <w:sz w:val="24"/>
          <w:szCs w:val="24"/>
        </w:rPr>
        <w:t xml:space="preserve">Invoice generation and accounts receivable aging</w:t>
      </w:r>
    </w:p>
    <w:p>
      <w:pPr>
        <w:pStyle w:val="ListParagraph"/>
        <w:numPr>
          <w:ilvl w:val="0"/>
          <w:numId w:val="2"/>
        </w:numPr>
        <w:spacing w:after="60" w:line="276"/>
      </w:pPr>
      <w:r>
        <w:rPr>
          <w:rFonts w:ascii="Arial" w:cs="Arial" w:eastAsia="Arial" w:hAnsi="Arial"/>
          <w:color w:val="595959"/>
          <w:sz w:val="24"/>
          <w:szCs w:val="24"/>
        </w:rPr>
        <w:t xml:space="preserve">Bank feed integration and automated reconciliation</w:t>
      </w:r>
    </w:p>
    <w:p>
      <w:pPr>
        <w:pStyle w:val="ListParagraph"/>
        <w:numPr>
          <w:ilvl w:val="0"/>
          <w:numId w:val="2"/>
        </w:numPr>
        <w:spacing w:after="60" w:line="276"/>
      </w:pPr>
      <w:r>
        <w:rPr>
          <w:rFonts w:ascii="Arial" w:cs="Arial" w:eastAsia="Arial" w:hAnsi="Arial"/>
          <w:color w:val="595959"/>
          <w:sz w:val="24"/>
          <w:szCs w:val="24"/>
        </w:rPr>
        <w:t xml:space="preserve">Multi-currency support</w:t>
      </w:r>
    </w:p>
    <w:p>
      <w:pPr>
        <w:pStyle w:val="ListParagraph"/>
        <w:numPr>
          <w:ilvl w:val="0"/>
          <w:numId w:val="2"/>
        </w:numPr>
        <w:spacing w:after="60" w:line="276"/>
      </w:pPr>
      <w:r>
        <w:rPr>
          <w:rFonts w:ascii="Arial" w:cs="Arial" w:eastAsia="Arial" w:hAnsi="Arial"/>
          <w:color w:val="595959"/>
          <w:sz w:val="24"/>
          <w:szCs w:val="24"/>
        </w:rPr>
        <w:t xml:space="preserve">Tax computation and compliance reporting</w:t>
      </w:r>
    </w:p>
    <w:p>
      <w:pPr>
        <w:pStyle w:val="ListParagraph"/>
        <w:numPr>
          <w:ilvl w:val="0"/>
          <w:numId w:val="2"/>
        </w:numPr>
        <w:spacing w:after="60" w:line="276"/>
      </w:pPr>
      <w:r>
        <w:rPr>
          <w:rFonts w:ascii="Arial" w:cs="Arial" w:eastAsia="Arial" w:hAnsi="Arial"/>
          <w:color w:val="595959"/>
          <w:sz w:val="24"/>
          <w:szCs w:val="24"/>
        </w:rPr>
        <w:t xml:space="preserve">Mobile native application (responsive web will be provided)</w:t>
      </w:r>
    </w:p>
    <w:p>
      <w:pPr>
        <w:spacing w:after="100"/>
      </w:pPr>
    </w:p>
    <w:p>
      <w:pPr>
        <w:pStyle w:val="Heading2"/>
      </w:pPr>
      <w:r>
        <w:t xml:space="preserve">3.3 Success Criteria</w:t>
      </w:r>
    </w:p>
    <w:p>
      <w:pPr>
        <w:pStyle w:val="ListParagraph"/>
        <w:numPr>
          <w:ilvl w:val="0"/>
          <w:numId w:val="2"/>
        </w:numPr>
        <w:spacing w:after="60" w:line="276"/>
      </w:pPr>
      <w:r>
        <w:rPr>
          <w:rFonts w:ascii="Arial" w:cs="Arial" w:eastAsia="Arial" w:hAnsi="Arial"/>
          <w:b/>
          <w:bCs/>
          <w:color w:val="1B2A4A"/>
          <w:sz w:val="24"/>
          <w:szCs w:val="24"/>
        </w:rPr>
        <w:t xml:space="preserve">Data accuracy: </w:t>
      </w:r>
      <w:r>
        <w:rPr>
          <w:rFonts w:ascii="Arial" w:cs="Arial" w:eastAsia="Arial" w:hAnsi="Arial"/>
          <w:color w:val="595959"/>
          <w:sz w:val="24"/>
          <w:szCs w:val="24"/>
        </w:rPr>
        <w:t xml:space="preserve">All dashboard figures must reconcile to the source workbook within a tolerance of $0.01.</w:t>
      </w:r>
    </w:p>
    <w:p>
      <w:pPr>
        <w:pStyle w:val="ListParagraph"/>
        <w:numPr>
          <w:ilvl w:val="0"/>
          <w:numId w:val="2"/>
        </w:numPr>
        <w:spacing w:after="60" w:line="276"/>
      </w:pPr>
      <w:r>
        <w:rPr>
          <w:rFonts w:ascii="Arial" w:cs="Arial" w:eastAsia="Arial" w:hAnsi="Arial"/>
          <w:b/>
          <w:bCs/>
          <w:color w:val="1B2A4A"/>
          <w:sz w:val="24"/>
          <w:szCs w:val="24"/>
        </w:rPr>
        <w:t xml:space="preserve">Load time: </w:t>
      </w:r>
      <w:r>
        <w:rPr>
          <w:rFonts w:ascii="Arial" w:cs="Arial" w:eastAsia="Arial" w:hAnsi="Arial"/>
          <w:color w:val="595959"/>
          <w:sz w:val="24"/>
          <w:szCs w:val="24"/>
        </w:rPr>
        <w:t xml:space="preserve">Dashboard pages must render within 2 seconds for datasets up to 10,000 GL entries.</w:t>
      </w:r>
    </w:p>
    <w:p>
      <w:pPr>
        <w:pStyle w:val="ListParagraph"/>
        <w:numPr>
          <w:ilvl w:val="0"/>
          <w:numId w:val="2"/>
        </w:numPr>
        <w:spacing w:after="60" w:line="276"/>
      </w:pPr>
      <w:r>
        <w:rPr>
          <w:rFonts w:ascii="Arial" w:cs="Arial" w:eastAsia="Arial" w:hAnsi="Arial"/>
          <w:b/>
          <w:bCs/>
          <w:color w:val="1B2A4A"/>
          <w:sz w:val="24"/>
          <w:szCs w:val="24"/>
        </w:rPr>
        <w:t xml:space="preserve">User adoption: </w:t>
      </w:r>
      <w:r>
        <w:rPr>
          <w:rFonts w:ascii="Arial" w:cs="Arial" w:eastAsia="Arial" w:hAnsi="Arial"/>
          <w:color w:val="595959"/>
          <w:sz w:val="24"/>
          <w:szCs w:val="24"/>
        </w:rPr>
        <w:t xml:space="preserve">The platform must be intuitive enough that a non-technical property manager can navigate all dashboards without training.</w:t>
      </w:r>
    </w:p>
    <w:p>
      <w:pPr>
        <w:pStyle w:val="ListParagraph"/>
        <w:numPr>
          <w:ilvl w:val="0"/>
          <w:numId w:val="2"/>
        </w:numPr>
        <w:spacing w:after="60" w:line="276"/>
      </w:pPr>
      <w:r>
        <w:rPr>
          <w:rFonts w:ascii="Arial" w:cs="Arial" w:eastAsia="Arial" w:hAnsi="Arial"/>
          <w:b/>
          <w:bCs/>
          <w:color w:val="1B2A4A"/>
          <w:sz w:val="24"/>
          <w:szCs w:val="24"/>
        </w:rPr>
        <w:t xml:space="preserve">Insight generation: </w:t>
      </w:r>
      <w:r>
        <w:rPr>
          <w:rFonts w:ascii="Arial" w:cs="Arial" w:eastAsia="Arial" w:hAnsi="Arial"/>
          <w:color w:val="595959"/>
          <w:sz w:val="24"/>
          <w:szCs w:val="24"/>
        </w:rPr>
        <w:t xml:space="preserve">At least 5 actionable insights must be surfaceable from the current dataset at launch.</w:t>
      </w:r>
    </w:p>
    <w:p>
      <w:pPr>
        <w:pStyle w:val="ListParagraph"/>
        <w:numPr>
          <w:ilvl w:val="0"/>
          <w:numId w:val="2"/>
        </w:numPr>
        <w:spacing w:after="60" w:line="276"/>
      </w:pPr>
      <w:r>
        <w:rPr>
          <w:rFonts w:ascii="Arial" w:cs="Arial" w:eastAsia="Arial" w:hAnsi="Arial"/>
          <w:b/>
          <w:bCs/>
          <w:color w:val="1B2A4A"/>
          <w:sz w:val="24"/>
          <w:szCs w:val="24"/>
        </w:rPr>
        <w:t xml:space="preserve">Export capability: </w:t>
      </w:r>
      <w:r>
        <w:rPr>
          <w:rFonts w:ascii="Arial" w:cs="Arial" w:eastAsia="Arial" w:hAnsi="Arial"/>
          <w:color w:val="595959"/>
          <w:sz w:val="24"/>
          <w:szCs w:val="24"/>
        </w:rPr>
        <w:t xml:space="preserve">All charts and tables must be exportable to PDF or CSV formats.</w:t>
      </w:r>
    </w:p>
    <w:p>
      <w:r>
        <w:br w:type="page"/>
      </w:r>
    </w:p>
    <w:p>
      <w:pPr>
        <w:pStyle w:val="Heading1"/>
      </w:pPr>
      <w:r>
        <w:t xml:space="preserve">4. System Architecture</w:t>
      </w:r>
    </w:p>
    <w:p>
      <w:pPr>
        <w:pStyle w:val="Heading2"/>
      </w:pPr>
      <w:r>
        <w:t xml:space="preserve">4.1 Architecture Overview</w:t>
      </w:r>
    </w:p>
    <w:p>
      <w:pPr>
        <w:spacing w:after="120" w:line="276"/>
      </w:pPr>
      <w:r>
        <w:rPr>
          <w:rFonts w:ascii="Arial" w:cs="Arial" w:eastAsia="Arial" w:hAnsi="Arial"/>
          <w:color w:val="595959"/>
          <w:sz w:val="24"/>
          <w:szCs w:val="24"/>
        </w:rPr>
        <w:t xml:space="preserve">Lansport Analytics will follow a modern three-tier web application architecture. The system is designed for initial deployment via Cloudflare Tunnel for secure self-hosting, with the option to migrate to cloud infrastructure as the business scales.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Responsibility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Presentation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Next.js 14+ with TypeScript, Tailwind CSS, Recharts/D3.js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Interactive dashboards, responsive UI, chart rendering, user interactions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Application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Next.js API Routes / Node.js, Python data processing scripts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Business logic, data transformation, financial calculations, API endpoints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Data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PostgreSQL (primary), Redis (caching)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Persistent storage of accounting data, cached aggregations for dashboard performance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Infrastructure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Docker containers, Cloudflare Tunnel, Nginx reverse proxy</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Secure self-hosting, SSL termination, container orchestration</w:t>
            </w:r>
          </w:p>
        </w:tc>
      </w:tr>
    </w:tbl>
    <w:p>
      <w:pPr>
        <w:spacing w:after="100"/>
      </w:pPr>
    </w:p>
    <w:p>
      <w:pPr>
        <w:pStyle w:val="Heading2"/>
      </w:pPr>
      <w:r>
        <w:t xml:space="preserve">4.2 Data Flow Pipeline</w:t>
      </w:r>
    </w:p>
    <w:p>
      <w:pPr>
        <w:spacing w:after="120" w:line="276"/>
      </w:pPr>
      <w:r>
        <w:rPr>
          <w:rFonts w:ascii="Arial" w:cs="Arial" w:eastAsia="Arial" w:hAnsi="Arial"/>
          <w:color w:val="595959"/>
          <w:sz w:val="24"/>
          <w:szCs w:val="24"/>
        </w:rPr>
        <w:t xml:space="preserve">The platform will implement a structured ETL (Extract, Transform, Load) pipeline to process the Excel workbook data:</w:t>
      </w:r>
    </w:p>
    <w:p>
      <w:pPr>
        <w:spacing w:after="50"/>
      </w:pPr>
    </w:p>
    <w:p>
      <w:pPr>
        <w:pStyle w:val="ListParagraph"/>
        <w:numPr>
          <w:ilvl w:val="0"/>
          <w:numId w:val="2"/>
        </w:numPr>
        <w:spacing w:after="60" w:line="276"/>
      </w:pPr>
      <w:r>
        <w:rPr>
          <w:rFonts w:ascii="Arial" w:cs="Arial" w:eastAsia="Arial" w:hAnsi="Arial"/>
          <w:b/>
          <w:bCs/>
          <w:color w:val="1B2A4A"/>
          <w:sz w:val="24"/>
          <w:szCs w:val="24"/>
        </w:rPr>
        <w:t xml:space="preserve">Extract: </w:t>
      </w:r>
      <w:r>
        <w:rPr>
          <w:rFonts w:ascii="Arial" w:cs="Arial" w:eastAsia="Arial" w:hAnsi="Arial"/>
          <w:color w:val="595959"/>
          <w:sz w:val="24"/>
          <w:szCs w:val="24"/>
        </w:rPr>
        <w:t xml:space="preserve">A Python-based ingestion module reads the Excel workbook using the openpyxl library, parsing each worksheet into structured data frames. The module validates worksheet structure against expected schemas before proceeding.</w:t>
      </w:r>
    </w:p>
    <w:p>
      <w:pPr>
        <w:pStyle w:val="ListParagraph"/>
        <w:numPr>
          <w:ilvl w:val="0"/>
          <w:numId w:val="2"/>
        </w:numPr>
        <w:spacing w:after="60" w:line="276"/>
      </w:pPr>
      <w:r>
        <w:rPr>
          <w:rFonts w:ascii="Arial" w:cs="Arial" w:eastAsia="Arial" w:hAnsi="Arial"/>
          <w:b/>
          <w:bCs/>
          <w:color w:val="1B2A4A"/>
          <w:sz w:val="24"/>
          <w:szCs w:val="24"/>
        </w:rPr>
        <w:t xml:space="preserve">Transform: </w:t>
      </w:r>
      <w:r>
        <w:rPr>
          <w:rFonts w:ascii="Arial" w:cs="Arial" w:eastAsia="Arial" w:hAnsi="Arial"/>
          <w:color w:val="595959"/>
          <w:sz w:val="24"/>
          <w:szCs w:val="24"/>
        </w:rPr>
        <w:t xml:space="preserve">Raw GL entries are enriched with account type metadata from the Chart of Accounts. Transactions are grouped by property unit, expense category, and time period. Financial aggregations are computed: per-unit revenue, per-unit expenses, running balances, and period summaries.</w:t>
      </w:r>
    </w:p>
    <w:p>
      <w:pPr>
        <w:pStyle w:val="ListParagraph"/>
        <w:numPr>
          <w:ilvl w:val="0"/>
          <w:numId w:val="2"/>
        </w:numPr>
        <w:spacing w:after="60" w:line="276"/>
      </w:pPr>
      <w:r>
        <w:rPr>
          <w:rFonts w:ascii="Arial" w:cs="Arial" w:eastAsia="Arial" w:hAnsi="Arial"/>
          <w:b/>
          <w:bCs/>
          <w:color w:val="1B2A4A"/>
          <w:sz w:val="24"/>
          <w:szCs w:val="24"/>
        </w:rPr>
        <w:t xml:space="preserve">Load: </w:t>
      </w:r>
      <w:r>
        <w:rPr>
          <w:rFonts w:ascii="Arial" w:cs="Arial" w:eastAsia="Arial" w:hAnsi="Arial"/>
          <w:color w:val="595959"/>
          <w:sz w:val="24"/>
          <w:szCs w:val="24"/>
        </w:rPr>
        <w:t xml:space="preserve">Transformed data is loaded into PostgreSQL tables optimised for analytical queries. Materialised views are created for frequently accessed aggregations such as monthly revenue by unit and expense category totals. Redis caching stores pre-computed dashboard KPIs with a configurable TTL.</w:t>
      </w:r>
    </w:p>
    <w:p>
      <w:pPr>
        <w:spacing w:after="50"/>
      </w:pPr>
    </w:p>
    <w:p>
      <w:pPr>
        <w:spacing w:after="120" w:line="276"/>
      </w:pPr>
      <w:r>
        <w:rPr>
          <w:rFonts w:ascii="Arial" w:cs="Arial" w:eastAsia="Arial" w:hAnsi="Arial"/>
          <w:color w:val="595959"/>
          <w:sz w:val="24"/>
          <w:szCs w:val="24"/>
        </w:rPr>
        <w:t xml:space="preserve">The pipeline supports both full reload (when a new workbook version is uploaded) and incremental updates (when new entries are appended to the General Ledger). A checksumming mechanism detects whether re-processing is necessary.</w:t>
      </w:r>
    </w:p>
    <w:p>
      <w:pPr>
        <w:spacing w:after="100"/>
      </w:pPr>
    </w:p>
    <w:p>
      <w:pPr>
        <w:pStyle w:val="Heading2"/>
      </w:pPr>
      <w:r>
        <w:t xml:space="preserve">4.3 Database Schema Design</w:t>
      </w:r>
    </w:p>
    <w:p>
      <w:pPr>
        <w:spacing w:after="120" w:line="276"/>
      </w:pPr>
      <w:r>
        <w:rPr>
          <w:rFonts w:ascii="Arial" w:cs="Arial" w:eastAsia="Arial" w:hAnsi="Arial"/>
          <w:color w:val="595959"/>
          <w:sz w:val="24"/>
          <w:szCs w:val="24"/>
        </w:rPr>
        <w:t xml:space="preserve">The relational schema normalises the workbook data into the following core tables: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Table</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Columns</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accounts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account_id (PK), account_number, name, type, normal_balance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Master reference of all accounts from Chart of Accounts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journal_entries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entry_id (PK), date, account_id (FK), description, debit, credit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Normalised General Ledger transactions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properties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property_id (PK), name, group, revenue_account_id, rm_account_id, levy_account_id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Property unit registry linking revenue/expense accounts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period_summaries</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period_id (PK), period_start, period_end, account_id (FK), total_debit, total_credit, net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Pre-aggregated period summaries for fast dashboard queries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upload_history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upload_id (PK), filename, checksum, uploaded_at, row_count, status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Audit trail of workbook uploads</w:t>
            </w:r>
          </w:p>
        </w:tc>
      </w:tr>
    </w:tbl>
    <w:p>
      <w:r>
        <w:br w:type="page"/>
      </w:r>
    </w:p>
    <w:p>
      <w:pPr>
        <w:pStyle w:val="Heading1"/>
      </w:pPr>
      <w:r>
        <w:t xml:space="preserve">5. Feature Specifications</w:t>
      </w:r>
    </w:p>
    <w:p>
      <w:pPr>
        <w:pStyle w:val="Heading2"/>
      </w:pPr>
      <w:r>
        <w:t xml:space="preserve">5.1 Executive Dashboard</w:t>
      </w:r>
    </w:p>
    <w:p>
      <w:pPr>
        <w:spacing w:after="120" w:line="276"/>
      </w:pPr>
      <w:r>
        <w:rPr>
          <w:rFonts w:ascii="Arial" w:cs="Arial" w:eastAsia="Arial" w:hAnsi="Arial"/>
          <w:color w:val="595959"/>
          <w:sz w:val="24"/>
          <w:szCs w:val="24"/>
        </w:rPr>
        <w:t xml:space="preserve">The landing page presents a real-time overview of the company’s financial health through a grid of KPI cards and summary charts.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KPI Card</w:t>
            </w:r>
          </w:p>
        </w:tc>
        <w:tc>
          <w:tcPr>
            <w:tcW w:type="dxa" w:w="4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Calculation</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Visual Treatment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Total Revenue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SUM of all Revenue-type account credits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Large numeral with period-over-period % change arrow</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Total Expenses</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SUM of all Expense-type account debits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Large numeral with budget variance indicator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Net Income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Total Revenue – Total Expenses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Green/red colour coding based on positive/negative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Cash Position</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Net balance of Account #1000 (Cash)</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Sparkline showing 30-day trend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Occupancy Rate</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Units with revenue &gt; $0 / Total units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Donut chart with percentage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Expense Ratio</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Total Expenses / Total Revenue</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Gauge chart with threshold zones</w:t>
            </w:r>
          </w:p>
        </w:tc>
      </w:tr>
    </w:tbl>
    <w:p>
      <w:pPr>
        <w:spacing w:after="50"/>
      </w:pPr>
    </w:p>
    <w:p>
      <w:pPr>
        <w:spacing w:after="120" w:line="276"/>
      </w:pPr>
      <w:r>
        <w:rPr>
          <w:rFonts w:ascii="Arial" w:cs="Arial" w:eastAsia="Arial" w:hAnsi="Arial"/>
          <w:color w:val="595959"/>
          <w:sz w:val="24"/>
          <w:szCs w:val="24"/>
        </w:rPr>
        <w:t xml:space="preserve">Below the KPI grid, the dashboard includes a Revenue vs. Expenses bar chart (monthly), a cash flow waterfall chart, and a property portfolio heat map showing profitability by unit.</w:t>
      </w:r>
    </w:p>
    <w:p>
      <w:pPr>
        <w:spacing w:after="100"/>
      </w:pPr>
    </w:p>
    <w:p>
      <w:pPr>
        <w:pStyle w:val="Heading2"/>
      </w:pPr>
      <w:r>
        <w:t xml:space="preserve">5.2 Per-Unit Profitability Module</w:t>
      </w:r>
    </w:p>
    <w:p>
      <w:pPr>
        <w:spacing w:after="120" w:line="276"/>
      </w:pPr>
      <w:r>
        <w:rPr>
          <w:rFonts w:ascii="Arial" w:cs="Arial" w:eastAsia="Arial" w:hAnsi="Arial"/>
          <w:color w:val="595959"/>
          <w:sz w:val="24"/>
          <w:szCs w:val="24"/>
        </w:rPr>
        <w:t xml:space="preserve">This module is the analytical centrepiece of the platform, designed specifically for Lansport’s multi-unit portfolio structure. For each of the 17 rental units, the system will calculate and display:</w:t>
      </w:r>
    </w:p>
    <w:p>
      <w:pPr>
        <w:spacing w:after="50"/>
      </w:pPr>
    </w:p>
    <w:p>
      <w:pPr>
        <w:pStyle w:val="ListParagraph"/>
        <w:numPr>
          <w:ilvl w:val="0"/>
          <w:numId w:val="2"/>
        </w:numPr>
        <w:spacing w:after="60" w:line="276"/>
      </w:pPr>
      <w:r>
        <w:rPr>
          <w:rFonts w:ascii="Arial" w:cs="Arial" w:eastAsia="Arial" w:hAnsi="Arial"/>
          <w:b/>
          <w:bCs/>
          <w:color w:val="1B2A4A"/>
          <w:sz w:val="24"/>
          <w:szCs w:val="24"/>
        </w:rPr>
        <w:t xml:space="preserve">Gross Rental Income: </w:t>
      </w:r>
      <w:r>
        <w:rPr>
          <w:rFonts w:ascii="Arial" w:cs="Arial" w:eastAsia="Arial" w:hAnsi="Arial"/>
          <w:color w:val="595959"/>
          <w:sz w:val="24"/>
          <w:szCs w:val="24"/>
        </w:rPr>
        <w:t xml:space="preserve">Total credits posted to the unit’s revenue account (e.g., Account #4010 for Unit 16).</w:t>
      </w:r>
    </w:p>
    <w:p>
      <w:pPr>
        <w:pStyle w:val="ListParagraph"/>
        <w:numPr>
          <w:ilvl w:val="0"/>
          <w:numId w:val="2"/>
        </w:numPr>
        <w:spacing w:after="60" w:line="276"/>
      </w:pPr>
      <w:r>
        <w:rPr>
          <w:rFonts w:ascii="Arial" w:cs="Arial" w:eastAsia="Arial" w:hAnsi="Arial"/>
          <w:b/>
          <w:bCs/>
          <w:color w:val="1B2A4A"/>
          <w:sz w:val="24"/>
          <w:szCs w:val="24"/>
        </w:rPr>
        <w:t xml:space="preserve">Repairs &amp; Maintenance: </w:t>
      </w:r>
      <w:r>
        <w:rPr>
          <w:rFonts w:ascii="Arial" w:cs="Arial" w:eastAsia="Arial" w:hAnsi="Arial"/>
          <w:color w:val="595959"/>
          <w:sz w:val="24"/>
          <w:szCs w:val="24"/>
        </w:rPr>
        <w:t xml:space="preserve">Total debits to the corresponding R&amp;M expense account (e.g., Account #5300 for Unit 16).</w:t>
      </w:r>
    </w:p>
    <w:p>
      <w:pPr>
        <w:pStyle w:val="ListParagraph"/>
        <w:numPr>
          <w:ilvl w:val="0"/>
          <w:numId w:val="2"/>
        </w:numPr>
        <w:spacing w:after="60" w:line="276"/>
      </w:pPr>
      <w:r>
        <w:rPr>
          <w:rFonts w:ascii="Arial" w:cs="Arial" w:eastAsia="Arial" w:hAnsi="Arial"/>
          <w:b/>
          <w:bCs/>
          <w:color w:val="1B2A4A"/>
          <w:sz w:val="24"/>
          <w:szCs w:val="24"/>
        </w:rPr>
        <w:t xml:space="preserve">Levies: </w:t>
      </w:r>
      <w:r>
        <w:rPr>
          <w:rFonts w:ascii="Arial" w:cs="Arial" w:eastAsia="Arial" w:hAnsi="Arial"/>
          <w:color w:val="595959"/>
          <w:sz w:val="24"/>
          <w:szCs w:val="24"/>
        </w:rPr>
        <w:t xml:space="preserve">Total debits to the corresponding Levy expense account (e.g., Account #5400 for Unit 16).</w:t>
      </w:r>
    </w:p>
    <w:p>
      <w:pPr>
        <w:pStyle w:val="ListParagraph"/>
        <w:numPr>
          <w:ilvl w:val="0"/>
          <w:numId w:val="2"/>
        </w:numPr>
        <w:spacing w:after="60" w:line="276"/>
      </w:pPr>
      <w:r>
        <w:rPr>
          <w:rFonts w:ascii="Arial" w:cs="Arial" w:eastAsia="Arial" w:hAnsi="Arial"/>
          <w:b/>
          <w:bCs/>
          <w:color w:val="1B2A4A"/>
          <w:sz w:val="24"/>
          <w:szCs w:val="24"/>
        </w:rPr>
        <w:t xml:space="preserve">Net Contribution Margin: </w:t>
      </w:r>
      <w:r>
        <w:rPr>
          <w:rFonts w:ascii="Arial" w:cs="Arial" w:eastAsia="Arial" w:hAnsi="Arial"/>
          <w:color w:val="595959"/>
          <w:sz w:val="24"/>
          <w:szCs w:val="24"/>
        </w:rPr>
        <w:t xml:space="preserve">Gross Rental Income minus R&amp;M minus Levies, representing the unit’s direct profitability.</w:t>
      </w:r>
    </w:p>
    <w:p>
      <w:pPr>
        <w:pStyle w:val="ListParagraph"/>
        <w:numPr>
          <w:ilvl w:val="0"/>
          <w:numId w:val="2"/>
        </w:numPr>
        <w:spacing w:after="60" w:line="276"/>
      </w:pPr>
      <w:r>
        <w:rPr>
          <w:rFonts w:ascii="Arial" w:cs="Arial" w:eastAsia="Arial" w:hAnsi="Arial"/>
          <w:b/>
          <w:bCs/>
          <w:color w:val="1B2A4A"/>
          <w:sz w:val="24"/>
          <w:szCs w:val="24"/>
        </w:rPr>
        <w:t xml:space="preserve">Contribution Percentage: </w:t>
      </w:r>
      <w:r>
        <w:rPr>
          <w:rFonts w:ascii="Arial" w:cs="Arial" w:eastAsia="Arial" w:hAnsi="Arial"/>
          <w:color w:val="595959"/>
          <w:sz w:val="24"/>
          <w:szCs w:val="24"/>
        </w:rPr>
        <w:t xml:space="preserve">Net Contribution Margin as a percentage of Gross Rental Income.</w:t>
      </w:r>
    </w:p>
    <w:p>
      <w:pPr>
        <w:spacing w:after="50"/>
      </w:pPr>
    </w:p>
    <w:p>
      <w:pPr>
        <w:spacing w:after="120" w:line="276"/>
      </w:pPr>
      <w:r>
        <w:rPr>
          <w:rFonts w:ascii="Arial" w:cs="Arial" w:eastAsia="Arial" w:hAnsi="Arial"/>
          <w:color w:val="595959"/>
          <w:sz w:val="24"/>
          <w:szCs w:val="24"/>
        </w:rPr>
        <w:t xml:space="preserve">The module will present these figures in a sortable comparison table and a stacked bar chart, enabling instant identification of which units deliver the highest returns and which may require rent review or cost intervention.</w:t>
      </w:r>
    </w:p>
    <w:p>
      <w:pPr>
        <w:spacing w:after="100"/>
      </w:pPr>
    </w:p>
    <w:p>
      <w:pPr>
        <w:pStyle w:val="Heading2"/>
      </w:pPr>
      <w:r>
        <w:t xml:space="preserve">5.3 Revenue Analytics</w:t>
      </w:r>
    </w:p>
    <w:p>
      <w:pPr>
        <w:spacing w:after="120" w:line="276"/>
      </w:pPr>
      <w:r>
        <w:rPr>
          <w:rFonts w:ascii="Arial" w:cs="Arial" w:eastAsia="Arial" w:hAnsi="Arial"/>
          <w:color w:val="595959"/>
          <w:sz w:val="24"/>
          <w:szCs w:val="24"/>
        </w:rPr>
        <w:t xml:space="preserve">Time-series visualisations will chart rental income trends by individual unit and by property group (Main Complex, Mn Block, Standalone Properties). Features include period-over-period comparison toggles (monthly, quarterly, year-to-date), revenue concentration analysis showing what percentage of total revenue each unit contributes, and vacancy impact modelling that highlights periods of zero income per unit.</w:t>
      </w:r>
    </w:p>
    <w:p>
      <w:pPr>
        <w:spacing w:after="100"/>
      </w:pPr>
    </w:p>
    <w:p>
      <w:pPr>
        <w:pStyle w:val="Heading2"/>
      </w:pPr>
      <w:r>
        <w:t xml:space="preserve">5.4 Expense Analytics</w:t>
      </w:r>
    </w:p>
    <w:p>
      <w:pPr>
        <w:spacing w:after="120" w:line="276"/>
      </w:pPr>
      <w:r>
        <w:rPr>
          <w:rFonts w:ascii="Arial" w:cs="Arial" w:eastAsia="Arial" w:hAnsi="Arial"/>
          <w:color w:val="595959"/>
          <w:sz w:val="24"/>
          <w:szCs w:val="24"/>
        </w:rPr>
        <w:t xml:space="preserve">Expense data will be visualised through interactive breakdown charts. A treemap will show expense distribution across all 34+ expense categories. Drill-down capability will allow users to expand any category to see individual transactions. Trend lines per expense category will highlight increasing or decreasing spend patterns. The R&amp;M-to-Revenue ratio per unit will flag properties where maintenance costs are eroding profitability.</w:t>
      </w:r>
    </w:p>
    <w:p>
      <w:pPr>
        <w:spacing w:after="100"/>
      </w:pPr>
    </w:p>
    <w:p>
      <w:pPr>
        <w:pStyle w:val="Heading2"/>
      </w:pPr>
      <w:r>
        <w:t xml:space="preserve">5.5 Cash Flow Tracker</w:t>
      </w:r>
    </w:p>
    <w:p>
      <w:pPr>
        <w:spacing w:after="120" w:line="276"/>
      </w:pPr>
      <w:r>
        <w:rPr>
          <w:rFonts w:ascii="Arial" w:cs="Arial" w:eastAsia="Arial" w:hAnsi="Arial"/>
          <w:color w:val="595959"/>
          <w:sz w:val="24"/>
          <w:szCs w:val="24"/>
        </w:rPr>
        <w:t xml:space="preserve">A running line chart of the Cash account (#1000) balance over time will be augmented with an inflow/outflow decomposition showing daily or weekly cash movements. Projected cash balance lines based on recurring revenue and expense patterns will provide basic forecasting capability. Alert thresholds can be configured to notify when cash balance drops below a specified minimum.</w:t>
      </w:r>
    </w:p>
    <w:p>
      <w:pPr>
        <w:spacing w:after="100"/>
      </w:pPr>
    </w:p>
    <w:p>
      <w:pPr>
        <w:pStyle w:val="Heading2"/>
      </w:pPr>
      <w:r>
        <w:t xml:space="preserve">5.6 General Ledger Explorer</w:t>
      </w:r>
    </w:p>
    <w:p>
      <w:pPr>
        <w:spacing w:after="120" w:line="276"/>
      </w:pPr>
      <w:r>
        <w:rPr>
          <w:rFonts w:ascii="Arial" w:cs="Arial" w:eastAsia="Arial" w:hAnsi="Arial"/>
          <w:color w:val="595959"/>
          <w:sz w:val="24"/>
          <w:szCs w:val="24"/>
        </w:rPr>
        <w:t xml:space="preserve">A full-featured data table with server-side pagination, column sorting, global search, and multi-field filtering (by date range, account, description keyword, and amount range). Each entry will link to its account detail page. Bulk export to CSV will be supported for ad-hoc analysis in Excel.</w:t>
      </w:r>
    </w:p>
    <w:p>
      <w:r>
        <w:br w:type="page"/>
      </w:r>
    </w:p>
    <w:p>
      <w:pPr>
        <w:pStyle w:val="Heading1"/>
      </w:pPr>
      <w:r>
        <w:t xml:space="preserve">6. Technology Stack</w:t>
      </w:r>
    </w:p>
    <w:p>
      <w:pPr>
        <w:spacing w:after="120" w:line="276"/>
      </w:pPr>
      <w:r>
        <w:rPr>
          <w:rFonts w:ascii="Arial" w:cs="Arial" w:eastAsia="Arial" w:hAnsi="Arial"/>
          <w:color w:val="595959"/>
          <w:sz w:val="24"/>
          <w:szCs w:val="24"/>
        </w:rPr>
        <w:t xml:space="preserve">The technology choices are informed by the existing Next.js and TypeScript expertise within the team, the need for rich data visualisation, and the self-hosting requirement via Cloudflare Tunnel.</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Technology</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Justification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Frontend Framework</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Next.js 14+ (App Router)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Server-side rendering for fast initial loads, API routes for backend, TypeScript-first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Language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TypeScript (frontend + backend)</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Type safety across the stack, better maintainability, IDE support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Styling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Tailwind CSS + shadcn/ui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Rapid UI development, consistent design system, accessible components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Charts &amp; Visualisation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Recharts (primary) + D3.js (custom)</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Recharts for standard charts; D3.js for treemaps, sankey diagrams, and heat maps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Data Processing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Python 3.12 + openpyxl + pandas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Robust Excel parsing, powerful data manipulation, numerical computing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Database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PostgreSQL 16</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ACID compliance, materialised views, window functions for financial queries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Caching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Redis 7</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Sub-millisecond KPI lookups, session management, rate limiting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ORM</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Prisma</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Type-safe database access, migration management, schema introspection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Authentication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NextAuth.js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Flexible auth providers, session management, role-based access control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Containerisation</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Docker + Docker Compose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Reproducible environments, simple deployment, infrastructure-as-code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Reverse Proxy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Cloudflare Tunnel + Nginx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Secure exposure without public IP, SSL, DDoS protection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Testing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Jest + Playwright + pytest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Unit tests, E2E browser testing, data pipeline validation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CI/CD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GitHub Actions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Automated testing, build, and deployment pipeline</w:t>
            </w:r>
          </w:p>
        </w:tc>
      </w:tr>
    </w:tbl>
    <w:p>
      <w:r>
        <w:br w:type="page"/>
      </w:r>
    </w:p>
    <w:p>
      <w:pPr>
        <w:pStyle w:val="Heading1"/>
      </w:pPr>
      <w:r>
        <w:t xml:space="preserve">7. Development Phases &amp; Timeline</w:t>
      </w:r>
    </w:p>
    <w:p>
      <w:pPr>
        <w:spacing w:after="120" w:line="276"/>
      </w:pPr>
      <w:r>
        <w:rPr>
          <w:rFonts w:ascii="Arial" w:cs="Arial" w:eastAsia="Arial" w:hAnsi="Arial"/>
          <w:color w:val="595959"/>
          <w:sz w:val="24"/>
          <w:szCs w:val="24"/>
        </w:rPr>
        <w:t xml:space="preserve">The project follows an Agile methodology with 2-week sprint cycles, organised into four phases over an estimated 14-week timeline.</w:t>
      </w:r>
    </w:p>
    <w:p>
      <w:pPr>
        <w:spacing w:after="100"/>
      </w:pPr>
    </w:p>
    <w:p>
      <w:pPr>
        <w:pStyle w:val="Heading2"/>
      </w:pPr>
      <w:r>
        <w:t xml:space="preserve">7.1 Phase 1: Foundation (Weeks 1–3)</w:t>
      </w:r>
    </w:p>
    <w:p>
      <w:pPr>
        <w:spacing w:after="120" w:line="276"/>
      </w:pPr>
      <w:r>
        <w:rPr>
          <w:rFonts w:ascii="Arial" w:cs="Arial" w:eastAsia="Arial" w:hAnsi="Arial"/>
          <w:color w:val="595959"/>
          <w:sz w:val="24"/>
          <w:szCs w:val="24"/>
        </w:rPr>
        <w:t xml:space="preserve">Establish the project infrastructure and data pipeline.</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Sprint</w:t>
            </w:r>
          </w:p>
        </w:tc>
        <w:tc>
          <w:tcPr>
            <w:tcW w:type="dxa" w:w="6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Sprint 1</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Project scaffolding: Next.js project setup with TypeScript, Tailwind, and Prisma. Docker Compose configuration for PostgreSQL and Redis. CI/CD pipeline with GitHub Actions.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Week 1</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Sprint 2</w:t>
            </w:r>
          </w:p>
        </w:tc>
        <w:tc>
          <w:tcPr>
            <w:tcW w:type="dxa" w:w="6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Data pipeline: Python ETL scripts for Excel ingestion. Database schema creation and migration. Chart of Accounts and General Ledger import with validation.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Week 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Sprint 3</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Data integrity: Automated reconciliation checks (Trial Balance verification, A=L+E validation). Upload history tracking. Error handling and logging.</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Week 3</w:t>
            </w:r>
          </w:p>
        </w:tc>
      </w:tr>
    </w:tbl>
    <w:p>
      <w:pPr>
        <w:spacing w:after="100"/>
      </w:pPr>
    </w:p>
    <w:p>
      <w:pPr>
        <w:pStyle w:val="Heading2"/>
      </w:pPr>
      <w:r>
        <w:t xml:space="preserve">7.2 Phase 2: Core Dashboards (Weeks 4–8)</w:t>
      </w:r>
    </w:p>
    <w:p>
      <w:pPr>
        <w:spacing w:after="120" w:line="276"/>
      </w:pPr>
      <w:r>
        <w:rPr>
          <w:rFonts w:ascii="Arial" w:cs="Arial" w:eastAsia="Arial" w:hAnsi="Arial"/>
          <w:color w:val="595959"/>
          <w:sz w:val="24"/>
          <w:szCs w:val="24"/>
        </w:rPr>
        <w:t xml:space="preserve">Build the primary analytical views.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Sprint</w:t>
            </w:r>
          </w:p>
        </w:tc>
        <w:tc>
          <w:tcPr>
            <w:tcW w:type="dxa" w:w="6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Sprint 4–5</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Executive Dashboard: KPI cards, Revenue vs. Expenses chart, cash position sparkline, occupancy donut. Responsive layout with dark/light mode.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Weeks 4–5</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Sprint 6–7</w:t>
            </w:r>
          </w:p>
        </w:tc>
        <w:tc>
          <w:tcPr>
            <w:tcW w:type="dxa" w:w="6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Per-Unit Profitability: Unit comparison table, stacked bar chart, contribution margin calculations. Revenue Analytics: time-series charts, period toggles, concentration analysis.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Weeks 6–7</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Sprint 8</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Expense Analytics: treemap, drill-down, trend lines, R&amp;M-to-Revenue ratios. Cash Flow Tracker: running balance chart, inflow/outflow decomposition.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Week 8</w:t>
            </w:r>
          </w:p>
        </w:tc>
      </w:tr>
    </w:tbl>
    <w:p>
      <w:pPr>
        <w:spacing w:after="100"/>
      </w:pPr>
    </w:p>
    <w:p>
      <w:pPr>
        <w:pStyle w:val="Heading2"/>
      </w:pPr>
      <w:r>
        <w:t xml:space="preserve">7.3 Phase 3: Advanced Features (Weeks 9–11)</w:t>
      </w:r>
    </w:p>
    <w:p>
      <w:pPr>
        <w:spacing w:after="120" w:line="276"/>
      </w:pPr>
      <w:r>
        <w:rPr>
          <w:rFonts w:ascii="Arial" w:cs="Arial" w:eastAsia="Arial" w:hAnsi="Arial"/>
          <w:color w:val="595959"/>
          <w:sz w:val="24"/>
          <w:szCs w:val="24"/>
        </w:rPr>
        <w:t xml:space="preserve">Add depth and interactivity.</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Sprint</w:t>
            </w:r>
          </w:p>
        </w:tc>
        <w:tc>
          <w:tcPr>
            <w:tcW w:type="dxa" w:w="6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Sprint 9</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General Ledger Explorer: paginated table with search, filtering, sorting, and CSV export. Account detail drill-down pages.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Week 9</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Sprint 10</w:t>
            </w:r>
          </w:p>
        </w:tc>
        <w:tc>
          <w:tcPr>
            <w:tcW w:type="dxa" w:w="6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Financial Ratios dashboard. Balance Sheet Explorer with historical snapshots. Automated insight generation engine (top/bottom performers, anomalies).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Week 10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Sprint 11</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PDF/CSV report export for all dashboards. User preferences and saved views. Alert configuration for cash balance and expense thresholds.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Week 11</w:t>
            </w:r>
          </w:p>
        </w:tc>
      </w:tr>
    </w:tbl>
    <w:p>
      <w:pPr>
        <w:spacing w:after="100"/>
      </w:pPr>
    </w:p>
    <w:p>
      <w:pPr>
        <w:pStyle w:val="Heading2"/>
      </w:pPr>
      <w:r>
        <w:t xml:space="preserve">7.4 Phase 4: Deployment &amp; Hardening (Weeks 12–14)</w:t>
      </w:r>
    </w:p>
    <w:p>
      <w:pPr>
        <w:spacing w:after="120" w:line="276"/>
      </w:pPr>
      <w:r>
        <w:rPr>
          <w:rFonts w:ascii="Arial" w:cs="Arial" w:eastAsia="Arial" w:hAnsi="Arial"/>
          <w:color w:val="595959"/>
          <w:sz w:val="24"/>
          <w:szCs w:val="24"/>
        </w:rPr>
        <w:t xml:space="preserve">Prepare for production use.</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600"/>
        <w:gridCol w:w="15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Sprint</w:t>
            </w:r>
          </w:p>
        </w:tc>
        <w:tc>
          <w:tcPr>
            <w:tcW w:type="dxa" w:w="6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Deliverables</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Duration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Sprint 12</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Authentication and role-based access control. Security audit: input sanitisation, rate limiting, CORS, CSP headers.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Week 12</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Sprint 13</w:t>
            </w:r>
          </w:p>
        </w:tc>
        <w:tc>
          <w:tcPr>
            <w:tcW w:type="dxa" w:w="6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Performance optimisation: query tuning, Redis caching strategy, lazy loading. Load testing with 10,000+ GL entries.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Week 13</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Sprint 14</w:t>
            </w:r>
          </w:p>
        </w:tc>
        <w:tc>
          <w:tcPr>
            <w:tcW w:type="dxa" w:w="6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Cloudflare Tunnel deployment. Production Docker configuration. User acceptance testing. Documentation and handover.</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Week 14</w:t>
            </w:r>
          </w:p>
        </w:tc>
      </w:tr>
    </w:tbl>
    <w:p>
      <w:r>
        <w:br w:type="page"/>
      </w:r>
    </w:p>
    <w:p>
      <w:pPr>
        <w:pStyle w:val="Heading1"/>
      </w:pPr>
      <w:r>
        <w:t xml:space="preserve">8. Business Insights Roadmap</w:t>
      </w:r>
    </w:p>
    <w:p>
      <w:pPr>
        <w:spacing w:after="120" w:line="276"/>
      </w:pPr>
      <w:r>
        <w:rPr>
          <w:rFonts w:ascii="Arial" w:cs="Arial" w:eastAsia="Arial" w:hAnsi="Arial"/>
          <w:color w:val="595959"/>
          <w:sz w:val="24"/>
          <w:szCs w:val="24"/>
        </w:rPr>
        <w:t xml:space="preserve">Based on analysis of the current workbook data, the platform is designed to answer the following strategic questions from day one:</w:t>
      </w:r>
    </w:p>
    <w:p>
      <w:pPr>
        <w:spacing w:after="50"/>
      </w:pPr>
    </w:p>
    <w:p>
      <w:pPr>
        <w:pStyle w:val="Heading2"/>
      </w:pPr>
      <w:r>
        <w:t xml:space="preserve">8.1 Profitability Insights</w:t>
      </w:r>
    </w:p>
    <w:p>
      <w:pPr>
        <w:pStyle w:val="ListParagraph"/>
        <w:numPr>
          <w:ilvl w:val="0"/>
          <w:numId w:val="2"/>
        </w:numPr>
        <w:spacing w:after="60" w:line="276"/>
      </w:pPr>
      <w:r>
        <w:rPr>
          <w:rFonts w:ascii="Arial" w:cs="Arial" w:eastAsia="Arial" w:hAnsi="Arial"/>
          <w:b/>
          <w:bCs/>
          <w:color w:val="1B2A4A"/>
          <w:sz w:val="24"/>
          <w:szCs w:val="24"/>
        </w:rPr>
        <w:t xml:space="preserve">Highest-yielding unit: </w:t>
      </w:r>
      <w:r>
        <w:rPr>
          <w:rFonts w:ascii="Arial" w:cs="Arial" w:eastAsia="Arial" w:hAnsi="Arial"/>
          <w:color w:val="595959"/>
          <w:sz w:val="24"/>
          <w:szCs w:val="24"/>
        </w:rPr>
        <w:t xml:space="preserve">Unit 31 generates $1,650 in rent—the highest in the portfolio—making it a candidate for benchmark pricing analysis.</w:t>
      </w:r>
    </w:p>
    <w:p>
      <w:pPr>
        <w:pStyle w:val="ListParagraph"/>
        <w:numPr>
          <w:ilvl w:val="0"/>
          <w:numId w:val="2"/>
        </w:numPr>
        <w:spacing w:after="60" w:line="276"/>
      </w:pPr>
      <w:r>
        <w:rPr>
          <w:rFonts w:ascii="Arial" w:cs="Arial" w:eastAsia="Arial" w:hAnsi="Arial"/>
          <w:b/>
          <w:bCs/>
          <w:color w:val="1B2A4A"/>
          <w:sz w:val="24"/>
          <w:szCs w:val="24"/>
        </w:rPr>
        <w:t xml:space="preserve">Lowest-yielding units: </w:t>
      </w:r>
      <w:r>
        <w:rPr>
          <w:rFonts w:ascii="Arial" w:cs="Arial" w:eastAsia="Arial" w:hAnsi="Arial"/>
          <w:color w:val="595959"/>
          <w:sz w:val="24"/>
          <w:szCs w:val="24"/>
        </w:rPr>
        <w:t xml:space="preserve">Mainway, Glaudina House, and Glaudina Cottage each generate $500, suggesting potential for rent review or alternative use evaluation.</w:t>
      </w:r>
    </w:p>
    <w:p>
      <w:pPr>
        <w:pStyle w:val="ListParagraph"/>
        <w:numPr>
          <w:ilvl w:val="0"/>
          <w:numId w:val="2"/>
        </w:numPr>
        <w:spacing w:after="60" w:line="276"/>
      </w:pPr>
      <w:r>
        <w:rPr>
          <w:rFonts w:ascii="Arial" w:cs="Arial" w:eastAsia="Arial" w:hAnsi="Arial"/>
          <w:b/>
          <w:bCs/>
          <w:color w:val="1B2A4A"/>
          <w:sz w:val="24"/>
          <w:szCs w:val="24"/>
        </w:rPr>
        <w:t xml:space="preserve">Maintenance impact: </w:t>
      </w:r>
      <w:r>
        <w:rPr>
          <w:rFonts w:ascii="Arial" w:cs="Arial" w:eastAsia="Arial" w:hAnsi="Arial"/>
          <w:color w:val="595959"/>
          <w:sz w:val="24"/>
          <w:szCs w:val="24"/>
        </w:rPr>
        <w:t xml:space="preserve">Unit 29 has $90 in R&amp;M costs against $900 revenue (10% ratio), while Unit 18 has $70 R&amp;M against $700 revenue (10% ratio)—both flagged for monitoring.</w:t>
      </w:r>
    </w:p>
    <w:p>
      <w:pPr>
        <w:pStyle w:val="ListParagraph"/>
        <w:numPr>
          <w:ilvl w:val="0"/>
          <w:numId w:val="2"/>
        </w:numPr>
        <w:spacing w:after="60" w:line="276"/>
      </w:pPr>
      <w:r>
        <w:rPr>
          <w:rFonts w:ascii="Arial" w:cs="Arial" w:eastAsia="Arial" w:hAnsi="Arial"/>
          <w:b/>
          <w:bCs/>
          <w:color w:val="1B2A4A"/>
          <w:sz w:val="24"/>
          <w:szCs w:val="24"/>
        </w:rPr>
        <w:t xml:space="preserve">Levy burden: </w:t>
      </w:r>
      <w:r>
        <w:rPr>
          <w:rFonts w:ascii="Arial" w:cs="Arial" w:eastAsia="Arial" w:hAnsi="Arial"/>
          <w:color w:val="595959"/>
          <w:sz w:val="24"/>
          <w:szCs w:val="24"/>
        </w:rPr>
        <w:t xml:space="preserve">14 units pay $75 each in levies ($1,050 total), representing 7.6% of total revenue—a material recurring cost.</w:t>
      </w:r>
    </w:p>
    <w:p>
      <w:pPr>
        <w:spacing w:after="100"/>
      </w:pPr>
    </w:p>
    <w:p>
      <w:pPr>
        <w:pStyle w:val="Heading2"/>
      </w:pPr>
      <w:r>
        <w:t xml:space="preserve">8.2 Cash Flow Insights</w:t>
      </w:r>
    </w:p>
    <w:p>
      <w:pPr>
        <w:pStyle w:val="ListParagraph"/>
        <w:numPr>
          <w:ilvl w:val="0"/>
          <w:numId w:val="2"/>
        </w:numPr>
        <w:spacing w:after="60" w:line="276"/>
      </w:pPr>
      <w:r>
        <w:rPr>
          <w:rFonts w:ascii="Arial" w:cs="Arial" w:eastAsia="Arial" w:hAnsi="Arial"/>
          <w:b/>
          <w:bCs/>
          <w:color w:val="1B2A4A"/>
          <w:sz w:val="24"/>
          <w:szCs w:val="24"/>
        </w:rPr>
        <w:t xml:space="preserve">Starting capital: </w:t>
      </w:r>
      <w:r>
        <w:rPr>
          <w:rFonts w:ascii="Arial" w:cs="Arial" w:eastAsia="Arial" w:hAnsi="Arial"/>
          <w:color w:val="595959"/>
          <w:sz w:val="24"/>
          <w:szCs w:val="24"/>
        </w:rPr>
        <w:t xml:space="preserve">The business was capitalised with $10,000 in owner’s equity.</w:t>
      </w:r>
    </w:p>
    <w:p>
      <w:pPr>
        <w:pStyle w:val="ListParagraph"/>
        <w:numPr>
          <w:ilvl w:val="0"/>
          <w:numId w:val="2"/>
        </w:numPr>
        <w:spacing w:after="60" w:line="276"/>
      </w:pPr>
      <w:r>
        <w:rPr>
          <w:rFonts w:ascii="Arial" w:cs="Arial" w:eastAsia="Arial" w:hAnsi="Arial"/>
          <w:b/>
          <w:bCs/>
          <w:color w:val="1B2A4A"/>
          <w:sz w:val="24"/>
          <w:szCs w:val="24"/>
        </w:rPr>
        <w:t xml:space="preserve">Current cash: </w:t>
      </w:r>
      <w:r>
        <w:rPr>
          <w:rFonts w:ascii="Arial" w:cs="Arial" w:eastAsia="Arial" w:hAnsi="Arial"/>
          <w:color w:val="595959"/>
          <w:sz w:val="24"/>
          <w:szCs w:val="24"/>
        </w:rPr>
        <w:t xml:space="preserve">$21,344.80—representing a 113% increase from initial investment, indicating strong cash generation.</w:t>
      </w:r>
    </w:p>
    <w:p>
      <w:pPr>
        <w:pStyle w:val="ListParagraph"/>
        <w:numPr>
          <w:ilvl w:val="0"/>
          <w:numId w:val="2"/>
        </w:numPr>
        <w:spacing w:after="60" w:line="276"/>
      </w:pPr>
      <w:r>
        <w:rPr>
          <w:rFonts w:ascii="Arial" w:cs="Arial" w:eastAsia="Arial" w:hAnsi="Arial"/>
          <w:b/>
          <w:bCs/>
          <w:color w:val="1B2A4A"/>
          <w:sz w:val="24"/>
          <w:szCs w:val="24"/>
        </w:rPr>
        <w:t xml:space="preserve">Equipment investment: </w:t>
      </w:r>
      <w:r>
        <w:rPr>
          <w:rFonts w:ascii="Arial" w:cs="Arial" w:eastAsia="Arial" w:hAnsi="Arial"/>
          <w:color w:val="595959"/>
          <w:sz w:val="24"/>
          <w:szCs w:val="24"/>
        </w:rPr>
        <w:t xml:space="preserve">$415 in equipment purchases (freezer, car battery)—a modest capital expenditure profile.</w:t>
      </w:r>
    </w:p>
    <w:p>
      <w:pPr>
        <w:pStyle w:val="ListParagraph"/>
        <w:numPr>
          <w:ilvl w:val="0"/>
          <w:numId w:val="2"/>
        </w:numPr>
        <w:spacing w:after="60" w:line="276"/>
      </w:pPr>
      <w:r>
        <w:rPr>
          <w:rFonts w:ascii="Arial" w:cs="Arial" w:eastAsia="Arial" w:hAnsi="Arial"/>
          <w:b/>
          <w:bCs/>
          <w:color w:val="1B2A4A"/>
          <w:sz w:val="24"/>
          <w:szCs w:val="24"/>
        </w:rPr>
        <w:t xml:space="preserve">Operating expenses: </w:t>
      </w:r>
      <w:r>
        <w:rPr>
          <w:rFonts w:ascii="Arial" w:cs="Arial" w:eastAsia="Arial" w:hAnsi="Arial"/>
          <w:color w:val="595959"/>
          <w:sz w:val="24"/>
          <w:szCs w:val="24"/>
        </w:rPr>
        <w:t xml:space="preserve">Total expenses of $2,060.20 against $13,820 revenue yields an operating margin of approximately 85.1%—an excellent ratio for real estate operations.</w:t>
      </w:r>
    </w:p>
    <w:p>
      <w:pPr>
        <w:spacing w:after="100"/>
      </w:pPr>
    </w:p>
    <w:p>
      <w:pPr>
        <w:pStyle w:val="Heading2"/>
      </w:pPr>
      <w:r>
        <w:t xml:space="preserve">8.3 Strategic Decision Support</w:t>
      </w:r>
    </w:p>
    <w:p>
      <w:pPr>
        <w:spacing w:after="120" w:line="276"/>
      </w:pPr>
      <w:r>
        <w:rPr>
          <w:rFonts w:ascii="Arial" w:cs="Arial" w:eastAsia="Arial" w:hAnsi="Arial"/>
          <w:color w:val="595959"/>
          <w:sz w:val="24"/>
          <w:szCs w:val="24"/>
        </w:rPr>
        <w:t xml:space="preserve">The platform will enable the following decision pathways:</w:t>
      </w:r>
    </w:p>
    <w:p>
      <w:pPr>
        <w:spacing w:after="50"/>
      </w:pPr>
    </w:p>
    <w:p>
      <w:pPr>
        <w:pStyle w:val="ListParagraph"/>
        <w:numPr>
          <w:ilvl w:val="0"/>
          <w:numId w:val="2"/>
        </w:numPr>
        <w:spacing w:after="60" w:line="276"/>
      </w:pPr>
      <w:r>
        <w:rPr>
          <w:rFonts w:ascii="Arial" w:cs="Arial" w:eastAsia="Arial" w:hAnsi="Arial"/>
          <w:b/>
          <w:bCs/>
          <w:color w:val="1B2A4A"/>
          <w:sz w:val="24"/>
          <w:szCs w:val="24"/>
        </w:rPr>
        <w:t xml:space="preserve">Rent optimisation: </w:t>
      </w:r>
      <w:r>
        <w:rPr>
          <w:rFonts w:ascii="Arial" w:cs="Arial" w:eastAsia="Arial" w:hAnsi="Arial"/>
          <w:color w:val="595959"/>
          <w:sz w:val="24"/>
          <w:szCs w:val="24"/>
        </w:rPr>
        <w:t xml:space="preserve">Comparative unit profitability data will support evidence-based rent adjustments, particularly for the lower-yielding standalone properties.</w:t>
      </w:r>
    </w:p>
    <w:p>
      <w:pPr>
        <w:pStyle w:val="ListParagraph"/>
        <w:numPr>
          <w:ilvl w:val="0"/>
          <w:numId w:val="2"/>
        </w:numPr>
        <w:spacing w:after="60" w:line="276"/>
      </w:pPr>
      <w:r>
        <w:rPr>
          <w:rFonts w:ascii="Arial" w:cs="Arial" w:eastAsia="Arial" w:hAnsi="Arial"/>
          <w:b/>
          <w:bCs/>
          <w:color w:val="1B2A4A"/>
          <w:sz w:val="24"/>
          <w:szCs w:val="24"/>
        </w:rPr>
        <w:t xml:space="preserve">Maintenance budgeting: </w:t>
      </w:r>
      <w:r>
        <w:rPr>
          <w:rFonts w:ascii="Arial" w:cs="Arial" w:eastAsia="Arial" w:hAnsi="Arial"/>
          <w:color w:val="595959"/>
          <w:sz w:val="24"/>
          <w:szCs w:val="24"/>
        </w:rPr>
        <w:t xml:space="preserve">Historical R&amp;M trends per unit will inform annual maintenance budgets and help prioritise preventive spending.</w:t>
      </w:r>
    </w:p>
    <w:p>
      <w:pPr>
        <w:pStyle w:val="ListParagraph"/>
        <w:numPr>
          <w:ilvl w:val="0"/>
          <w:numId w:val="2"/>
        </w:numPr>
        <w:spacing w:after="60" w:line="276"/>
      </w:pPr>
      <w:r>
        <w:rPr>
          <w:rFonts w:ascii="Arial" w:cs="Arial" w:eastAsia="Arial" w:hAnsi="Arial"/>
          <w:b/>
          <w:bCs/>
          <w:color w:val="1B2A4A"/>
          <w:sz w:val="24"/>
          <w:szCs w:val="24"/>
        </w:rPr>
        <w:t xml:space="preserve">Portfolio expansion: </w:t>
      </w:r>
      <w:r>
        <w:rPr>
          <w:rFonts w:ascii="Arial" w:cs="Arial" w:eastAsia="Arial" w:hAnsi="Arial"/>
          <w:color w:val="595959"/>
          <w:sz w:val="24"/>
          <w:szCs w:val="24"/>
        </w:rPr>
        <w:t xml:space="preserve">With an 85% operating margin and strong cash generation, the data will quantify how much capital is available for additional property acquisition.</w:t>
      </w:r>
    </w:p>
    <w:p>
      <w:pPr>
        <w:pStyle w:val="ListParagraph"/>
        <w:numPr>
          <w:ilvl w:val="0"/>
          <w:numId w:val="2"/>
        </w:numPr>
        <w:spacing w:after="60" w:line="276"/>
      </w:pPr>
      <w:r>
        <w:rPr>
          <w:rFonts w:ascii="Arial" w:cs="Arial" w:eastAsia="Arial" w:hAnsi="Arial"/>
          <w:b/>
          <w:bCs/>
          <w:color w:val="1B2A4A"/>
          <w:sz w:val="24"/>
          <w:szCs w:val="24"/>
        </w:rPr>
        <w:t xml:space="preserve">Cost control: </w:t>
      </w:r>
      <w:r>
        <w:rPr>
          <w:rFonts w:ascii="Arial" w:cs="Arial" w:eastAsia="Arial" w:hAnsi="Arial"/>
          <w:color w:val="595959"/>
          <w:sz w:val="24"/>
          <w:szCs w:val="24"/>
        </w:rPr>
        <w:t xml:space="preserve">Vehicle expenses ($490) and office supplies ($232.20) are the largest non-property expenses—the platform will track whether these grow proportionally with the portfolio.</w:t>
      </w:r>
    </w:p>
    <w:p>
      <w:r>
        <w:br w:type="page"/>
      </w:r>
    </w:p>
    <w:p>
      <w:pPr>
        <w:pStyle w:val="Heading1"/>
      </w:pPr>
      <w:r>
        <w:t xml:space="preserve">9. Security &amp; Compliance</w:t>
      </w:r>
    </w:p>
    <w:p>
      <w:pPr>
        <w:spacing w:after="120" w:line="276"/>
      </w:pPr>
      <w:r>
        <w:rPr>
          <w:rFonts w:ascii="Arial" w:cs="Arial" w:eastAsia="Arial" w:hAnsi="Arial"/>
          <w:color w:val="595959"/>
          <w:sz w:val="24"/>
          <w:szCs w:val="24"/>
        </w:rPr>
        <w:t xml:space="preserve">Given that the platform handles sensitive financial data, the following security measures will be implemented:</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5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Control</w:t>
            </w:r>
          </w:p>
        </w:tc>
        <w:tc>
          <w:tcPr>
            <w:tcW w:type="dxa" w:w="4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Implementation</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Standard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Authentication</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NextAuth.js with credential-based login; bcrypt password hashing; session tokens with configurable expiry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OWASP Authentication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Authorisation</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Role-based access control (Owner, Manager, Viewer); API middleware enforcing permissions per endpoint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Principle of Least Privilege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Transport Security</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Cloudflare Tunnel provides end-to-end encryption; HTTPS enforced via Nginx; HSTS headers enabled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TLS 1.3</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Data at Rest</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PostgreSQL with disk encryption; database backups encrypted with AES-256</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Encryption Best Practices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Input Validation</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Server-side validation on all API inputs using Zod schemas; parameterised SQL queries via Prisma</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OWASP Input Validation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Audit Logging</w:t>
            </w:r>
          </w:p>
        </w:tc>
        <w:tc>
          <w:tcPr>
            <w:tcW w:type="dxa" w:w="4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All data uploads, user logins, and configuration changes logged with timestamps and user identity</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ISO 27001 A.12.4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Dependency Management</w:t>
            </w:r>
          </w:p>
        </w:tc>
        <w:tc>
          <w:tcPr>
            <w:tcW w:type="dxa" w:w="4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Automated vulnerability scanning via Dependabot; monthly dependency update reviews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Supply Chain Security</w:t>
            </w:r>
          </w:p>
        </w:tc>
      </w:tr>
    </w:tbl>
    <w:p>
      <w:r>
        <w:br w:type="page"/>
      </w:r>
    </w:p>
    <w:p>
      <w:pPr>
        <w:pStyle w:val="Heading1"/>
      </w:pPr>
      <w:r>
        <w:t xml:space="preserve">10. Testing Strategy</w:t>
      </w:r>
    </w:p>
    <w:p>
      <w:pPr>
        <w:spacing w:after="120" w:line="276"/>
      </w:pPr>
      <w:r>
        <w:rPr>
          <w:rFonts w:ascii="Arial" w:cs="Arial" w:eastAsia="Arial" w:hAnsi="Arial"/>
          <w:color w:val="595959"/>
          <w:sz w:val="24"/>
          <w:szCs w:val="24"/>
        </w:rPr>
        <w:t xml:space="preserve">Quality assurance spans four levels of testing to ensure data accuracy, functional correctness, and user experience quality.</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Testing Level</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Scope</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Tools</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Pass Criteria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Unit Tests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Individual functions: financial calculations, data transformations, utility helpers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Jest (TypeScript), pytest (Python)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&gt;90% code coverage; all calculations verified against manual Excel results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Integration Tests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API endpoints, database queries, ETL pipeline end-to-end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Jest + Supertest, pytest</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All API contracts honoured; data integrity verified post-import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End-to-End Tests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Full user workflows: upload workbook, navigate dashboards, export reports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Playwright</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All critical paths pass across Chrome, Firefox, Safari</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Data Validation Tests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Reconciliation: dashboard totals match source workbook; Trial Balance balances; A=L+E holds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Custom Python scripts</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Zero discrepancy tolerance ($0.01 rounding accepted)</w:t>
            </w:r>
          </w:p>
        </w:tc>
      </w:tr>
    </w:tbl>
    <w:p>
      <w:r>
        <w:br w:type="page"/>
      </w:r>
    </w:p>
    <w:p>
      <w:pPr>
        <w:pStyle w:val="Heading1"/>
      </w:pPr>
      <w:r>
        <w:t xml:space="preserve">11. Deployment &amp; Infrastructure</w:t>
      </w:r>
    </w:p>
    <w:p>
      <w:pPr>
        <w:pStyle w:val="Heading2"/>
      </w:pPr>
      <w:r>
        <w:t xml:space="preserve">11.1 Self-Hosted Deployment (Primary)</w:t>
      </w:r>
    </w:p>
    <w:p>
      <w:pPr>
        <w:spacing w:after="120" w:line="276"/>
      </w:pPr>
      <w:r>
        <w:rPr>
          <w:rFonts w:ascii="Arial" w:cs="Arial" w:eastAsia="Arial" w:hAnsi="Arial"/>
          <w:color w:val="595959"/>
          <w:sz w:val="24"/>
          <w:szCs w:val="24"/>
        </w:rPr>
        <w:t xml:space="preserve">The primary deployment model leverages Cloudflare Tunnel to securely expose the self-hosted application without requiring a public IP address or opening inbound firewall ports.</w:t>
      </w:r>
    </w:p>
    <w:p>
      <w:pPr>
        <w:spacing w:after="50"/>
      </w:pPr>
    </w:p>
    <w:p>
      <w:pPr>
        <w:pStyle w:val="ListParagraph"/>
        <w:numPr>
          <w:ilvl w:val="0"/>
          <w:numId w:val="2"/>
        </w:numPr>
        <w:spacing w:after="60" w:line="276"/>
      </w:pPr>
      <w:r>
        <w:rPr>
          <w:rFonts w:ascii="Arial" w:cs="Arial" w:eastAsia="Arial" w:hAnsi="Arial"/>
          <w:b/>
          <w:bCs/>
          <w:color w:val="1B2A4A"/>
          <w:sz w:val="24"/>
          <w:szCs w:val="24"/>
        </w:rPr>
        <w:t xml:space="preserve">Host: </w:t>
      </w:r>
      <w:r>
        <w:rPr>
          <w:rFonts w:ascii="Arial" w:cs="Arial" w:eastAsia="Arial" w:hAnsi="Arial"/>
          <w:color w:val="595959"/>
          <w:sz w:val="24"/>
          <w:szCs w:val="24"/>
        </w:rPr>
        <w:t xml:space="preserve">Dedicated server or Virtual Machine running Ubuntu 24.04 LTS with Docker Engine.</w:t>
      </w:r>
    </w:p>
    <w:p>
      <w:pPr>
        <w:pStyle w:val="ListParagraph"/>
        <w:numPr>
          <w:ilvl w:val="0"/>
          <w:numId w:val="2"/>
        </w:numPr>
        <w:spacing w:after="60" w:line="276"/>
      </w:pPr>
      <w:r>
        <w:rPr>
          <w:rFonts w:ascii="Arial" w:cs="Arial" w:eastAsia="Arial" w:hAnsi="Arial"/>
          <w:b/>
          <w:bCs/>
          <w:color w:val="1B2A4A"/>
          <w:sz w:val="24"/>
          <w:szCs w:val="24"/>
        </w:rPr>
        <w:t xml:space="preserve">Container stack: </w:t>
      </w:r>
      <w:r>
        <w:rPr>
          <w:rFonts w:ascii="Arial" w:cs="Arial" w:eastAsia="Arial" w:hAnsi="Arial"/>
          <w:color w:val="595959"/>
          <w:sz w:val="24"/>
          <w:szCs w:val="24"/>
        </w:rPr>
        <w:t xml:space="preserve">Docker Compose orchestrating four services: Next.js application, PostgreSQL database, Redis cache, and Nginx reverse proxy.</w:t>
      </w:r>
    </w:p>
    <w:p>
      <w:pPr>
        <w:pStyle w:val="ListParagraph"/>
        <w:numPr>
          <w:ilvl w:val="0"/>
          <w:numId w:val="2"/>
        </w:numPr>
        <w:spacing w:after="60" w:line="276"/>
      </w:pPr>
      <w:r>
        <w:rPr>
          <w:rFonts w:ascii="Arial" w:cs="Arial" w:eastAsia="Arial" w:hAnsi="Arial"/>
          <w:b/>
          <w:bCs/>
          <w:color w:val="1B2A4A"/>
          <w:sz w:val="24"/>
          <w:szCs w:val="24"/>
        </w:rPr>
        <w:t xml:space="preserve">Cloudflare Tunnel: </w:t>
      </w:r>
      <w:r>
        <w:rPr>
          <w:rFonts w:ascii="Arial" w:cs="Arial" w:eastAsia="Arial" w:hAnsi="Arial"/>
          <w:color w:val="595959"/>
          <w:sz w:val="24"/>
          <w:szCs w:val="24"/>
        </w:rPr>
        <w:t xml:space="preserve">cloudflared daemon running as a system service, routing traffic from a custom domain to the local Nginx instance.</w:t>
      </w:r>
    </w:p>
    <w:p>
      <w:pPr>
        <w:pStyle w:val="ListParagraph"/>
        <w:numPr>
          <w:ilvl w:val="0"/>
          <w:numId w:val="2"/>
        </w:numPr>
        <w:spacing w:after="60" w:line="276"/>
      </w:pPr>
      <w:r>
        <w:rPr>
          <w:rFonts w:ascii="Arial" w:cs="Arial" w:eastAsia="Arial" w:hAnsi="Arial"/>
          <w:b/>
          <w:bCs/>
          <w:color w:val="1B2A4A"/>
          <w:sz w:val="24"/>
          <w:szCs w:val="24"/>
        </w:rPr>
        <w:t xml:space="preserve">Backups: </w:t>
      </w:r>
      <w:r>
        <w:rPr>
          <w:rFonts w:ascii="Arial" w:cs="Arial" w:eastAsia="Arial" w:hAnsi="Arial"/>
          <w:color w:val="595959"/>
          <w:sz w:val="24"/>
          <w:szCs w:val="24"/>
        </w:rPr>
        <w:t xml:space="preserve">Automated daily PostgreSQL dumps to encrypted local storage and optional off-site replication via Cloudflare R2.</w:t>
      </w:r>
    </w:p>
    <w:p>
      <w:pPr>
        <w:pStyle w:val="ListParagraph"/>
        <w:numPr>
          <w:ilvl w:val="0"/>
          <w:numId w:val="2"/>
        </w:numPr>
        <w:spacing w:after="60" w:line="276"/>
      </w:pPr>
      <w:r>
        <w:rPr>
          <w:rFonts w:ascii="Arial" w:cs="Arial" w:eastAsia="Arial" w:hAnsi="Arial"/>
          <w:b/>
          <w:bCs/>
          <w:color w:val="1B2A4A"/>
          <w:sz w:val="24"/>
          <w:szCs w:val="24"/>
        </w:rPr>
        <w:t xml:space="preserve">Monitoring: </w:t>
      </w:r>
      <w:r>
        <w:rPr>
          <w:rFonts w:ascii="Arial" w:cs="Arial" w:eastAsia="Arial" w:hAnsi="Arial"/>
          <w:color w:val="595959"/>
          <w:sz w:val="24"/>
          <w:szCs w:val="24"/>
        </w:rPr>
        <w:t xml:space="preserve">Uptime monitoring via Cloudflare; application-level health checks; disk and memory alerts.</w:t>
      </w:r>
    </w:p>
    <w:p>
      <w:pPr>
        <w:spacing w:after="100"/>
      </w:pPr>
    </w:p>
    <w:p>
      <w:pPr>
        <w:pStyle w:val="Heading2"/>
      </w:pPr>
      <w:r>
        <w:t xml:space="preserve">11.2 Cloud Migration Path (Future)</w:t>
      </w:r>
    </w:p>
    <w:p>
      <w:pPr>
        <w:spacing w:after="120" w:line="276"/>
      </w:pPr>
      <w:r>
        <w:rPr>
          <w:rFonts w:ascii="Arial" w:cs="Arial" w:eastAsia="Arial" w:hAnsi="Arial"/>
          <w:color w:val="595959"/>
          <w:sz w:val="24"/>
          <w:szCs w:val="24"/>
        </w:rPr>
        <w:t xml:space="preserve">Should the business require higher availability, multi-region access, or managed database services, the containerised architecture allows straightforward migration to cloud providers such as AWS (ECS + RDS), Azure (Container Apps + Azure Database), or Vercel (application) with a managed PostgreSQL service like Supabase or Neon.</w:t>
      </w:r>
    </w:p>
    <w:p>
      <w:r>
        <w:br w:type="page"/>
      </w:r>
    </w:p>
    <w:p>
      <w:pPr>
        <w:pStyle w:val="Heading1"/>
      </w:pPr>
      <w:r>
        <w:t xml:space="preserve">12. Risk Register</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560"/>
        <w:gridCol w:w="340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Risk</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Impact</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Probability</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Workbook schema changes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High – breaks ETL pipeline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Medium</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Schema validation on upload; version detection; graceful error handling with user notification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Data volume growth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Medium – performance degradation</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Medium</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Indexed queries, materialised views, Redis caching, pagination; designed for 50,000+ entries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Single point of failure (self-host)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High – service outage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Low</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Automated backups, Docker health checks, Cloudflare failover page, documented recovery procedure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Security breach</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Critical – financial data exposure</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Low</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Defence in depth: encryption, RBAC, audit logs, Cloudflare WAF, regular dependency updates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Scope creep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Medium – delayed delivery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High</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Strict phase gating; out-of-scope features documented; change request process with impact assessment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Key developer unavailability</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Medium – knowledge gap</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Medium</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Comprehensive documentation, code comments, pair programming, shared repository access</w:t>
            </w:r>
          </w:p>
        </w:tc>
      </w:tr>
    </w:tbl>
    <w:p>
      <w:r>
        <w:br w:type="page"/>
      </w:r>
    </w:p>
    <w:p>
      <w:pPr>
        <w:pStyle w:val="Heading1"/>
      </w:pPr>
      <w:r>
        <w:t xml:space="preserve">13. Budget Estimate</w:t>
      </w:r>
    </w:p>
    <w:p>
      <w:pPr>
        <w:spacing w:after="120" w:line="276"/>
      </w:pPr>
      <w:r>
        <w:rPr>
          <w:rFonts w:ascii="Arial" w:cs="Arial" w:eastAsia="Arial" w:hAnsi="Arial"/>
          <w:color w:val="595959"/>
          <w:sz w:val="24"/>
          <w:szCs w:val="24"/>
        </w:rPr>
        <w:t xml:space="preserve">The following estimates assume a solo developer approach with leveraged use of open-source tools and self-hosted infrastructure.</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200"/>
        <w:gridCol w:w="21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Item</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Estimated Cost</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Frequency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Infrastructure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Cloudflare Tunnel (free tier)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Ongoing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Infrastructure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Domain name registration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$10–$15</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Annual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Infrastructure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Server / VPS (if not using existing hardware)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$10–$30/month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Monthly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Development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Developer time (14 weeks)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Internal resource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One-time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Software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All frameworks and libraries (open-source)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Ongoing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Software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PostgreSQL + Redis (self-hosted)</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$0</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Ongoing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Operations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Backup storage (Cloudflare R2 or local)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$0–$5/month</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Monthly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Contingency</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10% buffer for unforeseen requirements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Variable</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One-time</w:t>
            </w:r>
          </w:p>
        </w:tc>
      </w:tr>
    </w:tbl>
    <w:p>
      <w:pPr>
        <w:spacing w:after="50"/>
      </w:pPr>
    </w:p>
    <w:p>
      <w:pPr>
        <w:spacing w:after="120" w:line="276"/>
      </w:pPr>
      <w:r>
        <w:rPr>
          <w:rFonts w:ascii="Arial" w:cs="Arial" w:eastAsia="Arial" w:hAnsi="Arial"/>
          <w:color w:val="595959"/>
          <w:sz w:val="24"/>
          <w:szCs w:val="24"/>
        </w:rPr>
        <w:t xml:space="preserve">The total infrastructure cost is estimated at $10–$50 per month, making this an extremely cost-effective solution compared to commercial accounting analytics platforms that typically cost $50–$300+ per month.</w:t>
      </w:r>
    </w:p>
    <w:p>
      <w:r>
        <w:br w:type="page"/>
      </w:r>
    </w:p>
    <w:p>
      <w:pPr>
        <w:pStyle w:val="Heading1"/>
      </w:pPr>
      <w:r>
        <w:t xml:space="preserve">14. Future Enhancements (Post-Launch)</w:t>
      </w:r>
    </w:p>
    <w:p>
      <w:pPr>
        <w:spacing w:after="120" w:line="276"/>
      </w:pPr>
      <w:r>
        <w:rPr>
          <w:rFonts w:ascii="Arial" w:cs="Arial" w:eastAsia="Arial" w:hAnsi="Arial"/>
          <w:color w:val="595959"/>
          <w:sz w:val="24"/>
          <w:szCs w:val="24"/>
        </w:rPr>
        <w:t xml:space="preserve">The following features are planned for subsequent development phases following successful launch of the core platform:</w:t>
      </w:r>
    </w:p>
    <w:p>
      <w:pPr>
        <w:spacing w:after="50"/>
      </w:pPr>
    </w:p>
    <w:p>
      <w:pPr>
        <w:pStyle w:val="ListParagraph"/>
        <w:numPr>
          <w:ilvl w:val="0"/>
          <w:numId w:val="2"/>
        </w:numPr>
        <w:spacing w:after="60" w:line="276"/>
      </w:pPr>
      <w:r>
        <w:rPr>
          <w:rFonts w:ascii="Arial" w:cs="Arial" w:eastAsia="Arial" w:hAnsi="Arial"/>
          <w:b/>
          <w:bCs/>
          <w:color w:val="1B2A4A"/>
          <w:sz w:val="24"/>
          <w:szCs w:val="24"/>
        </w:rPr>
        <w:t xml:space="preserve">Tenant Portal: </w:t>
      </w:r>
      <w:r>
        <w:rPr>
          <w:rFonts w:ascii="Arial" w:cs="Arial" w:eastAsia="Arial" w:hAnsi="Arial"/>
          <w:color w:val="595959"/>
          <w:sz w:val="24"/>
          <w:szCs w:val="24"/>
        </w:rPr>
        <w:t xml:space="preserve">A read-only portal for tenants to view their lease terms, payment history, and submit maintenance requests.</w:t>
      </w:r>
    </w:p>
    <w:p>
      <w:pPr>
        <w:pStyle w:val="ListParagraph"/>
        <w:numPr>
          <w:ilvl w:val="0"/>
          <w:numId w:val="2"/>
        </w:numPr>
        <w:spacing w:after="60" w:line="276"/>
      </w:pPr>
      <w:r>
        <w:rPr>
          <w:rFonts w:ascii="Arial" w:cs="Arial" w:eastAsia="Arial" w:hAnsi="Arial"/>
          <w:b/>
          <w:bCs/>
          <w:color w:val="1B2A4A"/>
          <w:sz w:val="24"/>
          <w:szCs w:val="24"/>
        </w:rPr>
        <w:t xml:space="preserve">Automated Bank Reconciliation: </w:t>
      </w:r>
      <w:r>
        <w:rPr>
          <w:rFonts w:ascii="Arial" w:cs="Arial" w:eastAsia="Arial" w:hAnsi="Arial"/>
          <w:color w:val="595959"/>
          <w:sz w:val="24"/>
          <w:szCs w:val="24"/>
        </w:rPr>
        <w:t xml:space="preserve">Integration with banking APIs (where available) to automatically match bank transactions against GL entries.</w:t>
      </w:r>
    </w:p>
    <w:p>
      <w:pPr>
        <w:pStyle w:val="ListParagraph"/>
        <w:numPr>
          <w:ilvl w:val="0"/>
          <w:numId w:val="2"/>
        </w:numPr>
        <w:spacing w:after="60" w:line="276"/>
      </w:pPr>
      <w:r>
        <w:rPr>
          <w:rFonts w:ascii="Arial" w:cs="Arial" w:eastAsia="Arial" w:hAnsi="Arial"/>
          <w:b/>
          <w:bCs/>
          <w:color w:val="1B2A4A"/>
          <w:sz w:val="24"/>
          <w:szCs w:val="24"/>
        </w:rPr>
        <w:t xml:space="preserve">Predictive Analytics: </w:t>
      </w:r>
      <w:r>
        <w:rPr>
          <w:rFonts w:ascii="Arial" w:cs="Arial" w:eastAsia="Arial" w:hAnsi="Arial"/>
          <w:color w:val="595959"/>
          <w:sz w:val="24"/>
          <w:szCs w:val="24"/>
        </w:rPr>
        <w:t xml:space="preserve">Machine learning models trained on historical data to forecast rental income, predict maintenance needs, and estimate cash flow.</w:t>
      </w:r>
    </w:p>
    <w:p>
      <w:pPr>
        <w:pStyle w:val="ListParagraph"/>
        <w:numPr>
          <w:ilvl w:val="0"/>
          <w:numId w:val="2"/>
        </w:numPr>
        <w:spacing w:after="60" w:line="276"/>
      </w:pPr>
      <w:r>
        <w:rPr>
          <w:rFonts w:ascii="Arial" w:cs="Arial" w:eastAsia="Arial" w:hAnsi="Arial"/>
          <w:b/>
          <w:bCs/>
          <w:color w:val="1B2A4A"/>
          <w:sz w:val="24"/>
          <w:szCs w:val="24"/>
        </w:rPr>
        <w:t xml:space="preserve">Multi-Property Portfolios: </w:t>
      </w:r>
      <w:r>
        <w:rPr>
          <w:rFonts w:ascii="Arial" w:cs="Arial" w:eastAsia="Arial" w:hAnsi="Arial"/>
          <w:color w:val="595959"/>
          <w:sz w:val="24"/>
          <w:szCs w:val="24"/>
        </w:rPr>
        <w:t xml:space="preserve">Support for managing multiple separate portfolios with consolidated group-level reporting.</w:t>
      </w:r>
    </w:p>
    <w:p>
      <w:pPr>
        <w:pStyle w:val="ListParagraph"/>
        <w:numPr>
          <w:ilvl w:val="0"/>
          <w:numId w:val="2"/>
        </w:numPr>
        <w:spacing w:after="60" w:line="276"/>
      </w:pPr>
      <w:r>
        <w:rPr>
          <w:rFonts w:ascii="Arial" w:cs="Arial" w:eastAsia="Arial" w:hAnsi="Arial"/>
          <w:b/>
          <w:bCs/>
          <w:color w:val="1B2A4A"/>
          <w:sz w:val="24"/>
          <w:szCs w:val="24"/>
        </w:rPr>
        <w:t xml:space="preserve">Mobile Application: </w:t>
      </w:r>
      <w:r>
        <w:rPr>
          <w:rFonts w:ascii="Arial" w:cs="Arial" w:eastAsia="Arial" w:hAnsi="Arial"/>
          <w:color w:val="595959"/>
          <w:sz w:val="24"/>
          <w:szCs w:val="24"/>
        </w:rPr>
        <w:t xml:space="preserve">Native iOS and Android applications using React Native, sharing the existing API backend.</w:t>
      </w:r>
    </w:p>
    <w:p>
      <w:pPr>
        <w:pStyle w:val="ListParagraph"/>
        <w:numPr>
          <w:ilvl w:val="0"/>
          <w:numId w:val="2"/>
        </w:numPr>
        <w:spacing w:after="60" w:line="276"/>
      </w:pPr>
      <w:r>
        <w:rPr>
          <w:rFonts w:ascii="Arial" w:cs="Arial" w:eastAsia="Arial" w:hAnsi="Arial"/>
          <w:b/>
          <w:bCs/>
          <w:color w:val="1B2A4A"/>
          <w:sz w:val="24"/>
          <w:szCs w:val="24"/>
        </w:rPr>
        <w:t xml:space="preserve">Document Management: </w:t>
      </w:r>
      <w:r>
        <w:rPr>
          <w:rFonts w:ascii="Arial" w:cs="Arial" w:eastAsia="Arial" w:hAnsi="Arial"/>
          <w:color w:val="595959"/>
          <w:sz w:val="24"/>
          <w:szCs w:val="24"/>
        </w:rPr>
        <w:t xml:space="preserve">Attachment of receipts, invoices, and contracts to journal entries for complete audit documentation.</w:t>
      </w:r>
    </w:p>
    <w:p>
      <w:pPr>
        <w:pStyle w:val="ListParagraph"/>
        <w:numPr>
          <w:ilvl w:val="0"/>
          <w:numId w:val="2"/>
        </w:numPr>
        <w:spacing w:after="60" w:line="276"/>
      </w:pPr>
      <w:r>
        <w:rPr>
          <w:rFonts w:ascii="Arial" w:cs="Arial" w:eastAsia="Arial" w:hAnsi="Arial"/>
          <w:b/>
          <w:bCs/>
          <w:color w:val="1B2A4A"/>
          <w:sz w:val="24"/>
          <w:szCs w:val="24"/>
        </w:rPr>
        <w:t xml:space="preserve">Budget Module: </w:t>
      </w:r>
      <w:r>
        <w:rPr>
          <w:rFonts w:ascii="Arial" w:cs="Arial" w:eastAsia="Arial" w:hAnsi="Arial"/>
          <w:color w:val="595959"/>
          <w:sz w:val="24"/>
          <w:szCs w:val="24"/>
        </w:rPr>
        <w:t xml:space="preserve">Annual budget creation per unit and expense category, with real-time budget-to-actual variance tracking.</w:t>
      </w:r>
    </w:p>
    <w:p>
      <w:r>
        <w:br w:type="page"/>
      </w:r>
    </w:p>
    <w:p>
      <w:pPr>
        <w:pStyle w:val="Heading1"/>
      </w:pPr>
      <w:r>
        <w:t xml:space="preserve">15. Conclusion</w:t>
      </w:r>
    </w:p>
    <w:p>
      <w:pPr>
        <w:spacing w:after="120" w:line="276"/>
      </w:pPr>
      <w:r>
        <w:rPr>
          <w:rFonts w:ascii="Arial" w:cs="Arial" w:eastAsia="Arial" w:hAnsi="Arial"/>
          <w:color w:val="595959"/>
          <w:sz w:val="24"/>
          <w:szCs w:val="24"/>
        </w:rPr>
        <w:t xml:space="preserve">The Lansport Analytics platform represents a strategic upgrade from spreadsheet-based financial management to a purpose-built analytical tool. By transforming the existing automated accounting workbook into an interactive dashboard system, the platform will unlock insights that are currently invisible within the Excel environment.</w:t>
      </w:r>
    </w:p>
    <w:p>
      <w:pPr>
        <w:spacing w:after="120" w:line="276"/>
      </w:pPr>
      <w:r>
        <w:rPr>
          <w:rFonts w:ascii="Arial" w:cs="Arial" w:eastAsia="Arial" w:hAnsi="Arial"/>
          <w:color w:val="595959"/>
          <w:sz w:val="24"/>
          <w:szCs w:val="24"/>
        </w:rPr>
        <w:t xml:space="preserve">With a 17-unit rental portfolio generating $13,820 in revenue against $2,060.20 in expenses (an 85.1% operating margin), Lansport Investments is in a strong financial position. The platform will ensure this performance is not only maintained but optimised by providing per-unit profitability visibility, trend analysis, and forecasting capabilities.</w:t>
      </w:r>
    </w:p>
    <w:p>
      <w:pPr>
        <w:spacing w:after="120" w:line="276"/>
      </w:pPr>
      <w:r>
        <w:rPr>
          <w:rFonts w:ascii="Arial" w:cs="Arial" w:eastAsia="Arial" w:hAnsi="Arial"/>
          <w:color w:val="595959"/>
          <w:sz w:val="24"/>
          <w:szCs w:val="24"/>
        </w:rPr>
        <w:t xml:space="preserve">The 14-week development timeline, cost-effective self-hosted infrastructure, and modular architecture ensure that the platform can be delivered efficiently and extended incrementally as the business grows. This document serves as the authoritative reference for all stakeholders involved in the development, deployment, and use of Lansport Analytics.</w:t>
      </w:r>
    </w:p>
    <w:p>
      <w:pPr>
        <w:spacing w:after="200"/>
      </w:pPr>
    </w:p>
    <w:p>
      <w:pPr>
        <w:pBdr>
          <w:top w:val="single" w:color="1B2A4A" w:sz="2" w:space="1"/>
        </w:pBdr>
        <w:spacing w:after="200" w:before="400"/>
      </w:pPr>
    </w:p>
    <w:p>
      <w:pPr>
        <w:spacing w:after="120" w:line="276"/>
      </w:pPr>
      <w:r>
        <w:rPr>
          <w:rFonts w:ascii="Arial" w:cs="Arial" w:eastAsia="Arial" w:hAnsi="Arial"/>
          <w:b/>
          <w:bCs/>
          <w:color w:val="1B2A4A"/>
          <w:sz w:val="24"/>
          <w:szCs w:val="24"/>
        </w:rPr>
        <w:t xml:space="preserve">Document Approval</w:t>
      </w:r>
      <w:r>
        <w:rPr>
          <w:rFonts w:ascii="Arial" w:cs="Arial" w:eastAsia="Arial" w:hAnsi="Arial"/>
          <w:color w:val="595959"/>
          <w:sz w:val="24"/>
          <w:szCs w:val="24"/>
        </w:rPr>
        <w:t xml:space="preserve"/>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560"/>
        <w:gridCol w:w="200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Signature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Project Sponsor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Technical Lead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95959"/>
                <w:sz w:val="20"/>
                <w:szCs w:val="20"/>
              </w:rPr>
              <w:t xml:space="preserve"/>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Operations Manager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595959"/>
                <w:sz w:val="20"/>
                <w:szCs w:val="20"/>
              </w:rPr>
              <w:t xml:space="preserve"/>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1"/>
      </w:pBdr>
      <w:jc w:val="center"/>
    </w:pPr>
    <w:r>
      <w:rPr>
        <w:rFonts w:ascii="Arial" w:cs="Arial" w:eastAsia="Arial" w:hAnsi="Arial"/>
        <w:color w:val="595959"/>
        <w:sz w:val="16"/>
        <w:szCs w:val="16"/>
      </w:rPr>
      <w:t xml:space="preserve">Confidential  |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1"/>
      </w:pBdr>
      <w:jc w:val="right"/>
    </w:pPr>
    <w:r>
      <w:rPr>
        <w:rFonts w:ascii="Arial" w:cs="Arial" w:eastAsia="Arial" w:hAnsi="Arial"/>
        <w:i/>
        <w:iCs/>
        <w:color w:val="2E75B6"/>
        <w:sz w:val="18"/>
        <w:szCs w:val="18"/>
      </w:rPr>
      <w:t xml:space="preserve">Lansport Investments</w:t>
    </w:r>
    <w:r>
      <w:rPr>
        <w:rFonts w:ascii="Arial" w:cs="Arial" w:eastAsia="Arial" w:hAnsi="Arial"/>
        <w:i/>
        <w:iCs/>
        <w:color w:val="595959"/>
        <w:sz w:val="18"/>
        <w:szCs w:val="18"/>
      </w:rPr>
      <w:t xml:space="preserve">  |  Software Development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2026-03-01T12:32:17.178Z</dcterms:created>
  <dcterms:modified xsi:type="dcterms:W3CDTF">2026-03-01T12:32:17.179Z</dcterms:modified>
</cp:coreProperties>
</file>

<file path=docProps/custom.xml><?xml version="1.0" encoding="utf-8"?>
<Properties xmlns="http://schemas.openxmlformats.org/officeDocument/2006/custom-properties" xmlns:vt="http://schemas.openxmlformats.org/officeDocument/2006/docPropsVTypes"/>
</file>