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Bdr>
          <w:bottom w:val="single" w:sz="10" w:space="4" w:color="F39C12"/>
        </w:pBdr>
      </w:pPr>
    </w:p>
    <w:p>
      <w:pPr>
        <w:jc w:val="center"/>
      </w:pPr>
      <w:r>
        <w:rPr>
          <w:rFonts w:ascii="Calibri" w:hAnsi="Calibri"/>
          <w:b/>
          <w:color w:val="1A5276"/>
          <w:sz w:val="64"/>
        </w:rPr>
        <w:t>Basic Manual Handling</w:t>
      </w:r>
    </w:p>
    <w:p>
      <w:pPr>
        <w:jc w:val="center"/>
        <w:pBdr>
          <w:bottom w:val="single" w:sz="10" w:space="4" w:color="F39C12"/>
        </w:pBdr>
      </w:pPr>
    </w:p>
    <w:p/>
    <w:p>
      <w:pPr>
        <w:spacing w:before="120" w:after="120"/>
        <w:jc w:val="center"/>
        <w:shd w:val="clear" w:color="auto" w:fill="1A5276"/>
      </w:pPr>
      <w:r>
        <w:rPr>
          <w:b/>
          <w:color w:val="FFFFFF"/>
          <w:sz w:val="32"/>
        </w:rPr>
        <w:t xml:space="preserve">  Acme Training Co  </w:t>
      </w:r>
    </w:p>
    <w:p/>
    <w:p>
      <w:pPr>
        <w:jc w:val="center"/>
      </w:pPr>
      <w:r>
        <w:rPr>
          <w:i/>
          <w:color w:val="2874A6"/>
          <w:sz w:val="24"/>
        </w:rPr>
        <w:t>Workplace Training Material</w:t>
      </w:r>
    </w:p>
    <w:p>
      <w:r>
        <w:br w:type="page"/>
      </w:r>
    </w:p>
    <w:p>
      <w:pPr>
        <w:pBdr>
          <w:bottom w:val="single" w:sz="18" w:space="4" w:color="1A5276"/>
        </w:pBdr>
      </w:pPr>
      <w:r>
        <w:rPr>
          <w:b/>
          <w:color w:val="1A5276"/>
          <w:sz w:val="40"/>
        </w:rPr>
        <w:t>Table of Contents</w:t>
      </w:r>
    </w:p>
    <w:p>
      <w:r>
        <w:rPr>
          <w:color w:val="2874A6"/>
          <w:sz w:val="24"/>
        </w:rPr>
        <w:t>1.  Unit 1: Safe Lifting Techniques</w:t>
      </w:r>
    </w:p>
    <w:p>
      <w:r>
        <w:br w:type="page"/>
      </w:r>
    </w:p>
    <w:p>
      <w:pPr>
        <w:pBdr>
          <w:bottom w:val="single" w:sz="18" w:space="4" w:color="1A5276"/>
        </w:pBdr>
      </w:pPr>
      <w:r>
        <w:rPr>
          <w:b/>
          <w:color w:val="1A5276"/>
          <w:sz w:val="44"/>
        </w:rPr>
        <w:t>Unit 1: Safe Lifting Techniques</w:t>
      </w:r>
    </w:p>
    <w:p/>
    <w:p>
      <w:r>
        <w:rPr>
          <w:b/>
          <w:color w:val="F39C12"/>
          <w:sz w:val="26"/>
          <w:u w:val="single"/>
        </w:rPr>
        <w:t>LEARNING OUTCOMES</w:t>
      </w:r>
    </w:p>
    <w:p>
      <w:pPr>
        <w:pStyle w:val="ListBullet"/>
      </w:pPr>
      <w:r>
        <w:t>Demonstrate correct lifting posture</w:t>
      </w:r>
    </w:p>
    <w:p>
      <w:pPr>
        <w:pStyle w:val="ListBullet"/>
      </w:pPr>
      <w:r>
        <w:t>Identify manual handling risks</w:t>
      </w:r>
    </w:p>
    <w:p/>
    <w:p>
      <w:pPr>
        <w:jc w:val="both"/>
      </w:pPr>
      <w:r>
        <w:rPr>
          <w:i/>
          <w:sz w:val="24"/>
        </w:rPr>
        <w:t>Safe lifting is a daily requirement across South African workplaces, from warehouses to construction sites. Mastery of correct techniques prevents musculoskeletal injuries, reduces lost‑time incidents and ensures compliance with the OHS Act and relevant SANS standards.</w:t>
      </w:r>
    </w:p>
    <w:p>
      <w:r>
        <w:rPr>
          <w:b/>
          <w:color w:val="2874A6"/>
          <w:sz w:val="30"/>
        </w:rPr>
        <w:t>Correct Lifting Posture</w:t>
      </w:r>
    </w:p>
    <w:p>
      <w:pPr>
        <w:spacing w:after="160"/>
        <w:jc w:val="both"/>
      </w:pPr>
      <w:r>
        <w:t>A correct lifting posture is defined as the alignment of the spine, hips and knees that maintains the natural curvature of the back while the load is within the worker's zone of control (approximately 0.5 m from the body). Step‑by‑step: 1) Assess the load for weight, stability and centre of gravity; 2) Position feet shoulder‑width apart, one foot slightly ahead for balance; 3) Bend at the hips and knees, keeping the back straight and head upright; 4) Grasp the object firmly using gloves rated for Class 2 abrasion resistance; 5) Engage core muscles, then lift by extending the knees and hips, not the back; 6) Keep the load close to the mid‑line, ideally at waist height; 7) Avoid twisting – pivot with the feet if a change of direction is required; 8) Set the load down by reversing the motion. The procedure complies with the OHS Act Section 8 and SANS 10181‑1:2010 which mandates risk‑free manual handling. Common mistakes include rounding the lumbar spine, lifting with the arms straight, and twisting while carrying. Scenario: Thabo, a warehouse operative, receives a 30 kg steel box on the floor. He first inspects the box for sharp edges, wears steel‑toe boots, high‑visibility vest and anti‑slip gloves. He places his feet apart, bends his knees, keeps his back neutral, grasps the box, engages his core and lifts, keeping the box against his abdomen. He walks forward without rotating his torso, pivots by moving his feet, and places the box onto a pallet at waist height, thereby eliminating strain and complying with legal standards.</w:t>
      </w:r>
    </w:p>
    <w:p>
      <w:r>
        <w:rPr>
          <w:b/>
          <w:color w:val="2874A6"/>
          <w:sz w:val="30"/>
        </w:rPr>
        <w:t>Manual Handling Risk Identification</w:t>
      </w:r>
    </w:p>
    <w:p>
      <w:pPr>
        <w:spacing w:after="160"/>
        <w:jc w:val="both"/>
      </w:pPr>
      <w:r>
        <w:t>Manual handling risk identification involves systematic detection of hazards that could cause injury when loads are moved, lifted or lowered. According to SANS 10181‑1, a risk is the combination of hazard (e.g., heavy load, awkward postures, repetitive motion) and the likelihood of harm. The process: 1) Conduct a pre‑task walk‑around to spot uneven floors, limited space, or obstructed pathways; 2) Determine load characteristics – weight, shape, centre of gravity, and any hazardous contents; 3) Use the OHS Act’s hierarchy of controls to eliminate or reduce risk – engineering (trolleys, hoists), administrative (job rotation, training) and PPE (Class 1 high‑visibility clothing, safety footwear, gloves); 4) Complete a risk assessment matrix, assigning likelihood (rare to frequent) and severity (minor to fatal) to calculate a risk rating; 5) Document control measures and communicate them to the team. Common failures include neglecting to re‑evaluate risk when the environment changes, ignoring the need for mechanical aids, and relying solely on PPE. Scenario: Sipho works on a construction site moving a 25 kg bag of cement from a delivery truck onto a concrete slab. He notes the slab is wet and the path is cluttered with steel rods. He records the load weight, identifies the slip hazard, and decides to use a wheeled handcart (engineering control) rather than carry it manually. He wears anti‑slip boots (PPE) and informs the foreman of the new route. By applying the risk matrix, he classifies the situation as high risk and mitigates it, preventing a potential back injury and meeting OHS compliance.</w:t>
      </w:r>
    </w:p>
    <w:p>
      <w:r>
        <w:rPr>
          <w:b/>
          <w:color w:val="F39C12"/>
          <w:sz w:val="26"/>
          <w:u w:val="single"/>
        </w:rPr>
        <w:t>KEY POINTS</w:t>
      </w:r>
    </w:p>
    <w:p>
      <w:pPr>
        <w:pStyle w:val="ListBullet"/>
      </w:pPr>
      <w:r>
        <w:t>Maintain a neutral spine and lift with the legs, not the back.</w:t>
      </w:r>
    </w:p>
    <w:p>
      <w:pPr>
        <w:pStyle w:val="ListBullet"/>
      </w:pPr>
      <w:r>
        <w:t>Always assess load weight, stability and environment before moving.</w:t>
      </w:r>
    </w:p>
    <w:p>
      <w:pPr>
        <w:pStyle w:val="ListBullet"/>
      </w:pPr>
      <w:r>
        <w:t>Apply the hierarchy of controls – eliminate hazards first, then use PPE.</w:t>
      </w:r>
    </w:p>
    <w:p>
      <w:r>
        <w:br w:type="page"/>
      </w:r>
    </w:p>
    <w:sectPr w:rsidR="00FC693F" w:rsidRPr="0006063C" w:rsidSect="00034616">
      <w:pgSz w:w="12240" w:h="15840"/>
      <w:pgMar w:top="1440" w:right="1800" w:bottom="1440" w:left="1800" w:header="720" w:footer="720" w:gutter="0"/>
      <w:cols w:space="720"/>
      <w:docGrid w:linePitch="360"/>
      <w:pgBorders w:offsetFrom="page">
        <w:top w:val="single" w:sz="24" w:space="24" w:color="1A5276"/>
        <w:left w:val="single" w:sz="24" w:space="24" w:color="1A5276"/>
        <w:bottom w:val="single" w:sz="24" w:space="24" w:color="1A5276"/>
        <w:right w:val="single" w:sz="24" w:space="24" w:color="1A5276"/>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