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1645920" cy="88174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881743"/>
                    </a:xfrm>
                    <a:prstGeom prst="rect"/>
                  </pic:spPr>
                </pic:pic>
              </a:graphicData>
            </a:graphic>
          </wp:inline>
        </w:drawing>
      </w:r>
    </w:p>
    <w:p/>
    <w:p>
      <w:pPr>
        <w:jc w:val="center"/>
        <w:pBdr>
          <w:bottom w:val="single" w:sz="10" w:space="4" w:color="E67E22"/>
        </w:pBdr>
      </w:pPr>
    </w:p>
    <w:p>
      <w:pPr>
        <w:jc w:val="center"/>
      </w:pPr>
      <w:r>
        <w:rPr>
          <w:rFonts w:ascii="Calibri" w:hAnsi="Calibri"/>
          <w:b/>
          <w:color w:val="1A5276"/>
          <w:sz w:val="64"/>
        </w:rPr>
        <w:t>Basic Electrical Safety for Industrial Workers</w:t>
      </w:r>
    </w:p>
    <w:p>
      <w:pPr>
        <w:jc w:val="center"/>
        <w:pBdr>
          <w:bottom w:val="single" w:sz="10" w:space="4" w:color="E67E22"/>
        </w:pBdr>
      </w:pPr>
    </w:p>
    <w:p/>
    <w:p>
      <w:pPr>
        <w:spacing w:before="120" w:after="120"/>
        <w:jc w:val="center"/>
        <w:shd w:val="clear" w:color="auto" w:fill="1A5276"/>
      </w:pPr>
      <w:r>
        <w:rPr>
          <w:b/>
          <w:color w:val="FFFFFF"/>
          <w:sz w:val="32"/>
        </w:rPr>
        <w:t xml:space="preserve">  Test Training Institute  </w:t>
      </w:r>
    </w:p>
    <w:p/>
    <w:p>
      <w:pPr>
        <w:jc w:val="center"/>
      </w:pPr>
      <w:r>
        <w:rPr>
          <w:i/>
          <w:color w:val="2874A6"/>
          <w:sz w:val="24"/>
        </w:rPr>
        <w:t>Workplace Training Material</w:t>
      </w:r>
    </w:p>
    <w:p>
      <w:r>
        <w:br w:type="page"/>
      </w:r>
    </w:p>
    <w:p>
      <w:pPr>
        <w:pBdr>
          <w:bottom w:val="single" w:sz="18" w:space="4" w:color="1A5276"/>
        </w:pBdr>
      </w:pPr>
      <w:r>
        <w:rPr>
          <w:b/>
          <w:color w:val="1A5276"/>
          <w:sz w:val="40"/>
        </w:rPr>
        <w:t>Table of Contents</w:t>
      </w:r>
    </w:p>
    <w:p>
      <w:r>
        <w:rPr>
          <w:color w:val="2874A6"/>
          <w:sz w:val="24"/>
        </w:rPr>
        <w:t>1.  Unit 1: Understanding Electrical Hazards</w:t>
      </w:r>
    </w:p>
    <w:p>
      <w:r>
        <w:rPr>
          <w:color w:val="2874A6"/>
          <w:sz w:val="24"/>
        </w:rPr>
        <w:t>2.  Unit 2: Personal Protective Equipment (PPE)</w:t>
      </w:r>
    </w:p>
    <w:p>
      <w:r>
        <w:rPr>
          <w:color w:val="2874A6"/>
          <w:sz w:val="24"/>
        </w:rPr>
        <w:t>3.  Unit 3: Safe Isolation Procedures</w:t>
      </w:r>
    </w:p>
    <w:p>
      <w:r>
        <w:rPr>
          <w:color w:val="2874A6"/>
          <w:sz w:val="24"/>
        </w:rPr>
        <w:t>4.  Unit 4: Emergency Response</w:t>
      </w:r>
    </w:p>
    <w:p>
      <w:r>
        <w:br w:type="page"/>
      </w:r>
    </w:p>
    <w:p>
      <w:pPr>
        <w:pBdr>
          <w:bottom w:val="single" w:sz="18" w:space="4" w:color="1A5276"/>
        </w:pBdr>
      </w:pPr>
      <w:r>
        <w:rPr>
          <w:b/>
          <w:color w:val="1A5276"/>
          <w:sz w:val="44"/>
        </w:rPr>
        <w:t>Unit 1: Understanding Electrical Hazards</w:t>
      </w:r>
    </w:p>
    <w:p/>
    <w:p>
      <w:r>
        <w:rPr>
          <w:b/>
          <w:color w:val="E67E22"/>
          <w:sz w:val="26"/>
          <w:u w:val="single"/>
        </w:rPr>
        <w:t>LEARNING OUTCOMES</w:t>
      </w:r>
    </w:p>
    <w:p>
      <w:pPr>
        <w:pStyle w:val="ListBullet"/>
      </w:pPr>
      <w:r>
        <w:t>Learners will be able to identify common electrical hazards in an industrial setting.</w:t>
      </w:r>
    </w:p>
    <w:p>
      <w:pPr>
        <w:pStyle w:val="ListBullet"/>
      </w:pPr>
      <w:r>
        <w:t>Learners will be able to explain the causes of electrical shock and burns.</w:t>
      </w:r>
    </w:p>
    <w:p>
      <w:pPr>
        <w:pStyle w:val="ListBullet"/>
      </w:pPr>
      <w:r>
        <w:t>Learners will be able to recognize warning signs and safety labeling on equipment.</w:t>
      </w:r>
    </w:p>
    <w:p/>
    <w:p>
      <w:r>
        <w:rPr>
          <w:i/>
          <w:sz w:val="24"/>
        </w:rPr>
        <w:t>Electrical hazards are a leading cause of workplace injury in South African industry. Understanding how to spot, evaluate and control these risks protects both the worker and the operation’s continuity.</w:t>
      </w:r>
    </w:p>
    <w:p>
      <w:r>
        <w:rPr>
          <w:b/>
          <w:color w:val="2874A6"/>
          <w:sz w:val="30"/>
        </w:rPr>
        <w:t>Identifying Common Electrical Hazards in an Industrial Setting</w:t>
      </w:r>
    </w:p>
    <w:p>
      <w:pPr>
        <w:spacing w:after="160"/>
      </w:pPr>
      <w:r>
        <w:t>A common electrical hazard is any condition that can expose a person to voltage, current or arc‑flash energy. According to SANS 10142-1, hazards include exposed live conductors, damaged insulation, improper grounding, overloaded circuits, and equipment in wet or corrosive atmospheres. Step‑by‑step identification: 1) Conduct a visual inspection of all equipment for cracked covers, missing seals or signs of overheating; 2) Use a calibrated voltage tester to verify that no conductor is unintentionally energized; 3) Review the electrical drawings and compare actual installations to the design, noting any deviations; 4) Check that residual‑current devices (RCDs) are rated ≤30 mA for personal protection as required by the OHS Act Section 8. Common mistakes: workers often assume a de‑energised panel is safe without confirming lock‑out, or they rely on visual cues alone without testing for phantom voltage. Scenario: Sipho, an electrical fitter, enters a motor control centre for routine maintenance. He notices a cracked terminal block but proceeds because the panel appears off. He fails to isolate the supply and lock‑out; when the circuit is inadvertently re‑energised, he receives a 240 V shock, causing loss of consciousness. Proper hazard identification would have required him to verify isolation with a tester, report the defect, and secure the work area before proceeding.</w:t>
      </w:r>
    </w:p>
    <w:p>
      <w:r>
        <w:rPr>
          <w:b/>
          <w:color w:val="2874A6"/>
          <w:sz w:val="30"/>
        </w:rPr>
        <w:t>Causes of Electrical Shock and Burns</w:t>
      </w:r>
    </w:p>
    <w:p>
      <w:pPr>
        <w:spacing w:after="160"/>
      </w:pPr>
      <w:r>
        <w:t>Electrical shock occurs when current passes through the body, exceeding the heart’s safe threshold of 30 mA for ventricular fibrillation (SANS 164). Burns result from Joule heating or arc‑flash, with temperatures above 20 000 °C. Primary causes include: contact with live parts, faulty earthing, using non‑rated tools, and inadvertent current paths via conductive clothing or jewellery. Procedure to prevent: 1) Verify that PPE meets EN 60903 (insulated gloves) and EN 388 (impact‑resistant boots); 2) Remove all metallic accessories; 3) Use insulated tools with a minimum rating of 1 kV; 4) Apply the hierarchy of controls – isolate, lock‑out/tag‑out, then test with a non‑contact voltage detector. A frequent failure point is neglecting to wear insulated gloves when working on a 415 V three‑phase circuit, assuming the circuit is dead because the indicator lamp is off. Scenario: Thandi, a maintenance operative, replaces a faulty sensor on a conveyor motor. She removes the protective cover but does not wear insulated gloves, believing the motor is offline. The motor controller automatically restarts during her work, delivering a 415 V line-to-line fault current through her hand, causing a second‑degree burn on her forearm and a severe shock that requires medical evacuation. Proper cause analysis and PPE usage would have prevented the incident.</w:t>
      </w:r>
    </w:p>
    <w:p>
      <w:r>
        <w:rPr>
          <w:b/>
          <w:color w:val="2874A6"/>
          <w:sz w:val="30"/>
        </w:rPr>
        <w:t>Recognising Warning Signs and Safety Labeling on Equipment</w:t>
      </w:r>
    </w:p>
    <w:p>
      <w:pPr>
        <w:spacing w:after="160"/>
      </w:pPr>
      <w:r>
        <w:t>South African regulations require hazard symbols to conform to SANS 10103 (graphic symbols) and the International Electrotechnical Commission (IEC) 60417. Key signs include the double‑triangle arc‑flash warning, the lightning bolt for live parts, and the insulated tool symbol. Labels must display voltage rating, frequency, and PPE requirements (e.g., "+1000 V – wear Class 0 gloves"). Step‑by‑step recognition: 1) Approach the equipment and scan for SANS 10103 symbols; 2) Read the alphanumeric label for voltage, current‑rating, and any special precautions; 3) Verify that the label is legible and not obscured by rust or paint; 4) Cross‑check the label information against the lock‑out/tag‑out documentation. Common mistake: workers often ignore faded symbols on outdoor switchgear, assuming the equipment is non‑hazardous. Scenario: Musa, a plant operator, must service a high‑voltage switchgear unit. The original warning label has peeled, leaving only a faint lightning bolt. He does not replace the label and proceeds without consulting the maintenance log, missing the note that the unit is energized at 11 kV. When he contacts a bus bar, an arc‑flash occurs, causing severe burns. Correct practice would have involved reporting the illegible label, requesting a new SANS‑compliant tag, and confirming isolation before any contact.</w:t>
      </w:r>
    </w:p>
    <w:p>
      <w:r>
        <w:rPr>
          <w:b/>
          <w:color w:val="E67E22"/>
          <w:sz w:val="26"/>
          <w:u w:val="single"/>
        </w:rPr>
        <w:t>KEY POINTS</w:t>
      </w:r>
    </w:p>
    <w:p>
      <w:pPr>
        <w:pStyle w:val="ListBullet"/>
      </w:pPr>
      <w:r>
        <w:t>Always verify isolation with a tester before assuming a circuit is safe.</w:t>
      </w:r>
    </w:p>
    <w:p>
      <w:pPr>
        <w:pStyle w:val="ListBullet"/>
      </w:pPr>
      <w:r>
        <w:t>Use PPE rated for the specific voltage and hazard type; insulated gloves and tools are mandatory for &gt;50 V work.</w:t>
      </w:r>
    </w:p>
    <w:p>
      <w:pPr>
        <w:pStyle w:val="ListBullet"/>
      </w:pPr>
      <w:r>
        <w:t>Maintain clear, legible SANS‑compliant warning signs; replace any faded or damaged labels immediately.</w:t>
      </w:r>
    </w:p>
    <w:p>
      <w:r>
        <w:br w:type="page"/>
      </w:r>
    </w:p>
    <w:p>
      <w:pPr>
        <w:pBdr>
          <w:bottom w:val="single" w:sz="18" w:space="4" w:color="1A5276"/>
        </w:pBdr>
      </w:pPr>
      <w:r>
        <w:rPr>
          <w:b/>
          <w:color w:val="1A5276"/>
          <w:sz w:val="44"/>
        </w:rPr>
        <w:t>Unit 2: Personal Protective Equipment (PPE)</w:t>
      </w:r>
    </w:p>
    <w:p/>
    <w:p>
      <w:r>
        <w:rPr>
          <w:b/>
          <w:color w:val="E67E22"/>
          <w:sz w:val="26"/>
          <w:u w:val="single"/>
        </w:rPr>
        <w:t>LEARNING OUTCOMES</w:t>
      </w:r>
    </w:p>
    <w:p>
      <w:pPr>
        <w:pStyle w:val="ListBullet"/>
      </w:pPr>
      <w:r>
        <w:t>Learners will be able to select appropriate PPE for electrical work.</w:t>
      </w:r>
    </w:p>
    <w:p>
      <w:pPr>
        <w:pStyle w:val="ListBullet"/>
      </w:pPr>
      <w:r>
        <w:t>Learners will be able to correctly inspect PPE before use.</w:t>
      </w:r>
    </w:p>
    <w:p>
      <w:pPr>
        <w:pStyle w:val="ListBullet"/>
      </w:pPr>
      <w:r>
        <w:t>Learners will be able to understand the limitations of different PPE categories.</w:t>
      </w:r>
    </w:p>
    <w:p/>
    <w:p>
      <w:r>
        <w:rPr>
          <w:i/>
          <w:sz w:val="24"/>
        </w:rPr>
        <w:t>Personal Protective Equipment (PPE) is the last line of defence for workers exposed to electrical hazards. Correct selection, inspection and understanding of PPE limits prevent injuries, ensure compliance with South African legislation and keep projects on schedule.</w:t>
      </w:r>
    </w:p>
    <w:p>
      <w:r>
        <w:rPr>
          <w:b/>
          <w:color w:val="2874A6"/>
          <w:sz w:val="30"/>
        </w:rPr>
        <w:t>Selecting appropriate PPE for electrical work</w:t>
      </w:r>
    </w:p>
    <w:p>
      <w:pPr>
        <w:spacing w:after="160"/>
      </w:pPr>
      <w:r>
        <w:t>PPE for electrical tasks must be chosen on the basis of a documented risk assessment and the voltage level involved. Reference the Occupational Health and Safety Act 85 of 1993 and the Electrical Installation Regulations (EIR) 2009. For voltages up to 1 000 V use SANS 10124 Class 0 or Class 1 insulating gloves; for 1 001 V to 36 000 V select Class 2 or Class 3 gloves, verified by a certified test label. Complement gloves with dielectric footwear (SANS 10142-1), a hard hat with a voltage rating of at least 5 000 V, and arc‑flash clothing meeting SANS 190 Category 2 or higher when the incident energy exceeds 4 cal/cm². Choose face shields with a minimum impact resistance of 120 J (SANS 104). Common mistakes include using a lower‑class glove on a higher‑voltage circuit and neglecting the required arc‑flash rating for clothing. Scenario: Thabo, an electrician on an 11 kV substation, consults the site risk matrix, selects Class 3 gloves, a dielectric boot, a Category 3 arc‑flash suit, and a polycarbonate face shield. He verifies each item’s certification label before proceeding, thereby eliminating the risk of dielectric failure during live‑line work.</w:t>
      </w:r>
    </w:p>
    <w:p>
      <w:r>
        <w:rPr>
          <w:b/>
          <w:color w:val="2874A6"/>
          <w:sz w:val="30"/>
        </w:rPr>
        <w:t>Inspecting PPE before each use</w:t>
      </w:r>
    </w:p>
    <w:p>
      <w:pPr>
        <w:spacing w:after="160"/>
      </w:pPr>
      <w:r>
        <w:t>Inspection must be performed before donning PPE and documented in a logbook as required by SANS 10124‑1. Follow the step‑by‑step procedure: 1) Visually examine gloves for cuts, abrasion, discoloration, or oil contamination; 2) Perform a manual leak test by filling the glove with water and observing for seepage; 3) Conduct a dielectric test with a calibrated tester (minimum 1.5 times the rated voltage). 4) Check helmets for cracks, dented suspension, and verify the retention system; 5) Inspect eye protection for scratches or compromised lenses. Failure to conduct these checks can result in undetected damage leading to shock or arc‑flash injury. A frequent error is re‑using a glove that failed a previous leak test because the worker assumes a visual check is sufficient. Scenario: Sipho, a maintenance technician, is scheduled to service a motor control centre rated at 415 V. He removes his Class 1 gloves, fills them with water, and sees a slow leak at the cuff. He records the defect, tags the gloves as ‘Unserviceable’, and selects a spare pair that passes the test, ensuring the circuit can be de‑energised safely without PPE compromise.</w:t>
      </w:r>
    </w:p>
    <w:p>
      <w:r>
        <w:rPr>
          <w:b/>
          <w:color w:val="2874A6"/>
          <w:sz w:val="30"/>
        </w:rPr>
        <w:t>Understanding the limitations of PPE categories</w:t>
      </w:r>
    </w:p>
    <w:p>
      <w:pPr>
        <w:spacing w:after="160"/>
      </w:pPr>
      <w:r>
        <w:t>Every PPE category has a defined protection envelope; exceeding that envelope removes the safety margin. SANS 10124 class ratings denote the maximum continuous voltage a glove can withstand; exposure to a voltage even 10% above the rating can cause dielectric breakdown. Arc‑flash clothing categories (1–4) are based on incident‑energy limits; wearing Category 2 gear in a 12 cal/cm² environment provides insufficient protection and can result in second‑degree burns. Eye protection rated to EN 166 only guards against impact, not against UV radiation from an arc. Chemical resistance of gloves is limited to the substances listed in the manufacturer’s data sheet; oil‑contaminated electrical gloves lose insulating properties. Common mistake: assuming that once PPE is worn, the hazard is eliminated. Scenario: Lindiwe, a line‑worker, is assigned to a 33 kV overhead line. She wears Class 2 gloves (rated for 36 kV) but the line unexpectedly carries a transient surge of 38 kV due to a fault. The surge punctures the glove, causing a flash burn on her hand despite the glove being the correct class for normal operation. The incident illustrates that PPE does not protect against over‑voltage events, underscoring the need for voltage monitoring and isolation before work begins.</w:t>
      </w:r>
    </w:p>
    <w:p>
      <w:r>
        <w:rPr>
          <w:b/>
          <w:color w:val="E67E22"/>
          <w:sz w:val="26"/>
          <w:u w:val="single"/>
        </w:rPr>
        <w:t>KEY POINTS</w:t>
      </w:r>
    </w:p>
    <w:p>
      <w:pPr>
        <w:pStyle w:val="ListBullet"/>
      </w:pPr>
      <w:r>
        <w:t>Select PPE based on documented risk assessment, voltage class and SANS ratings.</w:t>
      </w:r>
    </w:p>
    <w:p>
      <w:pPr>
        <w:pStyle w:val="ListBullet"/>
      </w:pPr>
      <w:r>
        <w:t>Inspect each piece of PPE before use, using visual checks and required tests, and record results.</w:t>
      </w:r>
    </w:p>
    <w:p>
      <w:pPr>
        <w:pStyle w:val="ListBullet"/>
      </w:pPr>
      <w:r>
        <w:t>Know the exact protection limits of each PPE category; exceeding those limits removes safety.</w:t>
      </w:r>
    </w:p>
    <w:p>
      <w:r>
        <w:br w:type="page"/>
      </w:r>
    </w:p>
    <w:p>
      <w:pPr>
        <w:pBdr>
          <w:bottom w:val="single" w:sz="18" w:space="4" w:color="1A5276"/>
        </w:pBdr>
      </w:pPr>
      <w:r>
        <w:rPr>
          <w:b/>
          <w:color w:val="1A5276"/>
          <w:sz w:val="44"/>
        </w:rPr>
        <w:t>Unit 3: Safe Isolation Procedures</w:t>
      </w:r>
    </w:p>
    <w:p/>
    <w:p>
      <w:r>
        <w:rPr>
          <w:b/>
          <w:color w:val="E67E22"/>
          <w:sz w:val="26"/>
          <w:u w:val="single"/>
        </w:rPr>
        <w:t>LEARNING OUTCOMES</w:t>
      </w:r>
    </w:p>
    <w:p>
      <w:pPr>
        <w:pStyle w:val="ListBullet"/>
      </w:pPr>
      <w:r>
        <w:t>Learners will be able to apply lockout-tagout (LOTO) procedures correctly.</w:t>
      </w:r>
    </w:p>
    <w:p>
      <w:pPr>
        <w:pStyle w:val="ListBullet"/>
      </w:pPr>
      <w:r>
        <w:t>Learners will be able to verify isolation using appropriate testing equipment.</w:t>
      </w:r>
    </w:p>
    <w:p>
      <w:pPr>
        <w:pStyle w:val="ListBullet"/>
      </w:pPr>
      <w:r>
        <w:t>Learners will be able to understand the legal requirements for safe isolation in South African workplaces.</w:t>
      </w:r>
    </w:p>
    <w:p/>
    <w:p>
      <w:r>
        <w:rPr>
          <w:i/>
          <w:sz w:val="24"/>
        </w:rPr>
        <w:t>Safe isolation protects workers from accidental energisation and hazardous release of energy. Mastering lockout‑tagout, verification testing and legal compliance is essential for every technician on a South African work site.</w:t>
      </w:r>
    </w:p>
    <w:p>
      <w:r>
        <w:rPr>
          <w:b/>
          <w:color w:val="2874A6"/>
          <w:sz w:val="30"/>
        </w:rPr>
        <w:t>Applying Lockout‑Tagout (LOTO) Procedures</w:t>
      </w:r>
    </w:p>
    <w:p>
      <w:pPr>
        <w:spacing w:after="160"/>
      </w:pPr>
      <w:r>
        <w:t>Lockout‑tagout (LOTO) is the coordinated use of a physical lock and a warning tag to secure an energy isolation point. The procedure follows the eight steps mandated by the OHS Act (Act 85 of 1993) and the 2014 General Safety Regulations: 1) Identify the equipment and all energy sources (electrical, hydraulic, pneumatic, thermal, mechanical). 2) Notify all affected personnel using the written isolation notice as required by SANS 10142‑1. 3) Shut down the equipment using the normal operational controls. 4) Isolate each energy source by opening valves, tripping circuit breakers, or disconnecting cables. 5) Apply a lock that only the authorised worker can remove; the lock must meet SANS 10479 (Class 2, 6‑mm steel shackle). 6) Attach a tag with the worker’s name, date, and reason for isolation, complying with SANS 10142‑1 colour‑coding. 7) Verify that the lock is secure and the tag is legible. 8) Record the isolation in the lockout register. Common mistakes include using makeshift locks, sharing keys, or failing to isolate secondary power supplies. Scenario: Thabo, an electrical maintenance technician, must service a 415 V motor control centre. He reads the isolation permit, shuts the MCC down, opens the upstream breaker, applies two SANS‑approved padlocks, tags each breaker, and signs the lockout register. He then confirms that no voltage is present before proceeding, preventing accidental re‑energisation during his repair.</w:t>
      </w:r>
    </w:p>
    <w:p>
      <w:r>
        <w:rPr>
          <w:b/>
          <w:color w:val="2874A6"/>
          <w:sz w:val="30"/>
        </w:rPr>
        <w:t>Verifying Isolation with Testing Equipment</w:t>
      </w:r>
    </w:p>
    <w:p>
      <w:pPr>
        <w:spacing w:after="160"/>
      </w:pPr>
      <w:r>
        <w:t>Verification is the final safeguard before work begins. The worker must use calibrated testing equipment that complies with SANS 10142‑1 and the National Metrology Institute’s accuracy requirements (±1 % for voltage, ±0.5 % for current). The steps are: 1) Select the correct instrument (multimeter, voltage tester, residual‑current device) and ensure it is rated for the voltage category (Category III for fixed installations). 2) Perform a functional check on the tester using the built‑in self‑test or a known live source. 3) Test each isolated point: first confirm the absence of voltage, then test for continuity to ground to ensure that no hidden sources exist (e.g., capacitive stored energy). 4) Document the readings on the isolation checklist, signing and dating each entry. 5) Keep the tester on the work area as evidence that verification occurred. Common failure points are neglecting to test after a lock is placed, using a damaged probe, or assuming a circuit is dead because an indicator light is off. Scenario: Sipho, a plant mechanic, isolates a hydraulic press. After applying lockout devices, he selects a Class III digital voltmeter, checks its battery, and measures across the press control circuit. The meter reads 0 V and a continuity test shows no path to the power bus. Sipho records the 0 V reading, stamps the isolation sheet, and proceeds, confident that residual energy has been eliminated.</w:t>
      </w:r>
    </w:p>
    <w:p>
      <w:r>
        <w:rPr>
          <w:b/>
          <w:color w:val="2874A6"/>
          <w:sz w:val="30"/>
        </w:rPr>
        <w:t>Legal Requirements for Safe Isolation in South Africa</w:t>
      </w:r>
    </w:p>
    <w:p>
      <w:pPr>
        <w:spacing w:after="160"/>
      </w:pPr>
      <w:r>
        <w:t>The legal framework for safe isolation combines the Occupational Health and Safety Act 85 of 1993, the 2014 General Safety Regulations, and specific SANS standards. Section 8 of the OHS Act obliges employers to provide a safe system of work, which includes documented isolation procedures and training. Regulation 5 mandates that any task involving hazardous energy must be isolated, locked out, and verified before entry. SANS 10142‑1 details the design of isolation points and the colour‑coding of tags (red for danger, yellow for caution). Employers must supply PPE that meets SANS 102–1 (e.g., Class 1 insulated gloves, dielectric footwear, eye protection with a minimum impact rating of 1.2 J). Failure to comply can result in fines up to R 2 million per violation and criminal liability for negligent homicide. A frequent legal pitfall is inadequate record‑keeping; without a signed lockout register, the employer cannot demonstrate compliance. Scenario: Naledi, a site supervisor, receives an incident report where a contractor was shocked because the previous lockout had been removed without proper notification. Naledi initiates a corrective action: she revises the isolation procedure to include a mandatory hand‑over briefing, updates the lockout register template to capture electronic signatures, and conducts a refresher training that references the OHS Act, the 2014 Regulations, and SANS 10142‑1. The next audit shows full compliance, and the site avoids penalties.</w:t>
      </w:r>
    </w:p>
    <w:p>
      <w:r>
        <w:rPr>
          <w:b/>
          <w:color w:val="E67E22"/>
          <w:sz w:val="26"/>
          <w:u w:val="single"/>
        </w:rPr>
        <w:t>KEY POINTS</w:t>
      </w:r>
    </w:p>
    <w:p>
      <w:pPr>
        <w:pStyle w:val="ListBullet"/>
      </w:pPr>
      <w:r>
        <w:t>LOTO must follow a documented eight‑step process and use SANS‑approved locks and tags.</w:t>
      </w:r>
    </w:p>
    <w:p>
      <w:pPr>
        <w:pStyle w:val="ListBullet"/>
      </w:pPr>
      <w:r>
        <w:t>Verification with calibrated equipment and recorded results is mandatory before work starts.</w:t>
      </w:r>
    </w:p>
    <w:p>
      <w:pPr>
        <w:pStyle w:val="ListBullet"/>
      </w:pPr>
      <w:r>
        <w:t>South African law (OHS Act, 2014 Regulations, SANS standards) requires strict isolation, PPE, and record‑keeping to avoid penalties.</w:t>
      </w:r>
    </w:p>
    <w:p>
      <w:r>
        <w:br w:type="page"/>
      </w:r>
    </w:p>
    <w:p>
      <w:pPr>
        <w:pBdr>
          <w:bottom w:val="single" w:sz="18" w:space="4" w:color="1A5276"/>
        </w:pBdr>
      </w:pPr>
      <w:r>
        <w:rPr>
          <w:b/>
          <w:color w:val="1A5276"/>
          <w:sz w:val="44"/>
        </w:rPr>
        <w:t>Unit 4: Emergency Response</w:t>
      </w:r>
    </w:p>
    <w:p/>
    <w:p>
      <w:r>
        <w:rPr>
          <w:b/>
          <w:color w:val="E67E22"/>
          <w:sz w:val="26"/>
          <w:u w:val="single"/>
        </w:rPr>
        <w:t>LEARNING OUTCOMES</w:t>
      </w:r>
    </w:p>
    <w:p>
      <w:pPr>
        <w:pStyle w:val="ListBullet"/>
      </w:pPr>
      <w:r>
        <w:t>Learners will be able to respond appropriately to an electrical incident.</w:t>
      </w:r>
    </w:p>
    <w:p>
      <w:pPr>
        <w:pStyle w:val="ListBullet"/>
      </w:pPr>
      <w:r>
        <w:t>Learners will be able to administer basic first aid for electrical shock.</w:t>
      </w:r>
    </w:p>
    <w:p>
      <w:pPr>
        <w:pStyle w:val="ListBullet"/>
      </w:pPr>
      <w:r>
        <w:t>Learners will be able to know when and how to escalate to emergency services.</w:t>
      </w:r>
    </w:p>
    <w:p/>
    <w:p>
      <w:r>
        <w:rPr>
          <w:i/>
          <w:sz w:val="24"/>
        </w:rPr>
        <w:t>Electrical incidents are among the most hazardous events on South African worksites. Prompt, correct action can prevent death, serious injury and costly downtime, making this knowledge essential for every worker.</w:t>
      </w:r>
    </w:p>
    <w:p>
      <w:r>
        <w:rPr>
          <w:b/>
          <w:color w:val="2874A6"/>
          <w:sz w:val="30"/>
        </w:rPr>
        <w:t>Responding to an electrical incident</w:t>
      </w:r>
    </w:p>
    <w:p>
      <w:pPr>
        <w:spacing w:after="160"/>
      </w:pPr>
      <w:r>
        <w:t>An electrical incident is any unintended contact with live voltage, including arcs, flashovers or equipment failure, as defined in the Occupational Health and Safety Act (Act 85 of 1993) and SANS 10142-1. Immediate response follows the RACE protocol: (1) Rescue – stop the hazard by isolating the source using the nearest shut‑off, lock‑out, tag‑out (LOTO) device; (2) Assess – confirm that the area is safe, wear Class 0 dielectric gloves, insulated tools and dielectric boots as required by SANS 10400; (3) Communicate – alert nearby workers and the site supervisor; (4) Evacuate – clear non‑essential personnel. Common mistakes include attempting to pull a victim with bare hands before power is cut, or using metal equipment that conducts electricity. Scenario: In a metal‑fabrication workshop a trainee notices a sparking control panel. He immediately presses the emergency stop, applies a Class 0 insulated screwdriver to open the service panel, dons dielectric gloves, and places a lock on the main isolator. He then informs the supervisor, secures the area, and prepares for first‑aid while awaiting the electrician to verify that the circuit is dead.</w:t>
      </w:r>
    </w:p>
    <w:p>
      <w:r>
        <w:rPr>
          <w:b/>
          <w:color w:val="2874A6"/>
          <w:sz w:val="30"/>
        </w:rPr>
        <w:t>Basic first aid for electrical shock</w:t>
      </w:r>
    </w:p>
    <w:p>
      <w:pPr>
        <w:spacing w:after="160"/>
      </w:pPr>
      <w:r>
        <w:t>Electrical shock is the passage of current through the body, potentially causing cardiac arrest, respiratory failure or deep tissue burns. First‑aid follows the HPCSA guidelines and the SANS 10142‑1 first‑aid annex: (1) Ensure scene is safe and power is isolated; (2) Call for assistance and activate emergency services if the victim is unresponsive, not breathing or has no pulse; (3) Check responsiveness – shout, tap shoulders; (4) If the victim is breathing, place them in the recovery position and monitor; (5) If not breathing or no pulse, start CPR immediately – 30 chest compressions, 2 rescue breaths – and attach an AED as soon as available; (6) Treat visible burns with cool running water for 10‑20 minutes, cover with a sterile, non‑adhesive dressing, and avoid applying ointments. Common errors are delaying CPR while searching for a defibrillator, removing the victim before power is cut, or neglecting to monitor for delayed arrhythmias. Scenario: A maintenance worker receives a shock while testing a high‑voltage motor. After the electrician locks out the supply, the coworker checks responsiveness, finds the victim unconscious, calls 10177, begins CPR, attaches the AED, and after return of spontaneous circulation continues to monitor breathing while another teammate applies cool water to the entry‑site burns.</w:t>
      </w:r>
    </w:p>
    <w:p>
      <w:r>
        <w:rPr>
          <w:b/>
          <w:color w:val="2874A6"/>
          <w:sz w:val="30"/>
        </w:rPr>
        <w:t>Escalating to emergency services</w:t>
      </w:r>
    </w:p>
    <w:p>
      <w:pPr>
        <w:spacing w:after="160"/>
      </w:pPr>
      <w:r>
        <w:t>Escalation is required when a victim is unconscious, has no pulse, severe burns (second‑degree or greater), multiple casualties, or when the incident threatens fire or environmental damage. The procedure, mandated by the OHS Act Section 20 and SANS 10400, is: (1) Dial 10177 – the national emergency number – providing the exact location, nature of the incident, number of victims, and any ongoing hazards; (2) Simultaneously alert the site emergency coordinator and the appointed health‑and‑safety officer; (3) Keep the area clear for responders, maintain LOTO, and preserve evidence for investigation; (4) Complete an incident report within 24 hours, including timestamps of each action. Typical failures include waiting for a supervisor to approve the call, giving vague location details, or failing to maintain a safe perimeter for responders. Scenario: During a warehouse stock‑taking operation a pallet jack strikes a concealed live cable, causing a worker to receive a high‑voltage shock. The on‑site first‑aider isolates the circuit, calls 10177, states "Warehouse Block C, 12‑meter aisle, one unconscious victim, possible arc flash, power isolated," then directs the fire brigade to the nearest access point while another worker begins CPR. The clear, concise call enables rapid EMS arrival and prevents further exposure.</w:t>
      </w:r>
    </w:p>
    <w:p>
      <w:r>
        <w:rPr>
          <w:b/>
          <w:color w:val="E67E22"/>
          <w:sz w:val="26"/>
          <w:u w:val="single"/>
        </w:rPr>
        <w:t>KEY POINTS</w:t>
      </w:r>
    </w:p>
    <w:p>
      <w:pPr>
        <w:pStyle w:val="ListBullet"/>
      </w:pPr>
      <w:r>
        <w:t>Always isolate the electrical source before rescuing a victim.</w:t>
      </w:r>
    </w:p>
    <w:p>
      <w:pPr>
        <w:pStyle w:val="ListBullet"/>
      </w:pPr>
      <w:r>
        <w:t>Begin CPR and use an AED immediately if the victim shows no pulse or breathing.</w:t>
      </w:r>
    </w:p>
    <w:p>
      <w:pPr>
        <w:pStyle w:val="ListBullet"/>
      </w:pPr>
      <w:r>
        <w:t>Call emergency services with precise location and hazard details without delay.</w:t>
      </w:r>
    </w:p>
    <w:p>
      <w:r>
        <w:br w:type="page"/>
      </w:r>
    </w:p>
    <w:sectPr w:rsidR="00FC693F" w:rsidRPr="0006063C" w:rsidSect="00034616">
      <w:pgSz w:w="12240" w:h="15840"/>
      <w:pgMar w:top="1440" w:right="1800" w:bottom="1440" w:left="1800" w:header="720" w:footer="720" w:gutter="0"/>
      <w:cols w:space="720"/>
      <w:docGrid w:linePitch="360"/>
      <w:pgBorders w:offsetFrom="page">
        <w:top w:val="single" w:sz="24" w:space="24" w:color="1A5276"/>
        <w:left w:val="single" w:sz="24" w:space="24" w:color="1A5276"/>
        <w:bottom w:val="single" w:sz="24" w:space="24" w:color="1A5276"/>
        <w:right w:val="single" w:sz="24" w:space="24" w:color="1A5276"/>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