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spacing w:after="360"/>
        <w:jc w:val="center"/>
      </w:pPr>
      <w:r>
        <w:rPr>
          <w:rFonts w:ascii="DejaVu Sans" w:hAnsi="DejaVu Sans" w:eastAsia="DejaVu Sans" w:cs="DejaVu Sans"/>
          <w:b/>
          <w:i w:val="0"/>
          <w:color w:val="C28A18"/>
          <w:sz w:val="20"/>
        </w:rPr>
        <w:t>AI ENGINEERING CASE STUDY</w:t>
      </w:r>
    </w:p>
    <w:p>
      <w:pPr>
        <w:pStyle w:val="Title"/>
        <w:jc w:val="center"/>
      </w:pPr>
      <w:r>
        <w:rPr>
          <w:rFonts w:ascii="DejaVu Sans" w:hAnsi="DejaVu Sans" w:eastAsia="DejaVu Sans" w:cs="DejaVu Sans"/>
          <w:b/>
          <w:i w:val="0"/>
          <w:color w:val="102A43"/>
          <w:sz w:val="60"/>
        </w:rPr>
        <w:t>IRIS Security RAG</w:t>
      </w:r>
    </w:p>
    <w:p>
      <w:pPr>
        <w:pStyle w:val="Subtitle"/>
        <w:spacing w:after="560"/>
        <w:jc w:val="center"/>
      </w:pPr>
      <w:r>
        <w:rPr>
          <w:rFonts w:ascii="DejaVu Sans" w:hAnsi="DejaVu Sans" w:eastAsia="DejaVu Sans" w:cs="DejaVu Sans"/>
          <w:b w:val="0"/>
          <w:i w:val="0"/>
          <w:color w:val="0F766E"/>
          <w:sz w:val="28"/>
        </w:rPr>
        <w:t>Local-first cited answers for SOC analysts</w:t>
      </w:r>
    </w:p>
    <w:p>
      <w:pPr>
        <w:pBdr>
          <w:bottom w:val="single" w:sz="14" w:space="4" w:color="2563EB"/>
        </w:pBdr>
        <w:spacing w:after="5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AUTHOR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Max Nikiforov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6 August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ENVIRONMENT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Windows 10 · CPU-only · 16 GB RAM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STACK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FastAPI · PostgreSQL · Qdrant · Ollama · Prometheus · Grafana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22"/>
        </w:rPr>
        <w:t>A production-style portfolio project covering corpus engineering, hybrid retrieval, reranking, local generation, evaluation, and observability.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IRIS is a local-first Retrieval-Augmented Generation system for SOC analysts. It combines reproducible corpus ingestion, multilingual dense and lexical retrieval, weighted RRF, optional cross-encoder reranking, local Ollama generation, citations, a no-answer guard, and end-to-end observability.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strongest retrieval configuration achieved 100% Content Hit@5 and 0.972 Content MRR on 50 answerable questions. A separate batch of 20 measured HTTP requests completed without failures; 19 produced answers, one was rejected by the guard, every accepted answer included sources, and no fallback was used.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108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documents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994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chunks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100%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Content Hit@5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0.972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Content MRR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2563EB"/>
                <w:sz w:val="20"/>
              </w:rPr>
              <w:t xml:space="preserve">Interpretation: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95% batch answer rate is not accuracy. Retrieval quality is measured on the golden dataset; the batch validates the full HTTP and monitoring path.</w:t>
            </w:r>
          </w:p>
        </w:tc>
      </w:tr>
    </w:tbl>
    <w:p>
      <w:pPr>
        <w:spacing w:after="20"/>
      </w:pPr>
    </w:p>
    <w:p>
      <w:pPr>
        <w:pStyle w:val="Heading1"/>
      </w:pPr>
      <w:r>
        <w:t>Problem and requirements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SOC knowledge is split between ATT&amp;CK techniques, Sigma rules, OWASP guidance, risk-management material, and local runbooks. Exact search misses paraphrases; pure vector search can miss technique IDs and command-line tokens; generated text without traceable evidence is unsafe for operational use.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Local-first operation without a paid cloud LLM.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CPU-friendly execution on a 16 GB laptop without a discrete GPU.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Russian questions retrieving English security sources.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Citations and source metadata by default.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A guarded no-answer path and measurable latency.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Reproducible source revisions and raw evaluation artifacts.</w:t>
      </w:r>
    </w:p>
    <w:p>
      <w:r>
        <w:br w:type="page"/>
      </w:r>
    </w:p>
    <w:p>
      <w:pPr>
        <w:pStyle w:val="Heading1"/>
      </w:pPr>
      <w:r>
        <w:t>System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369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Figure 1. Offline corpus preparation and online cited-answer path.</w:t>
      </w:r>
    </w:p>
    <w:p>
      <w:pPr>
        <w:pStyle w:val="Heading2"/>
      </w:pPr>
      <w:r>
        <w:t>Offline path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corpus builder resolves upstream commits, downloads MITRE ATT&amp;CK STIX, Sigma YAML, and OWASP Markdown, normalizes them, and writes a manifest with URLs, revisions, and SHA-256 hashes. Ingestion writes document and chunk records to PostgreSQL; indexing embeds chunks and upserts vectors plus metadata payloads into Qdrant.</w:t>
      </w:r>
    </w:p>
    <w:p>
      <w:pPr>
        <w:pStyle w:val="Heading2"/>
      </w:pPr>
      <w:r>
        <w:t>Online path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FastAPI validates the request and executes dense or hybrid retrieval. Weighted RRF merges vector and lexical ranks. The optional cross-encoder reranks a larger pool, after which the generator returns a cited answer or the guard rejects weak context. Prometheus records every stage and Grafana visualizes the result.</w:t>
      </w:r>
    </w:p>
    <w:p>
      <w:r>
        <w:br w:type="page"/>
      </w:r>
    </w:p>
    <w:p>
      <w:pPr>
        <w:pStyle w:val="Heading1"/>
      </w:pPr>
      <w:r>
        <w:t>Corpus and provenance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950"/>
        <w:gridCol w:w="1050"/>
        <w:gridCol w:w="4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Source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Docs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Chunks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Provenance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MITRE ATT&amp;CK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30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277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Official STIX → Markdown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Sigma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64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461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Official YAML → Markdown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OWASP Top 10:2025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214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Official Markdown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NIST-aligned summary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Manual summary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SOC runbooks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3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32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Synthetic Russian docs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72B4D"/>
                <w:sz w:val="17"/>
              </w:rPr>
              <w:t>Total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108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994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9.2 chunks / doc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official-source manifest covers 100 fetched documents: 30 MITRE, 60 Sigma, and 10 OWASP. Four legacy Sigma documents, three runbooks, and one manual NIST-aligned summary bring the database to 108. The audit reports no empty documents and no documents without chunks, but flags incomplete provenance fields for eight manual or legacy items.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7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C28A18"/>
                <w:sz w:val="20"/>
              </w:rPr>
              <w:t xml:space="preserve">Provenance rule: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The manual ransomware summary is not presented as an official NIST publication, and the runbooks are clearly marked synthetic.</w:t>
            </w:r>
          </w:p>
        </w:tc>
      </w:tr>
    </w:tbl>
    <w:p>
      <w:pPr>
        <w:spacing w:after="20"/>
      </w:pPr>
    </w:p>
    <w:p>
      <w:pPr>
        <w:pStyle w:val="Heading1"/>
      </w:pPr>
      <w:r>
        <w:t>Retrieval design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Dense: multilingual cosine search in Qdrant for semantic similarity.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Lexical: PostgreSQL full-text search for exact indicators and security tokens.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Hybrid: weighted RRF merges ranks without comparing incompatible score scales.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Reranker: a multilingual cross-encoder reorders the final candidate pool on demand.</w:t>
      </w:r>
    </w:p>
    <w:p>
      <w:r>
        <w:br w:type="page"/>
      </w:r>
    </w:p>
    <w:p>
      <w:pPr>
        <w:pStyle w:val="Heading1"/>
      </w:pPr>
      <w:r>
        <w:t>Retrieval evaluation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golden dataset contains 55 questions: 50 answerable and 5 unanswerable. The controlled retrieval comparison uses the same 50 answerable questions, corpus, embeddings, and top_k=5 for every configuration. Document Hit@5 measures document presence; Content Hit@5 requires evidence-bearing chunks; Keyword Recall checks expected concepts; MRR measures ranking position.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1500"/>
        <w:gridCol w:w="1400"/>
        <w:gridCol w:w="1500"/>
        <w:gridCol w:w="14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Config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Doc H@5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Content H@5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KW Recall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Content MRR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Latency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Dense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98%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94%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86.0%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0.844</w:t>
            </w:r>
          </w:p>
        </w:tc>
        <w:tc>
          <w:tcPr>
            <w:tcW w:type="dxa" w:w="1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68 ms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Hybrid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98%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90.3%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0.913</w:t>
            </w:r>
          </w:p>
        </w:tc>
        <w:tc>
          <w:tcPr>
            <w:tcW w:type="dxa" w:w="1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79 ms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Hybrid + reranker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93.7%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0.972</w:t>
            </w:r>
          </w:p>
        </w:tc>
        <w:tc>
          <w:tcPr>
            <w:tcW w:type="dxa" w:w="1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1,287 ms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2414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-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1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Figure 2. Content-level retrieval quality improves across the pipeline.</w:t>
      </w:r>
    </w:p>
    <w:p>
      <w:r>
        <w:br w:type="page"/>
      </w:r>
    </w:p>
    <w:p>
      <w:pPr>
        <w:pStyle w:val="Heading1"/>
      </w:pPr>
      <w:r>
        <w:t>Trade-off 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0680" cy="27483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-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4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Figure 3. Average retrieval latency; logarithmic scale.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Hybrid retrieval is the practical default: it raises content quality for about 10 ms additional average latency. Reranking reaches perfect Content Hit@5 and the best Content MRR, but adds about 1.2 seconds on CPU. Primary/Document MRR decreases slightly from 0.990 to 0.967, while Content MRR rises from 0.913 to 0.972. Reporting both metrics prevents a misleading one-number conclusion.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20"/>
              </w:rPr>
              <w:t xml:space="preserve">Recommendation: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Use hybrid without reranking for fast interactive work; enable reranking when evidence quality matters more than one additional second.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Operational batch experiment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A separate runner sent one warm-up and 20 measured sequential requests through the real /api/v1/query endpoint with hybrid retrieval, reranking, top_k=5, and local qwen3:4b generation. Sequential execution avoids distorting latency or exhausting memory on the CPU-only laptop.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800"/>
        <w:gridCol w:w="3560"/>
      </w:tblGrid>
      <w:tr>
        <w:trPr>
          <w:tblHeader w:val="true"/>
        </w:trPr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Metric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Result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Successful HTTP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20 / 20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Answers / no-answer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19 / 1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Answers with sources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Fallbacks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Average latency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63.45 s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p50 / p95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70.68 s / 83.44 s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Avg reranker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1.18 s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Wall time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24 min 55 s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029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2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Figure 4. Grafana after one warm-up and 20 measured requests.</w:t>
      </w:r>
    </w:p>
    <w:p>
      <w:r>
        <w:br w:type="page"/>
      </w:r>
    </w:p>
    <w:p>
      <w:pPr>
        <w:pStyle w:val="Heading1"/>
      </w:pPr>
      <w:r>
        <w:t>Latency diagnosis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640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Figure 5. Generation dominates the end-to-end path; retrieved chunk count remains stable at five.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Grafana shows 21 total queries because the warm-up also updates counters. Retrieval and reranking remain small relative to local generation. The reported 63-second average is therefore a CPU-only Ollama baseline, not a production service-level target.</w:t>
      </w:r>
    </w:p>
    <w:p>
      <w:pPr>
        <w:pStyle w:val="Heading1"/>
      </w:pPr>
      <w:r>
        <w:t>Failure analysis: q004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only no-answer asked which email attachments are especially dangerous. The correct phishing-runbook chunk ranked first after reranking with a score of 5.70, but the guard rejected it because the fused retrieval score was 0.358, below the configured 0.50 threshold.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B42318"/>
                <w:sz w:val="20"/>
              </w:rPr>
              <w:t xml:space="preserve">Finding: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The answer existed; the guard used a pre-reranking score that did not represent final evidence quality. Calibrate on post-reranking evidence or use an answerability classifier.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Implementation highlights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RAG implemented as an explicit pipeline rather than one framework call.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Heterogeneous source parsing and reproducible upstream manifests.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PostgreSQL for metadata, FTS, and history; Qdrant for vector search.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Multiple controlled retrieval metrics instead of anecdotal examples.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Citations and no-answer behavior treated as API contract requirements.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Prometheus instrumentation of the actual HTTP path and Grafana diagnostics.</w:t>
      </w:r>
    </w:p>
    <w:p>
      <w:pPr>
        <w:pStyle w:val="Heading1"/>
      </w:pPr>
      <w:r>
        <w:t>Limitations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dataset is small and domain-specific; generation quality was not independently scored.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Five unanswerable questions are insufficient for robust guard calibration.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CPU-only generation dominates latency.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Eight manual or legacy documents need complete provenance metadata.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NIST-aligned summary and three runbooks are manually authored.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Redis is provisioned but not used in the online query path.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The system is a decision-support prototype, not an autonomous SOC responder.</w:t>
      </w:r>
    </w:p>
    <w:p>
      <w:r>
        <w:br w:type="page"/>
      </w:r>
    </w:p>
    <w:p>
      <w:pPr>
        <w:pStyle w:val="Heading1"/>
      </w:pPr>
      <w:r>
        <w:t>Roadmap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Calibrate the guard on final reranker evidence and a larger negative set.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Replace the manual NIST-aligned summary with a revision-pinned official publication.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Complete provenance metadata and enforce it in ingestion tests.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Add answer-faithfulness and citation-correctness evaluation.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Connect Redis with an explicit invalidation policy.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Add CI, API containerization, authentication, and rate limiting.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Benchmark GPU and hosted inference against the CPU baseline.</w:t>
      </w:r>
    </w:p>
    <w:p>
      <w:pPr>
        <w:pStyle w:val="Heading1"/>
      </w:pPr>
      <w:r>
        <w:t>Reproducibility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Component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Configuration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Embeddings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paraphrase-multilingual-MiniLM-L12-v2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Fusion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Weighted RRF, k=60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Reranker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mmarco-mMiniLMv2-L12-H384-v1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Generator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Ollama · qwen3:4b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Stores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PostgreSQL 16 · Qdrant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Metrics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Prometheus · Grafana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Hardware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Windows 10 · CPU-only · 16 GB RAM</w:t>
            </w:r>
          </w:p>
        </w:tc>
      </w:tr>
    </w:tbl>
    <w:p>
      <w:pPr>
        <w:spacing w:after="40"/>
      </w:pPr>
    </w:p>
    <w:p>
      <w:pPr>
        <w:spacing w:before="80" w:after="160"/>
        <w:shd w:fill="F7F8FA"/>
      </w:pPr>
      <w:r>
        <w:rPr>
          <w:rFonts w:ascii="DejaVu Sans Mono" w:hAnsi="DejaVu Sans Mono" w:eastAsia="DejaVu Sans Mono" w:cs="DejaVu Sans Mono"/>
          <w:b w:val="0"/>
          <w:i w:val="0"/>
          <w:color w:val="102A43"/>
          <w:sz w:val="17"/>
        </w:rPr>
        <w:t>python scripts\run_query_batch.py --limit 20 --strategy hybrid --reranker</w:t>
      </w:r>
    </w:p>
    <w:p>
      <w:pPr>
        <w:pStyle w:val="Heading1"/>
      </w:pPr>
      <w:r>
        <w:t>Conclusion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IRIS demonstrates an end-to-end RAG engineering workflow: corpus provenance, retrieval design, measurable experiments, cited generation, operational monitoring, and failure analysis. The strongest result is not a single score, but a system whose assumptions and trade-offs can be inspected and reproduced.</w:t>
      </w:r>
    </w:p>
    <w:p>
      <w:pPr>
        <w:pStyle w:val="Heading2"/>
      </w:pPr>
      <w:r>
        <w:t>References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MITRE ATT&amp;CK - https://attack.mitre.org/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SigmaHQ rules - https://github.com/SigmaHQ/sigma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OWASP Top 10 - https://owasp.org/Top10/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NIST ransomware resources - https://csrc.nist.gov/projects/ransomware-protection-and-response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Raw IRIS artifacts - data/eval/ and data/manifests/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DejaVu Sans" w:hAnsi="DejaVu Sans" w:eastAsia="DejaVu Sans" w:cs="DejaVu Sans"/>
        <w:b w:val="0"/>
        <w:i w:val="0"/>
        <w:color w:val="5C6B7A"/>
        <w:sz w:val="17"/>
      </w:rPr>
      <w:t xml:space="preserve">Engineering case study  |  </w:t>
    </w:r>
    <w:r>
      <w:rPr>
        <w:rFonts w:ascii="DejaVu Sans" w:hAnsi="DejaVu Sans" w:eastAsia="DejaVu Sans" w:cs="DejaVu Sans"/>
        <w:b w:val="0"/>
        <w:i w:val="0"/>
        <w:color w:val="5C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D7DEE8"/>
      </w:pBdr>
    </w:pPr>
    <w:r>
      <w:rPr>
        <w:rFonts w:ascii="DejaVu Sans" w:hAnsi="DejaVu Sans" w:eastAsia="DejaVu Sans" w:cs="DejaVu Sans"/>
        <w:b/>
        <w:i w:val="0"/>
        <w:color w:val="5C6B7A"/>
        <w:sz w:val="17"/>
      </w:rPr>
      <w:t>IRIS SECURITY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eastAsia="DejaVu Sans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DejaVu Sans" w:hAnsi="DejaVu Sans" w:eastAsia="DejaVu Sans"/>
      <w:b w:val="0"/>
      <w:i/>
      <w:iCs/>
      <w:color w:val="5C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DejaVu Sans" w:hAnsi="DejaVu Sans" w:eastAsia="DejaVu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DejaVu Sans" w:hAnsi="DejaVu Sans" w:eastAsia="DejaVu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Security RAG Engineering Case Study</dc:title>
  <dc:subject>RAG architecture, evaluation, and observability</dc:subject>
  <dc:creator>Max Nikiforov</dc:creator>
  <cp:keywords>RAG, SOC, FastAPI, Qdrant, PostgreSQL, Ollama, Prometheus, Grafana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