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spacing w:after="360"/>
        <w:jc w:val="center"/>
      </w:pPr>
      <w:r>
        <w:rPr>
          <w:rFonts w:ascii="DejaVu Sans" w:hAnsi="DejaVu Sans" w:eastAsia="DejaVu Sans" w:cs="DejaVu Sans"/>
          <w:b/>
          <w:i w:val="0"/>
          <w:color w:val="C28A18"/>
          <w:sz w:val="20"/>
        </w:rPr>
        <w:t>ИНЖЕНЕРНЫЙ CASE STUDY</w:t>
      </w:r>
    </w:p>
    <w:p>
      <w:pPr>
        <w:pStyle w:val="Title"/>
        <w:jc w:val="center"/>
      </w:pPr>
      <w:r>
        <w:rPr>
          <w:rFonts w:ascii="DejaVu Sans" w:hAnsi="DejaVu Sans" w:eastAsia="DejaVu Sans" w:cs="DejaVu Sans"/>
          <w:b/>
          <w:i w:val="0"/>
          <w:color w:val="102A43"/>
          <w:sz w:val="60"/>
        </w:rPr>
        <w:t>IRIS Security RAG</w:t>
      </w:r>
    </w:p>
    <w:p>
      <w:pPr>
        <w:pStyle w:val="Subtitle"/>
        <w:spacing w:after="560"/>
        <w:jc w:val="center"/>
      </w:pPr>
      <w:r>
        <w:rPr>
          <w:rFonts w:ascii="DejaVu Sans" w:hAnsi="DejaVu Sans" w:eastAsia="DejaVu Sans" w:cs="DejaVu Sans"/>
          <w:b w:val="0"/>
          <w:i w:val="0"/>
          <w:color w:val="0F766E"/>
          <w:sz w:val="28"/>
        </w:rPr>
        <w:t>Локальные ответы с цитатами для SOC-аналитиков</w:t>
      </w:r>
    </w:p>
    <w:p>
      <w:pPr>
        <w:pBdr>
          <w:bottom w:val="single" w:sz="14" w:space="4" w:color="2563EB"/>
        </w:pBdr>
        <w:spacing w:after="5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АВТОР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Max Nikiforov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ДАТА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6 августа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СРЕДА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Windows 10 · CPU-only · 16 ГБ RAM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7"/>
              </w:rPr>
              <w:t>STACK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FastAPI · PostgreSQL · Qdrant · Ollama · Prometheus · Grafana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22"/>
        </w:rPr>
        <w:t>Production-style portfolio project: corpus engineering, hybrid retrieval, reranking, локальная генерация, evaluation и observability.</w:t>
      </w:r>
    </w:p>
    <w:p>
      <w:r>
        <w:br w:type="page"/>
      </w:r>
    </w:p>
    <w:p>
      <w:pPr>
        <w:pStyle w:val="Heading1"/>
      </w:pPr>
      <w:r>
        <w:t>Краткое резюме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IRIS - локальная Retrieval-Augmented Generation система для SOC-аналитиков. Она объединяет воспроизводимый ingestion корпуса, мультиязычный dense и lexical retrieval, weighted RRF, опциональный cross-encoder reranker, локальную генерацию Ollama, цитаты, no-answer guard и end-to-end observability.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Лучшая retrieval-конфигурация достигла 100% Content Hit@5 и 0,972 Content MRR на 50 answerable-вопросах. Отдельный batch из 20 измеряемых HTTP-запросов завершился без ошибок: 19 запросов получили ответы, один был отклонён guard, каждый принятый ответ содержал источники, fallback не использовался.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108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документов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994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чанка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100%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Content Hit@5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36"/>
              </w:rPr>
              <w:t>0.972</w:t>
              <w:br/>
            </w:r>
            <w:r>
              <w:rPr>
                <w:rFonts w:ascii="DejaVu Sans" w:hAnsi="DejaVu Sans" w:eastAsia="DejaVu Sans" w:cs="DejaVu Sans"/>
                <w:b/>
                <w:i w:val="0"/>
                <w:color w:val="5C6B7A"/>
                <w:sz w:val="16"/>
              </w:rPr>
              <w:t>Content MRR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2563EB"/>
                <w:sz w:val="20"/>
              </w:rPr>
              <w:t xml:space="preserve">Интерпретация: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95% answer rate в batch не является accuracy. Retrieval quality оценивается на golden dataset, а batch проверяет полный HTTP и monitoring path.</w:t>
            </w:r>
          </w:p>
        </w:tc>
      </w:tr>
    </w:tbl>
    <w:p>
      <w:pPr>
        <w:spacing w:after="20"/>
      </w:pPr>
    </w:p>
    <w:p>
      <w:pPr>
        <w:pStyle w:val="Heading1"/>
      </w:pPr>
      <w:r>
        <w:t>Задача и требования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Знания SOC распределены между ATT&amp;CK techniques, Sigma rules, OWASP guidance, risk-management материалами и локальными runbooks. Exact search теряет перефразирование, pure vector search - technique IDs и command-line tokens, а generated text без проверяемых источников небезопасен для операционной работы.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Local-first работа без платного cloud LLM.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CPU-friendly запуск на ноутбуке с 16 ГБ RAM без дискретной GPU.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Русские вопросы должны находить английские security sources.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Цитаты и metadata источников по умолчанию.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Контролируемый no-answer path и измеримая latency.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Воспроизводимые source revisions и raw evaluation artifacts.</w:t>
      </w:r>
    </w:p>
    <w:p>
      <w:r>
        <w:br w:type="page"/>
      </w:r>
    </w:p>
    <w:p>
      <w:pPr>
        <w:pStyle w:val="Heading1"/>
      </w:pPr>
      <w:r>
        <w:t>Архитектура системы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369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Рисунок 1. Offline подготовка корпуса и online path ответа с цитатами.</w:t>
      </w:r>
    </w:p>
    <w:p>
      <w:pPr>
        <w:pStyle w:val="Heading2"/>
      </w:pPr>
      <w:r>
        <w:t>Offline path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Corpus builder определяет upstream commits, загружает MITRE ATT&amp;CK STIX, Sigma YAML и OWASP Markdown, нормализует их и записывает manifest с URL, revisions и SHA-256. Ingestion сохраняет документы и чанки в PostgreSQL; indexing создаёт embeddings и загружает vectors с metadata payload в Qdrant.</w:t>
      </w:r>
    </w:p>
    <w:p>
      <w:pPr>
        <w:pStyle w:val="Heading2"/>
      </w:pPr>
      <w:r>
        <w:t>Online path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FastAPI валидирует запрос и запускает dense или hybrid retrieval. Weighted RRF объединяет vector и lexical rankings. Опциональный cross-encoder переранжирует расширенный pool, после чего generator формирует ответ с цитатами или guard отклоняет слабый контекст. Prometheus измеряет каждый этап, Grafana визуализирует результат.</w:t>
      </w:r>
    </w:p>
    <w:p>
      <w:r>
        <w:br w:type="page"/>
      </w:r>
    </w:p>
    <w:p>
      <w:pPr>
        <w:pStyle w:val="Heading1"/>
      </w:pPr>
      <w:r>
        <w:t>Корпус и provenance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950"/>
        <w:gridCol w:w="1050"/>
        <w:gridCol w:w="4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Источник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Док.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Чанки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Происхождение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MITRE ATT&amp;CK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30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277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Официальный STIX → Markdown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Sigma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64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461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Официальный YAML → Markdown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OWASP Top 10:2025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214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Официальный Markdown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NIST-oriented summary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Самостоятельный summary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SOC runbooks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3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32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Синтетические RU docs</w:t>
            </w:r>
          </w:p>
        </w:tc>
      </w:tr>
      <w:tr>
        <w:tc>
          <w:tcPr>
            <w:tcW w:type="dxa" w:w="31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72B4D"/>
                <w:sz w:val="17"/>
              </w:rPr>
              <w:t>Всего</w:t>
            </w:r>
          </w:p>
        </w:tc>
        <w:tc>
          <w:tcPr>
            <w:tcW w:type="dxa" w:w="9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108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994</w:t>
            </w:r>
          </w:p>
        </w:tc>
        <w:tc>
          <w:tcPr>
            <w:tcW w:type="dxa" w:w="42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9,2 чанка / документ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Manifest официальных источников покрывает 100 документов: 30 MITRE, 60 Sigma и 10 OWASP. Четыре legacy Sigma-документа, три runbook и один самостоятельный NIST-oriented summary доводят базу до 108. Audit не обнаружил пустых документов или документов без чанков, но отметил неполные provenance-поля у восьми manual/legacy элементов.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7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C28A18"/>
                <w:sz w:val="20"/>
              </w:rPr>
              <w:t xml:space="preserve">Правило provenance: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Самостоятельный ransomware summary не выдаётся за официальный NIST publication, а runbooks явно обозначены как synthetic.</w:t>
            </w:r>
          </w:p>
        </w:tc>
      </w:tr>
    </w:tbl>
    <w:p>
      <w:pPr>
        <w:spacing w:after="20"/>
      </w:pPr>
    </w:p>
    <w:p>
      <w:pPr>
        <w:pStyle w:val="Heading1"/>
      </w:pPr>
      <w:r>
        <w:t>Retrieval design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Dense: мультиязычный cosine search в Qdrant для semantic similarity.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Lexical: PostgreSQL full-text search для exact indicators и security tokens.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Hybrid: weighted RRF объединяет rankings без сравнения несовместимых score scales.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Reranker: multilingual cross-encoder по запросу переставляет final candidate pool.</w:t>
      </w:r>
    </w:p>
    <w:p>
      <w:r>
        <w:br w:type="page"/>
      </w:r>
    </w:p>
    <w:p>
      <w:pPr>
        <w:pStyle w:val="Heading1"/>
      </w:pPr>
      <w:r>
        <w:t>Evaluation retrieval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Golden dataset содержит 55 вопросов: 50 answerable и 5 unanswerable. Controlled comparison использует одинаковые 50 answerable-вопросов, corpus, embeddings и top_k=5 для каждой конфигурации. Document Hit@5 измеряет наличие документа, Content Hit@5 требует чанк с доказательством, Keyword Recall проверяет ожидаемые понятия, MRR - позицию результата.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1500"/>
        <w:gridCol w:w="1400"/>
        <w:gridCol w:w="1500"/>
        <w:gridCol w:w="14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Config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Doc H@5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Content H@5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KW Recall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Content MRR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Latency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Dense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98%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94%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86.0%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0.844</w:t>
            </w:r>
          </w:p>
        </w:tc>
        <w:tc>
          <w:tcPr>
            <w:tcW w:type="dxa" w:w="1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68 ms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Hybrid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98%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90.3%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0.913</w:t>
            </w:r>
          </w:p>
        </w:tc>
        <w:tc>
          <w:tcPr>
            <w:tcW w:type="dxa" w:w="1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79 ms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Hybrid + reranker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93.7%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0.972</w:t>
            </w:r>
          </w:p>
        </w:tc>
        <w:tc>
          <w:tcPr>
            <w:tcW w:type="dxa" w:w="1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1,287 ms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2414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-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1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Рисунок 2. Content-level качество растёт по мере усложнения pipeline.</w:t>
      </w:r>
    </w:p>
    <w:p>
      <w:r>
        <w:br w:type="page"/>
      </w:r>
    </w:p>
    <w:p>
      <w:pPr>
        <w:pStyle w:val="Heading1"/>
      </w:pPr>
      <w:r>
        <w:t>Анализ компромиссов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0680" cy="27483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-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4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Рисунок 3. Средняя retrieval latency; логарифмическая шкала.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Hybrid retrieval - практичный default: content quality растёт примерно за 10 мс дополнительной средней latency. Reranker достигает 100% Content Hit@5 и лучшего Content MRR, но добавляет около 1,2 секунды на CPU. Primary/Document MRR немного снижается с 0,990 до 0,967, а Content MRR растёт с 0,913 до 0,972. Обе метрики не дают свести вывод к одной удобной цифре.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7F5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0F766E"/>
                <w:sz w:val="20"/>
              </w:rPr>
              <w:t xml:space="preserve">Рекомендация: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Использовать hybrid без reranker для быстрого interactive режима; включать reranker, когда качество evidence важнее дополнительной секунды.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Operational batch experiment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Отдельный runner отправил один warm-up и 20 последовательных измеряемых запросов через реальный endpoint /api/v1/query с hybrid retrieval, reranking, top_k=5 и локальным qwen3:4b. Последовательный режим не искажает latency и не перегружает память CPU-only ноутбука.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800"/>
        <w:gridCol w:w="3560"/>
      </w:tblGrid>
      <w:tr>
        <w:trPr>
          <w:tblHeader w:val="true"/>
        </w:trPr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Метрика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Результат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Successful HTTP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20 / 20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Answers / no-answer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19 / 1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Answers with sources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100%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Fallbacks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0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Average latency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63.45 s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p50 / p95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70.68 s / 83.44 s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Avg reranker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1.18 s</w:t>
            </w:r>
          </w:p>
        </w:tc>
      </w:tr>
      <w:tr>
        <w:tc>
          <w:tcPr>
            <w:tcW w:type="dxa" w:w="58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Wall time</w:t>
            </w:r>
          </w:p>
        </w:tc>
        <w:tc>
          <w:tcPr>
            <w:tcW w:type="dxa" w:w="35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24 min 55 s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029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2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Рисунок 4. Grafana после одного warm-up и 20 измеряемых запросов.</w:t>
      </w:r>
    </w:p>
    <w:p>
      <w:r>
        <w:br w:type="page"/>
      </w:r>
    </w:p>
    <w:p>
      <w:pPr>
        <w:pStyle w:val="Heading1"/>
      </w:pPr>
      <w:r>
        <w:t>Диагностика latency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640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DejaVu Sans" w:hAnsi="DejaVu Sans" w:eastAsia="DejaVu Sans" w:cs="DejaVu Sans"/>
          <w:b w:val="0"/>
          <w:i/>
          <w:color w:val="5C6B7A"/>
          <w:sz w:val="16"/>
        </w:rPr>
        <w:t>Рисунок 5. Generation доминирует в end-to-end path; число retrieved chunks стабильно равно пяти.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Grafana показывает 21 запрос, потому что warm-up также обновляет counters. Retrieval и reranking остаются небольшими относительно local generation. Поэтому средние 63 секунды - CPU-only baseline Ollama, а не production service-level target.</w:t>
      </w:r>
    </w:p>
    <w:p>
      <w:pPr>
        <w:pStyle w:val="Heading1"/>
      </w:pPr>
      <w:r>
        <w:t>Разбор ошибки: q004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Единственный no-answer спрашивал, какие вложения в письме особенно опасны. Правильный чанк phishing-runbook занял первое место после reranking со score 5,70, но guard отклонил его: fused retrieval score 0,358 был ниже threshold 0,50.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before="40" w:after="40"/>
            </w:pPr>
            <w:r>
              <w:rPr>
                <w:rFonts w:ascii="DejaVu Sans" w:hAnsi="DejaVu Sans" w:eastAsia="DejaVu Sans" w:cs="DejaVu Sans"/>
                <w:b/>
                <w:i w:val="0"/>
                <w:color w:val="B42318"/>
                <w:sz w:val="20"/>
              </w:rPr>
              <w:t xml:space="preserve">Вывод: 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20"/>
              </w:rPr>
              <w:t>Ответ был в корпусе; guard использовал score, который не отражал final evidence после reranking. Нужна калибровка по post-reranking evidence или answerability classifier.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Что показывает реализация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RAG реализован как явный pipeline, а не один framework call.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Heterogeneous parsing и воспроизводимые upstream manifests.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PostgreSQL для metadata, FTS и history; Qdrant для vector search.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Controlled retrieval metrics вместо нескольких удобных примеров.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Citations и no-answer как требования API contract.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Prometheus instrumentation реального HTTP path и Grafana diagnostics.</w:t>
      </w:r>
    </w:p>
    <w:p>
      <w:pPr>
        <w:pStyle w:val="Heading1"/>
      </w:pPr>
      <w:r>
        <w:t>Ограничения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Dataset небольшой и domain-specific; generation quality отдельно не оценивалось.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Пяти unanswerable-вопросов недостаточно для надёжной calibration guard.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CPU-only generation доминирует в latency.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Восемь manual/legacy документов требуют полной provenance metadata.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NIST-oriented summary и три runbook написаны вручную.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Redis поднят, но не используется в online query path.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Система - decision-support prototype, а не автономный SOC responder.</w:t>
      </w:r>
    </w:p>
    <w:p>
      <w:r>
        <w:br w:type="page"/>
      </w:r>
    </w:p>
    <w:p>
      <w:pPr>
        <w:pStyle w:val="Heading1"/>
      </w:pPr>
      <w:r>
        <w:t>Следующие шаги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Калибровать guard по final reranker evidence и большему negative set.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Заменить manual NIST summary на официальный revision-pinned publication.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Заполнить provenance metadata и проверять её в ingestion tests.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Добавить answer-faithfulness и citation-correctness evaluation.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Подключить Redis с явной invalidation policy.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Добавить CI, API containerization, authentication и rate limiting.</w:t>
      </w:r>
    </w:p>
    <w:p>
      <w:pPr>
        <w:pStyle w:val="ListNumber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Сравнить GPU и hosted inference с CPU baseline.</w:t>
      </w:r>
    </w:p>
    <w:p>
      <w:pPr>
        <w:pStyle w:val="Heading1"/>
      </w:pPr>
      <w:r>
        <w:t>Воспроизводимость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Компонент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i w:val="0"/>
                <w:color w:val="102A43"/>
                <w:sz w:val="17"/>
              </w:rPr>
              <w:t>Конфигурация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Embeddings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paraphrase-multilingual-MiniLM-L12-v2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Fusion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Weighted RRF, k=60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Reranker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mmarco-mMiniLMv2-L12-H384-v1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Generator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Ollama · qwen3:4b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Stores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PostgreSQL 16 · Qdrant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Metrics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Prometheus · Grafana</w:t>
            </w:r>
          </w:p>
        </w:tc>
      </w:tr>
      <w:tr>
        <w:tc>
          <w:tcPr>
            <w:tcW w:type="dxa" w:w="2900"/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Hardware</w:t>
            </w:r>
          </w:p>
        </w:tc>
        <w:tc>
          <w:tcPr>
            <w:tcW w:type="dxa" w:w="6460"/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 w:val="0"/>
                <w:i w:val="0"/>
                <w:color w:val="172B4D"/>
                <w:sz w:val="17"/>
              </w:rPr>
              <w:t>Windows 10 · CPU-only · 16 GB RAM</w:t>
            </w:r>
          </w:p>
        </w:tc>
      </w:tr>
    </w:tbl>
    <w:p>
      <w:pPr>
        <w:spacing w:after="40"/>
      </w:pPr>
    </w:p>
    <w:p>
      <w:pPr>
        <w:spacing w:before="80" w:after="160"/>
        <w:shd w:fill="F7F8FA"/>
      </w:pPr>
      <w:r>
        <w:rPr>
          <w:rFonts w:ascii="DejaVu Sans Mono" w:hAnsi="DejaVu Sans Mono" w:eastAsia="DejaVu Sans Mono" w:cs="DejaVu Sans Mono"/>
          <w:b w:val="0"/>
          <w:i w:val="0"/>
          <w:color w:val="102A43"/>
          <w:sz w:val="17"/>
        </w:rPr>
        <w:t>python scripts\run_query_batch.py --limit 20 --strategy hybrid --reranker</w:t>
      </w:r>
    </w:p>
    <w:p>
      <w:pPr>
        <w:pStyle w:val="Heading1"/>
      </w:pPr>
      <w:r>
        <w:t>Заключение</w:t>
      </w:r>
    </w:p>
    <w:p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IRIS демонстрирует end-to-end RAG engineering workflow: provenance корпуса, retrieval design, измеримые эксперименты, cited generation, operational monitoring и failure analysis. Главный результат - не одна цифра, а система, предположения и компромиссы которой можно проверить и воспроизвести.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MITRE ATT&amp;CK - https://attack.mitre.org/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SigmaHQ rules - https://github.com/SigmaHQ/sigma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OWASP Top 10 - https://owasp.org/Top10/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NIST ransomware resources - https://csrc.nist.gov/projects/ransomware-protection-and-response</w:t>
      </w:r>
    </w:p>
    <w:p>
      <w:pPr>
        <w:pStyle w:val="ListBullet"/>
      </w:pPr>
      <w:r>
        <w:rPr>
          <w:rFonts w:ascii="DejaVu Sans" w:hAnsi="DejaVu Sans" w:eastAsia="DejaVu Sans" w:cs="DejaVu Sans"/>
          <w:b w:val="0"/>
          <w:i w:val="0"/>
          <w:color w:val="172B4D"/>
          <w:sz w:val="21"/>
        </w:rPr>
        <w:t>Raw IRIS artifacts - data/eval/ and data/manifests/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DejaVu Sans" w:hAnsi="DejaVu Sans" w:eastAsia="DejaVu Sans" w:cs="DejaVu Sans"/>
        <w:b w:val="0"/>
        <w:i w:val="0"/>
        <w:color w:val="5C6B7A"/>
        <w:sz w:val="17"/>
      </w:rPr>
      <w:t xml:space="preserve">Инженерный case study  |  </w:t>
    </w:r>
    <w:r>
      <w:rPr>
        <w:rFonts w:ascii="DejaVu Sans" w:hAnsi="DejaVu Sans" w:eastAsia="DejaVu Sans" w:cs="DejaVu Sans"/>
        <w:b w:val="0"/>
        <w:i w:val="0"/>
        <w:color w:val="5C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D7DEE8"/>
      </w:pBdr>
    </w:pPr>
    <w:r>
      <w:rPr>
        <w:rFonts w:ascii="DejaVu Sans" w:hAnsi="DejaVu Sans" w:eastAsia="DejaVu Sans" w:cs="DejaVu Sans"/>
        <w:b/>
        <w:i w:val="0"/>
        <w:color w:val="5C6B7A"/>
        <w:sz w:val="17"/>
      </w:rPr>
      <w:t>IRIS SECURITY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eastAsia="DejaVu Sans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DejaVu Sans" w:hAnsi="DejaVu Sans" w:eastAsia="DejaVu Sans"/>
      <w:b w:val="0"/>
      <w:i/>
      <w:iCs/>
      <w:color w:val="5C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DejaVu Sans" w:hAnsi="DejaVu Sans" w:eastAsia="DejaVu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DejaVu Sans" w:hAnsi="DejaVu Sans" w:eastAsia="DejaVu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Security RAG Engineering Case Study</dc:title>
  <dc:subject>RAG architecture, evaluation, and observability</dc:subject>
  <dc:creator>Max Nikiforov</dc:creator>
  <cp:keywords>RAG, SOC, FastAPI, Qdrant, PostgreSQL, Ollama, Prometheus, Grafana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