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46C14" w14:textId="4A236694" w:rsidR="0031600C" w:rsidRDefault="0031600C" w:rsidP="0031600C">
      <w:pPr>
        <w:rPr>
          <w:rFonts w:ascii="Times New Roman" w:hAnsi="Times New Roman" w:cs="Times New Roman"/>
          <w:b/>
          <w:bCs/>
          <w:sz w:val="36"/>
          <w:szCs w:val="36"/>
        </w:rPr>
      </w:pPr>
      <w:r w:rsidRPr="0031600C">
        <w:rPr>
          <w:rFonts w:ascii="Times New Roman" w:hAnsi="Times New Roman" w:cs="Times New Roman"/>
          <w:b/>
          <w:bCs/>
          <w:sz w:val="36"/>
          <w:szCs w:val="36"/>
        </w:rPr>
        <w:t>Healthcare System Readiness Assessment Report</w:t>
      </w:r>
    </w:p>
    <w:p w14:paraId="490DDA66" w14:textId="57208DE2" w:rsidR="0031600C" w:rsidRPr="0031600C" w:rsidRDefault="0031600C" w:rsidP="0031600C">
      <w:pPr>
        <w:spacing w:after="0" w:line="240" w:lineRule="auto"/>
        <w:rPr>
          <w:rFonts w:ascii="Times New Roman" w:hAnsi="Times New Roman" w:cs="Times New Roman"/>
          <w:b/>
          <w:bCs/>
          <w:sz w:val="24"/>
          <w:szCs w:val="24"/>
        </w:rPr>
      </w:pPr>
      <w:r w:rsidRPr="0031600C">
        <w:rPr>
          <w:rFonts w:ascii="Times New Roman" w:hAnsi="Times New Roman" w:cs="Times New Roman"/>
          <w:b/>
          <w:bCs/>
          <w:sz w:val="24"/>
          <w:szCs w:val="24"/>
        </w:rPr>
        <w:t>COMS5027A - Health Analytics</w:t>
      </w:r>
      <w:r w:rsidRPr="0031600C">
        <w:rPr>
          <w:rFonts w:ascii="Times New Roman" w:hAnsi="Times New Roman" w:cs="Times New Roman"/>
          <w:b/>
          <w:bCs/>
          <w:sz w:val="24"/>
          <w:szCs w:val="24"/>
        </w:rPr>
        <w:t xml:space="preserve"> – Lab 4</w:t>
      </w:r>
    </w:p>
    <w:p w14:paraId="2939B80D" w14:textId="272B7400" w:rsidR="0031600C" w:rsidRPr="0031600C" w:rsidRDefault="0031600C" w:rsidP="0031600C">
      <w:pPr>
        <w:spacing w:after="0" w:line="240" w:lineRule="auto"/>
        <w:rPr>
          <w:rFonts w:ascii="Times New Roman" w:hAnsi="Times New Roman" w:cs="Times New Roman"/>
          <w:sz w:val="20"/>
          <w:szCs w:val="20"/>
        </w:rPr>
      </w:pPr>
      <w:r w:rsidRPr="0031600C">
        <w:rPr>
          <w:rFonts w:ascii="Times New Roman" w:hAnsi="Times New Roman" w:cs="Times New Roman"/>
          <w:b/>
          <w:bCs/>
          <w:sz w:val="20"/>
          <w:szCs w:val="20"/>
        </w:rPr>
        <w:t xml:space="preserve">Name: </w:t>
      </w:r>
      <w:r w:rsidRPr="0031600C">
        <w:rPr>
          <w:rFonts w:ascii="Times New Roman" w:hAnsi="Times New Roman" w:cs="Times New Roman"/>
          <w:sz w:val="20"/>
          <w:szCs w:val="20"/>
        </w:rPr>
        <w:t>Masixole Boya</w:t>
      </w:r>
    </w:p>
    <w:p w14:paraId="515D5701" w14:textId="7D67F5B6" w:rsidR="0031600C" w:rsidRPr="0031600C" w:rsidRDefault="0031600C" w:rsidP="0031600C">
      <w:pPr>
        <w:spacing w:after="0" w:line="240" w:lineRule="auto"/>
        <w:rPr>
          <w:rFonts w:ascii="Times New Roman" w:hAnsi="Times New Roman" w:cs="Times New Roman"/>
          <w:sz w:val="20"/>
          <w:szCs w:val="20"/>
        </w:rPr>
      </w:pPr>
      <w:r w:rsidRPr="0031600C">
        <w:rPr>
          <w:rFonts w:ascii="Times New Roman" w:hAnsi="Times New Roman" w:cs="Times New Roman"/>
          <w:b/>
          <w:bCs/>
          <w:sz w:val="20"/>
          <w:szCs w:val="20"/>
        </w:rPr>
        <w:t xml:space="preserve">Student number: </w:t>
      </w:r>
      <w:r w:rsidRPr="0031600C">
        <w:rPr>
          <w:rFonts w:ascii="Times New Roman" w:hAnsi="Times New Roman" w:cs="Times New Roman"/>
          <w:sz w:val="20"/>
          <w:szCs w:val="20"/>
        </w:rPr>
        <w:t>1869204</w:t>
      </w:r>
    </w:p>
    <w:p w14:paraId="47F86AA5" w14:textId="77777777" w:rsidR="0031600C" w:rsidRDefault="0031600C" w:rsidP="0031600C">
      <w:pPr>
        <w:rPr>
          <w:rFonts w:ascii="Times New Roman" w:hAnsi="Times New Roman" w:cs="Times New Roman"/>
          <w:b/>
          <w:bCs/>
          <w:sz w:val="24"/>
          <w:szCs w:val="24"/>
        </w:rPr>
      </w:pPr>
    </w:p>
    <w:p w14:paraId="6A60A004" w14:textId="77777777" w:rsidR="0031600C" w:rsidRPr="0093150C" w:rsidRDefault="0031600C" w:rsidP="0031600C">
      <w:pPr>
        <w:rPr>
          <w:rFonts w:ascii="Times New Roman" w:hAnsi="Times New Roman" w:cs="Times New Roman"/>
          <w:b/>
          <w:bCs/>
          <w:sz w:val="32"/>
          <w:szCs w:val="32"/>
        </w:rPr>
      </w:pPr>
      <w:r w:rsidRPr="0031600C">
        <w:rPr>
          <w:rFonts w:ascii="Times New Roman" w:hAnsi="Times New Roman" w:cs="Times New Roman"/>
          <w:b/>
          <w:bCs/>
          <w:sz w:val="32"/>
          <w:szCs w:val="32"/>
        </w:rPr>
        <w:t>Introduction</w:t>
      </w:r>
    </w:p>
    <w:p w14:paraId="350C3B97" w14:textId="0A91CF38" w:rsidR="0031600C" w:rsidRDefault="0031600C" w:rsidP="0031600C">
      <w:pPr>
        <w:rPr>
          <w:rFonts w:ascii="Times New Roman" w:hAnsi="Times New Roman" w:cs="Times New Roman"/>
          <w:sz w:val="24"/>
          <w:szCs w:val="24"/>
        </w:rPr>
      </w:pPr>
      <w:r w:rsidRPr="0031600C">
        <w:rPr>
          <w:rFonts w:ascii="Times New Roman" w:hAnsi="Times New Roman" w:cs="Times New Roman"/>
          <w:sz w:val="24"/>
          <w:szCs w:val="24"/>
        </w:rPr>
        <w:t>Healthcare system readiness is a crucial factor in effectively managing and</w:t>
      </w:r>
      <w:r>
        <w:rPr>
          <w:rFonts w:ascii="Times New Roman" w:hAnsi="Times New Roman" w:cs="Times New Roman"/>
          <w:sz w:val="24"/>
          <w:szCs w:val="24"/>
        </w:rPr>
        <w:t xml:space="preserve"> reducing</w:t>
      </w:r>
      <w:r w:rsidRPr="0031600C">
        <w:rPr>
          <w:rFonts w:ascii="Times New Roman" w:hAnsi="Times New Roman" w:cs="Times New Roman"/>
          <w:sz w:val="24"/>
          <w:szCs w:val="24"/>
        </w:rPr>
        <w:t xml:space="preserve"> the impact of pandemics and healthcare crises. To assess the readiness of healthcare systems across different regions, an in-depth analysis was conducted, </w:t>
      </w:r>
      <w:r>
        <w:rPr>
          <w:rFonts w:ascii="Times New Roman" w:hAnsi="Times New Roman" w:cs="Times New Roman"/>
          <w:sz w:val="24"/>
          <w:szCs w:val="24"/>
        </w:rPr>
        <w:t>with the use of a</w:t>
      </w:r>
      <w:r w:rsidRPr="0031600C">
        <w:rPr>
          <w:rFonts w:ascii="Times New Roman" w:hAnsi="Times New Roman" w:cs="Times New Roman"/>
          <w:sz w:val="24"/>
          <w:szCs w:val="24"/>
        </w:rPr>
        <w:t xml:space="preserve"> dataset </w:t>
      </w:r>
      <w:r>
        <w:rPr>
          <w:rFonts w:ascii="Times New Roman" w:hAnsi="Times New Roman" w:cs="Times New Roman"/>
          <w:sz w:val="24"/>
          <w:szCs w:val="24"/>
        </w:rPr>
        <w:t xml:space="preserve">that </w:t>
      </w:r>
      <w:proofErr w:type="gramStart"/>
      <w:r>
        <w:rPr>
          <w:rFonts w:ascii="Times New Roman" w:hAnsi="Times New Roman" w:cs="Times New Roman"/>
          <w:sz w:val="24"/>
          <w:szCs w:val="24"/>
        </w:rPr>
        <w:t>takes into account</w:t>
      </w:r>
      <w:proofErr w:type="gramEnd"/>
      <w:r>
        <w:rPr>
          <w:rFonts w:ascii="Times New Roman" w:hAnsi="Times New Roman" w:cs="Times New Roman"/>
          <w:sz w:val="24"/>
          <w:szCs w:val="24"/>
        </w:rPr>
        <w:t xml:space="preserve"> a number of important</w:t>
      </w:r>
      <w:r w:rsidRPr="0031600C">
        <w:rPr>
          <w:rFonts w:ascii="Times New Roman" w:hAnsi="Times New Roman" w:cs="Times New Roman"/>
          <w:sz w:val="24"/>
          <w:szCs w:val="24"/>
        </w:rPr>
        <w:t xml:space="preserve"> aspects of hospital bed resources.</w:t>
      </w:r>
    </w:p>
    <w:p w14:paraId="3300FCDB" w14:textId="2370540A" w:rsidR="0031600C" w:rsidRDefault="0031600C" w:rsidP="0031600C">
      <w:pPr>
        <w:rPr>
          <w:rFonts w:ascii="Times New Roman" w:hAnsi="Times New Roman" w:cs="Times New Roman"/>
          <w:sz w:val="24"/>
          <w:szCs w:val="24"/>
        </w:rPr>
      </w:pPr>
      <w:r w:rsidRPr="0031600C">
        <w:rPr>
          <w:rFonts w:ascii="Times New Roman" w:hAnsi="Times New Roman" w:cs="Times New Roman"/>
          <w:sz w:val="24"/>
          <w:szCs w:val="24"/>
        </w:rPr>
        <w:t>This report presents the findings of a comprehensive analysis</w:t>
      </w:r>
      <w:r w:rsidR="00FF5232">
        <w:rPr>
          <w:rFonts w:ascii="Times New Roman" w:hAnsi="Times New Roman" w:cs="Times New Roman"/>
          <w:sz w:val="24"/>
          <w:szCs w:val="24"/>
        </w:rPr>
        <w:t>, to a certain extent,</w:t>
      </w:r>
      <w:r w:rsidRPr="0031600C">
        <w:rPr>
          <w:rFonts w:ascii="Times New Roman" w:hAnsi="Times New Roman" w:cs="Times New Roman"/>
          <w:sz w:val="24"/>
          <w:szCs w:val="24"/>
        </w:rPr>
        <w:t xml:space="preserve"> of healthcare system readiness in various regions</w:t>
      </w:r>
      <w:r w:rsidR="00FF5232">
        <w:rPr>
          <w:rFonts w:ascii="Times New Roman" w:hAnsi="Times New Roman" w:cs="Times New Roman"/>
          <w:sz w:val="24"/>
          <w:szCs w:val="24"/>
        </w:rPr>
        <w:t xml:space="preserve"> of the United States of America. In particular,</w:t>
      </w:r>
      <w:r w:rsidRPr="0031600C">
        <w:rPr>
          <w:rFonts w:ascii="Times New Roman" w:hAnsi="Times New Roman" w:cs="Times New Roman"/>
          <w:sz w:val="24"/>
          <w:szCs w:val="24"/>
        </w:rPr>
        <w:t xml:space="preserve"> </w:t>
      </w:r>
      <w:r w:rsidR="00FF5232">
        <w:rPr>
          <w:rFonts w:ascii="Times New Roman" w:hAnsi="Times New Roman" w:cs="Times New Roman"/>
          <w:sz w:val="24"/>
          <w:szCs w:val="24"/>
        </w:rPr>
        <w:t>the</w:t>
      </w:r>
      <w:r w:rsidRPr="0031600C">
        <w:rPr>
          <w:rFonts w:ascii="Times New Roman" w:hAnsi="Times New Roman" w:cs="Times New Roman"/>
          <w:sz w:val="24"/>
          <w:szCs w:val="24"/>
        </w:rPr>
        <w:t xml:space="preserve"> focus</w:t>
      </w:r>
      <w:r w:rsidR="00FF5232">
        <w:rPr>
          <w:rFonts w:ascii="Times New Roman" w:hAnsi="Times New Roman" w:cs="Times New Roman"/>
          <w:sz w:val="24"/>
          <w:szCs w:val="24"/>
        </w:rPr>
        <w:t xml:space="preserve"> is</w:t>
      </w:r>
      <w:r w:rsidRPr="0031600C">
        <w:rPr>
          <w:rFonts w:ascii="Times New Roman" w:hAnsi="Times New Roman" w:cs="Times New Roman"/>
          <w:sz w:val="24"/>
          <w:szCs w:val="24"/>
        </w:rPr>
        <w:t xml:space="preserve"> on their preparedness to handle healthcare crises such as the COVID-19 pandemic. The analysis </w:t>
      </w:r>
      <w:r w:rsidR="00FF5232">
        <w:rPr>
          <w:rFonts w:ascii="Times New Roman" w:hAnsi="Times New Roman" w:cs="Times New Roman"/>
          <w:sz w:val="24"/>
          <w:szCs w:val="24"/>
        </w:rPr>
        <w:t>makes use of</w:t>
      </w:r>
      <w:r w:rsidRPr="0031600C">
        <w:rPr>
          <w:rFonts w:ascii="Times New Roman" w:hAnsi="Times New Roman" w:cs="Times New Roman"/>
          <w:sz w:val="24"/>
          <w:szCs w:val="24"/>
        </w:rPr>
        <w:t xml:space="preserve"> extensive data on hospital bed resources and employs </w:t>
      </w:r>
      <w:r w:rsidR="00FF5232">
        <w:rPr>
          <w:rFonts w:ascii="Times New Roman" w:hAnsi="Times New Roman" w:cs="Times New Roman"/>
          <w:sz w:val="24"/>
          <w:szCs w:val="24"/>
        </w:rPr>
        <w:t xml:space="preserve">a </w:t>
      </w:r>
      <w:r w:rsidRPr="0031600C">
        <w:rPr>
          <w:rFonts w:ascii="Times New Roman" w:hAnsi="Times New Roman" w:cs="Times New Roman"/>
          <w:sz w:val="24"/>
          <w:szCs w:val="24"/>
        </w:rPr>
        <w:t>clustering technique</w:t>
      </w:r>
      <w:r w:rsidR="00FF5232">
        <w:rPr>
          <w:rFonts w:ascii="Times New Roman" w:hAnsi="Times New Roman" w:cs="Times New Roman"/>
          <w:sz w:val="24"/>
          <w:szCs w:val="24"/>
        </w:rPr>
        <w:t xml:space="preserve"> known as the k-means algorithm, </w:t>
      </w:r>
      <w:r w:rsidRPr="0031600C">
        <w:rPr>
          <w:rFonts w:ascii="Times New Roman" w:hAnsi="Times New Roman" w:cs="Times New Roman"/>
          <w:sz w:val="24"/>
          <w:szCs w:val="24"/>
        </w:rPr>
        <w:t>to identify distinct patterns among regions. This report provides critical insights into the current state of healthcare readiness</w:t>
      </w:r>
      <w:r>
        <w:rPr>
          <w:rFonts w:ascii="Times New Roman" w:hAnsi="Times New Roman" w:cs="Times New Roman"/>
          <w:sz w:val="24"/>
          <w:szCs w:val="24"/>
        </w:rPr>
        <w:t>. The usefulness of the project is briefly inferred</w:t>
      </w:r>
      <w:r w:rsidR="004A7820">
        <w:rPr>
          <w:rFonts w:ascii="Times New Roman" w:hAnsi="Times New Roman" w:cs="Times New Roman"/>
          <w:sz w:val="24"/>
          <w:szCs w:val="24"/>
        </w:rPr>
        <w:t xml:space="preserve"> later in</w:t>
      </w:r>
      <w:r>
        <w:rPr>
          <w:rFonts w:ascii="Times New Roman" w:hAnsi="Times New Roman" w:cs="Times New Roman"/>
          <w:sz w:val="24"/>
          <w:szCs w:val="24"/>
        </w:rPr>
        <w:t xml:space="preserve"> the report.</w:t>
      </w:r>
    </w:p>
    <w:p w14:paraId="6C9C5469" w14:textId="77777777" w:rsidR="00BD2D51" w:rsidRPr="0031600C" w:rsidRDefault="00BD2D51" w:rsidP="0031600C">
      <w:pPr>
        <w:rPr>
          <w:rFonts w:ascii="Times New Roman" w:hAnsi="Times New Roman" w:cs="Times New Roman"/>
          <w:sz w:val="24"/>
          <w:szCs w:val="24"/>
        </w:rPr>
      </w:pPr>
    </w:p>
    <w:p w14:paraId="22C8F0AD" w14:textId="77777777" w:rsidR="00BD2D51" w:rsidRPr="0093150C" w:rsidRDefault="0031600C" w:rsidP="0031600C">
      <w:pPr>
        <w:rPr>
          <w:rFonts w:ascii="Times New Roman" w:hAnsi="Times New Roman" w:cs="Times New Roman"/>
          <w:b/>
          <w:bCs/>
          <w:sz w:val="32"/>
          <w:szCs w:val="32"/>
        </w:rPr>
      </w:pPr>
      <w:r w:rsidRPr="0031600C">
        <w:rPr>
          <w:rFonts w:ascii="Times New Roman" w:hAnsi="Times New Roman" w:cs="Times New Roman"/>
          <w:b/>
          <w:bCs/>
          <w:sz w:val="32"/>
          <w:szCs w:val="32"/>
        </w:rPr>
        <w:t>Methodology</w:t>
      </w:r>
    </w:p>
    <w:p w14:paraId="3156D29E" w14:textId="20817DEF" w:rsidR="0031600C" w:rsidRDefault="0031600C" w:rsidP="0031600C">
      <w:pPr>
        <w:rPr>
          <w:rFonts w:ascii="Times New Roman" w:hAnsi="Times New Roman" w:cs="Times New Roman"/>
          <w:sz w:val="24"/>
          <w:szCs w:val="24"/>
        </w:rPr>
      </w:pPr>
      <w:r w:rsidRPr="0031600C">
        <w:rPr>
          <w:rFonts w:ascii="Times New Roman" w:hAnsi="Times New Roman" w:cs="Times New Roman"/>
          <w:sz w:val="24"/>
          <w:szCs w:val="24"/>
        </w:rPr>
        <w:t>The analysis employed a rigorous workflow that included data preprocessing, exploratory data analysis (EDA), clustering, and interpretation of results. Principal component analysis (PCA) was used to identify key factors contributing to healthcare system readiness.</w:t>
      </w:r>
      <w:r w:rsidR="00FF5232">
        <w:rPr>
          <w:rFonts w:ascii="Times New Roman" w:hAnsi="Times New Roman" w:cs="Times New Roman"/>
          <w:sz w:val="24"/>
          <w:szCs w:val="24"/>
        </w:rPr>
        <w:t xml:space="preserve"> The</w:t>
      </w:r>
      <w:r w:rsidRPr="0031600C">
        <w:rPr>
          <w:rFonts w:ascii="Times New Roman" w:hAnsi="Times New Roman" w:cs="Times New Roman"/>
          <w:sz w:val="24"/>
          <w:szCs w:val="24"/>
        </w:rPr>
        <w:t xml:space="preserve"> </w:t>
      </w:r>
      <w:r w:rsidR="00FF5232">
        <w:rPr>
          <w:rFonts w:ascii="Times New Roman" w:hAnsi="Times New Roman" w:cs="Times New Roman"/>
          <w:sz w:val="24"/>
          <w:szCs w:val="24"/>
        </w:rPr>
        <w:t>k</w:t>
      </w:r>
      <w:r w:rsidRPr="0031600C">
        <w:rPr>
          <w:rFonts w:ascii="Times New Roman" w:hAnsi="Times New Roman" w:cs="Times New Roman"/>
          <w:sz w:val="24"/>
          <w:szCs w:val="24"/>
        </w:rPr>
        <w:t xml:space="preserve">-Means clustering </w:t>
      </w:r>
      <w:r w:rsidR="00FF5232">
        <w:rPr>
          <w:rFonts w:ascii="Times New Roman" w:hAnsi="Times New Roman" w:cs="Times New Roman"/>
          <w:sz w:val="24"/>
          <w:szCs w:val="24"/>
        </w:rPr>
        <w:t xml:space="preserve">algorithm </w:t>
      </w:r>
      <w:r w:rsidRPr="0031600C">
        <w:rPr>
          <w:rFonts w:ascii="Times New Roman" w:hAnsi="Times New Roman" w:cs="Times New Roman"/>
          <w:sz w:val="24"/>
          <w:szCs w:val="24"/>
        </w:rPr>
        <w:t>was employed to categorize</w:t>
      </w:r>
      <w:r w:rsidR="00FF5232">
        <w:rPr>
          <w:rFonts w:ascii="Times New Roman" w:hAnsi="Times New Roman" w:cs="Times New Roman"/>
          <w:sz w:val="24"/>
          <w:szCs w:val="24"/>
        </w:rPr>
        <w:t xml:space="preserve"> groups</w:t>
      </w:r>
      <w:r w:rsidRPr="0031600C">
        <w:rPr>
          <w:rFonts w:ascii="Times New Roman" w:hAnsi="Times New Roman" w:cs="Times New Roman"/>
          <w:sz w:val="24"/>
          <w:szCs w:val="24"/>
        </w:rPr>
        <w:t xml:space="preserve"> based on their readiness levels.</w:t>
      </w:r>
    </w:p>
    <w:p w14:paraId="0DF11505" w14:textId="77777777" w:rsidR="0093150C" w:rsidRPr="0031600C" w:rsidRDefault="0093150C" w:rsidP="0031600C">
      <w:pPr>
        <w:rPr>
          <w:rFonts w:ascii="Times New Roman" w:hAnsi="Times New Roman" w:cs="Times New Roman"/>
          <w:sz w:val="24"/>
          <w:szCs w:val="24"/>
        </w:rPr>
      </w:pPr>
    </w:p>
    <w:p w14:paraId="1400F4F9" w14:textId="77777777" w:rsidR="0093150C" w:rsidRPr="0093150C" w:rsidRDefault="0093150C" w:rsidP="00BD2D51">
      <w:pPr>
        <w:rPr>
          <w:rFonts w:ascii="Times New Roman" w:hAnsi="Times New Roman" w:cs="Times New Roman"/>
          <w:b/>
          <w:bCs/>
          <w:sz w:val="32"/>
          <w:szCs w:val="32"/>
        </w:rPr>
      </w:pPr>
      <w:r w:rsidRPr="0093150C">
        <w:rPr>
          <w:rFonts w:ascii="Times New Roman" w:hAnsi="Times New Roman" w:cs="Times New Roman"/>
          <w:b/>
          <w:bCs/>
          <w:sz w:val="32"/>
          <w:szCs w:val="32"/>
        </w:rPr>
        <w:t>Findings and Inferences</w:t>
      </w:r>
    </w:p>
    <w:p w14:paraId="2E943543" w14:textId="539B9DC8" w:rsidR="00BD2D51" w:rsidRPr="00BD2D51" w:rsidRDefault="00BD2D51" w:rsidP="00BD2D51">
      <w:pPr>
        <w:rPr>
          <w:rFonts w:ascii="Times New Roman" w:hAnsi="Times New Roman" w:cs="Times New Roman"/>
          <w:sz w:val="24"/>
          <w:szCs w:val="24"/>
          <w:u w:val="single"/>
        </w:rPr>
      </w:pPr>
      <w:r w:rsidRPr="00BD2D51">
        <w:rPr>
          <w:rFonts w:ascii="Times New Roman" w:hAnsi="Times New Roman" w:cs="Times New Roman"/>
          <w:sz w:val="24"/>
          <w:szCs w:val="24"/>
          <w:u w:val="single"/>
        </w:rPr>
        <w:t>First Principal Component:</w:t>
      </w:r>
    </w:p>
    <w:p w14:paraId="06CC051D" w14:textId="73F876B0" w:rsidR="00BD2D51" w:rsidRPr="00BD2D51" w:rsidRDefault="00BD2D51" w:rsidP="00BD2D51">
      <w:pPr>
        <w:rPr>
          <w:rFonts w:ascii="Times New Roman" w:hAnsi="Times New Roman" w:cs="Times New Roman"/>
          <w:sz w:val="24"/>
          <w:szCs w:val="24"/>
        </w:rPr>
      </w:pPr>
      <w:r>
        <w:rPr>
          <w:rFonts w:ascii="Times New Roman" w:hAnsi="Times New Roman" w:cs="Times New Roman"/>
          <w:sz w:val="24"/>
          <w:szCs w:val="24"/>
        </w:rPr>
        <w:t>The first Principal Component (</w:t>
      </w:r>
      <w:r w:rsidRPr="00BD2D51">
        <w:rPr>
          <w:rFonts w:ascii="Times New Roman" w:hAnsi="Times New Roman" w:cs="Times New Roman"/>
          <w:sz w:val="24"/>
          <w:szCs w:val="24"/>
        </w:rPr>
        <w:t>PC1</w:t>
      </w:r>
      <w:r>
        <w:rPr>
          <w:rFonts w:ascii="Times New Roman" w:hAnsi="Times New Roman" w:cs="Times New Roman"/>
          <w:sz w:val="24"/>
          <w:szCs w:val="24"/>
        </w:rPr>
        <w:t>)</w:t>
      </w:r>
      <w:r w:rsidRPr="00BD2D51">
        <w:rPr>
          <w:rFonts w:ascii="Times New Roman" w:hAnsi="Times New Roman" w:cs="Times New Roman"/>
          <w:sz w:val="24"/>
          <w:szCs w:val="24"/>
        </w:rPr>
        <w:t xml:space="preserve"> has the most significant influence on the data's </w:t>
      </w:r>
      <w:r w:rsidR="0093150C" w:rsidRPr="00BD2D51">
        <w:rPr>
          <w:rFonts w:ascii="Times New Roman" w:hAnsi="Times New Roman" w:cs="Times New Roman"/>
          <w:sz w:val="24"/>
          <w:szCs w:val="24"/>
        </w:rPr>
        <w:t>variance,</w:t>
      </w:r>
      <w:r w:rsidRPr="00BD2D51">
        <w:rPr>
          <w:rFonts w:ascii="Times New Roman" w:hAnsi="Times New Roman" w:cs="Times New Roman"/>
          <w:sz w:val="24"/>
          <w:szCs w:val="24"/>
        </w:rPr>
        <w:t xml:space="preserve"> and it</w:t>
      </w:r>
      <w:r>
        <w:rPr>
          <w:rFonts w:ascii="Times New Roman" w:hAnsi="Times New Roman" w:cs="Times New Roman"/>
          <w:sz w:val="24"/>
          <w:szCs w:val="24"/>
        </w:rPr>
        <w:t xml:space="preserve"> reflects</w:t>
      </w:r>
      <w:r w:rsidRPr="00BD2D51">
        <w:rPr>
          <w:rFonts w:ascii="Times New Roman" w:hAnsi="Times New Roman" w:cs="Times New Roman"/>
          <w:sz w:val="24"/>
          <w:szCs w:val="24"/>
        </w:rPr>
        <w:t xml:space="preserve"> notable separation among </w:t>
      </w:r>
      <w:r>
        <w:rPr>
          <w:rFonts w:ascii="Times New Roman" w:hAnsi="Times New Roman" w:cs="Times New Roman"/>
          <w:sz w:val="24"/>
          <w:szCs w:val="24"/>
        </w:rPr>
        <w:t xml:space="preserve">the </w:t>
      </w:r>
      <w:r w:rsidRPr="00BD2D51">
        <w:rPr>
          <w:rFonts w:ascii="Times New Roman" w:hAnsi="Times New Roman" w:cs="Times New Roman"/>
          <w:sz w:val="24"/>
          <w:szCs w:val="24"/>
        </w:rPr>
        <w:t>clusters</w:t>
      </w:r>
      <w:r>
        <w:rPr>
          <w:rFonts w:ascii="Times New Roman" w:hAnsi="Times New Roman" w:cs="Times New Roman"/>
          <w:sz w:val="24"/>
          <w:szCs w:val="24"/>
        </w:rPr>
        <w:t>. This component</w:t>
      </w:r>
      <w:r w:rsidRPr="00BD2D51">
        <w:rPr>
          <w:rFonts w:ascii="Times New Roman" w:hAnsi="Times New Roman" w:cs="Times New Roman"/>
          <w:sz w:val="24"/>
          <w:szCs w:val="24"/>
        </w:rPr>
        <w:t xml:space="preserve"> likely represents a crucial factor related to healthcare system readiness. </w:t>
      </w:r>
      <w:r>
        <w:rPr>
          <w:rFonts w:ascii="Times New Roman" w:hAnsi="Times New Roman" w:cs="Times New Roman"/>
          <w:sz w:val="24"/>
          <w:szCs w:val="24"/>
        </w:rPr>
        <w:t>Also, it</w:t>
      </w:r>
      <w:r w:rsidRPr="00BD2D51">
        <w:rPr>
          <w:rFonts w:ascii="Times New Roman" w:hAnsi="Times New Roman" w:cs="Times New Roman"/>
          <w:sz w:val="24"/>
          <w:szCs w:val="24"/>
        </w:rPr>
        <w:t xml:space="preserve"> could be indicative of the overall capacity and preparedness of healthcare systems within different regions. Regions with higher values along PC1 may have well-equipped healthcare systems</w:t>
      </w:r>
      <w:r>
        <w:rPr>
          <w:rFonts w:ascii="Times New Roman" w:hAnsi="Times New Roman" w:cs="Times New Roman"/>
          <w:sz w:val="24"/>
          <w:szCs w:val="24"/>
        </w:rPr>
        <w:t xml:space="preserve"> - </w:t>
      </w:r>
      <w:r w:rsidRPr="00BD2D51">
        <w:rPr>
          <w:rFonts w:ascii="Times New Roman" w:hAnsi="Times New Roman" w:cs="Times New Roman"/>
          <w:sz w:val="24"/>
          <w:szCs w:val="24"/>
        </w:rPr>
        <w:t>sufficient hospital beds, and resources, making them better prepared to handle pandemics like COVID-19. Conversely, regions with lower PC1 values may have limited healthcare resources and may require additional support to enhance their readiness.</w:t>
      </w:r>
    </w:p>
    <w:p w14:paraId="5BECDEBC" w14:textId="3C77F0F8" w:rsidR="00BD2D51" w:rsidRPr="00BD2D51" w:rsidRDefault="00BD2D51" w:rsidP="00BD2D51">
      <w:pPr>
        <w:rPr>
          <w:rFonts w:ascii="Times New Roman" w:hAnsi="Times New Roman" w:cs="Times New Roman"/>
          <w:sz w:val="24"/>
          <w:szCs w:val="24"/>
          <w:u w:val="single"/>
        </w:rPr>
      </w:pPr>
      <w:r w:rsidRPr="00BD2D51">
        <w:rPr>
          <w:rFonts w:ascii="Times New Roman" w:hAnsi="Times New Roman" w:cs="Times New Roman"/>
          <w:sz w:val="24"/>
          <w:szCs w:val="24"/>
          <w:u w:val="single"/>
        </w:rPr>
        <w:t>Second Principal Component:</w:t>
      </w:r>
    </w:p>
    <w:p w14:paraId="2929AACA" w14:textId="0C479FAD" w:rsidR="00BD2D51" w:rsidRPr="00BD2D51" w:rsidRDefault="00BD2D51" w:rsidP="00BD2D51">
      <w:pPr>
        <w:rPr>
          <w:rFonts w:ascii="Times New Roman" w:hAnsi="Times New Roman" w:cs="Times New Roman"/>
          <w:sz w:val="24"/>
          <w:szCs w:val="24"/>
        </w:rPr>
      </w:pPr>
      <w:r w:rsidRPr="00BD2D51">
        <w:rPr>
          <w:rFonts w:ascii="Times New Roman" w:hAnsi="Times New Roman" w:cs="Times New Roman"/>
          <w:sz w:val="24"/>
          <w:szCs w:val="24"/>
        </w:rPr>
        <w:lastRenderedPageBreak/>
        <w:t xml:space="preserve">While </w:t>
      </w:r>
      <w:r>
        <w:rPr>
          <w:rFonts w:ascii="Times New Roman" w:hAnsi="Times New Roman" w:cs="Times New Roman"/>
          <w:sz w:val="24"/>
          <w:szCs w:val="24"/>
        </w:rPr>
        <w:t>the second principal component (</w:t>
      </w:r>
      <w:r w:rsidRPr="00BD2D51">
        <w:rPr>
          <w:rFonts w:ascii="Times New Roman" w:hAnsi="Times New Roman" w:cs="Times New Roman"/>
          <w:sz w:val="24"/>
          <w:szCs w:val="24"/>
        </w:rPr>
        <w:t>PC2</w:t>
      </w:r>
      <w:r>
        <w:rPr>
          <w:rFonts w:ascii="Times New Roman" w:hAnsi="Times New Roman" w:cs="Times New Roman"/>
          <w:sz w:val="24"/>
          <w:szCs w:val="24"/>
        </w:rPr>
        <w:t>)</w:t>
      </w:r>
      <w:r w:rsidRPr="00BD2D51">
        <w:rPr>
          <w:rFonts w:ascii="Times New Roman" w:hAnsi="Times New Roman" w:cs="Times New Roman"/>
          <w:sz w:val="24"/>
          <w:szCs w:val="24"/>
        </w:rPr>
        <w:t xml:space="preserve"> does not exhibit as much separation among </w:t>
      </w:r>
      <w:r w:rsidR="0093150C">
        <w:rPr>
          <w:rFonts w:ascii="Times New Roman" w:hAnsi="Times New Roman" w:cs="Times New Roman"/>
          <w:sz w:val="24"/>
          <w:szCs w:val="24"/>
        </w:rPr>
        <w:t xml:space="preserve">the </w:t>
      </w:r>
      <w:r w:rsidRPr="00BD2D51">
        <w:rPr>
          <w:rFonts w:ascii="Times New Roman" w:hAnsi="Times New Roman" w:cs="Times New Roman"/>
          <w:sz w:val="24"/>
          <w:szCs w:val="24"/>
        </w:rPr>
        <w:t xml:space="preserve">clusters, it still contributes to the overall data variance. PC2's influence may be associated with factors that contribute to healthcare system readiness but are not as </w:t>
      </w:r>
      <w:r w:rsidR="003E57E9">
        <w:rPr>
          <w:rFonts w:ascii="Times New Roman" w:hAnsi="Times New Roman" w:cs="Times New Roman"/>
          <w:sz w:val="24"/>
          <w:szCs w:val="24"/>
        </w:rPr>
        <w:t xml:space="preserve">important or critical </w:t>
      </w:r>
      <w:r w:rsidRPr="00BD2D51">
        <w:rPr>
          <w:rFonts w:ascii="Times New Roman" w:hAnsi="Times New Roman" w:cs="Times New Roman"/>
          <w:sz w:val="24"/>
          <w:szCs w:val="24"/>
        </w:rPr>
        <w:t>as those captured by PC1. This component could represent additional attributes, such as the availability of specialized healthcare facilities or specific healthcare policies and practices. Regions with higher PC2 values may have certain advantages or characteristics that contribute to their readiness, even if their overall capacity (as captured by PC1) is not significantly high.</w:t>
      </w:r>
    </w:p>
    <w:p w14:paraId="03404C82" w14:textId="7D78A8A5" w:rsidR="003E57E9" w:rsidRPr="003E57E9" w:rsidRDefault="003E57E9" w:rsidP="00BD2D51">
      <w:pPr>
        <w:rPr>
          <w:rFonts w:ascii="Times New Roman" w:hAnsi="Times New Roman" w:cs="Times New Roman"/>
          <w:sz w:val="24"/>
          <w:szCs w:val="24"/>
          <w:u w:val="single"/>
        </w:rPr>
      </w:pPr>
      <w:r w:rsidRPr="003E57E9">
        <w:rPr>
          <w:rFonts w:ascii="Times New Roman" w:hAnsi="Times New Roman" w:cs="Times New Roman"/>
          <w:sz w:val="24"/>
          <w:szCs w:val="24"/>
          <w:u w:val="single"/>
        </w:rPr>
        <w:t>Inference:</w:t>
      </w:r>
    </w:p>
    <w:p w14:paraId="2F1FEB39" w14:textId="77777777" w:rsidR="00992CB0" w:rsidRDefault="003E57E9" w:rsidP="00BD2D51">
      <w:pPr>
        <w:rPr>
          <w:rFonts w:ascii="Times New Roman" w:hAnsi="Times New Roman" w:cs="Times New Roman"/>
          <w:sz w:val="24"/>
          <w:szCs w:val="24"/>
        </w:rPr>
      </w:pPr>
      <w:r>
        <w:rPr>
          <w:rFonts w:ascii="Times New Roman" w:hAnsi="Times New Roman" w:cs="Times New Roman"/>
          <w:sz w:val="24"/>
          <w:szCs w:val="24"/>
        </w:rPr>
        <w:t>I infer that PC1 is the total number of beds that would be available at the hospital. Then PC2 is the population of elderly people living in that region. The clusters then are the regions or characteristic, thereof. The reason for this thinking is that the primary aspect that the dataset is con</w:t>
      </w:r>
      <w:r w:rsidR="002862A4">
        <w:rPr>
          <w:rFonts w:ascii="Times New Roman" w:hAnsi="Times New Roman" w:cs="Times New Roman"/>
          <w:sz w:val="24"/>
          <w:szCs w:val="24"/>
        </w:rPr>
        <w:t xml:space="preserve">cerned about is readiness in terms of bed capacity for the hospitals. As such </w:t>
      </w:r>
      <w:proofErr w:type="gramStart"/>
      <w:r w:rsidR="002862A4">
        <w:rPr>
          <w:rFonts w:ascii="Times New Roman" w:hAnsi="Times New Roman" w:cs="Times New Roman"/>
          <w:sz w:val="24"/>
          <w:szCs w:val="24"/>
        </w:rPr>
        <w:t>the majority of</w:t>
      </w:r>
      <w:proofErr w:type="gramEnd"/>
      <w:r w:rsidR="002862A4">
        <w:rPr>
          <w:rFonts w:ascii="Times New Roman" w:hAnsi="Times New Roman" w:cs="Times New Roman"/>
          <w:sz w:val="24"/>
          <w:szCs w:val="24"/>
        </w:rPr>
        <w:t xml:space="preserve"> the attributes in the dataset are about bed capacity. The data goes on to look at other characteristics of the regions that I consider to be secondary or even tertiary factors as they are neither under the control of the hospitals nor are the affecting the day to day running of the hospital. Such features are</w:t>
      </w:r>
      <w:r w:rsidR="00992CB0">
        <w:rPr>
          <w:rFonts w:ascii="Times New Roman" w:hAnsi="Times New Roman" w:cs="Times New Roman"/>
          <w:sz w:val="24"/>
          <w:szCs w:val="24"/>
        </w:rPr>
        <w:t xml:space="preserve"> the adult population of the region – this would be anyone above the age of 18 in South Africa, and the population above the age of 65 years. </w:t>
      </w:r>
    </w:p>
    <w:p w14:paraId="7F2CEDF2" w14:textId="61982B8A" w:rsidR="003E57E9" w:rsidRDefault="00992CB0" w:rsidP="00BD2D51">
      <w:pPr>
        <w:rPr>
          <w:rFonts w:ascii="Times New Roman" w:hAnsi="Times New Roman" w:cs="Times New Roman"/>
          <w:sz w:val="24"/>
          <w:szCs w:val="24"/>
        </w:rPr>
      </w:pPr>
      <w:r>
        <w:rPr>
          <w:rFonts w:ascii="Times New Roman" w:hAnsi="Times New Roman" w:cs="Times New Roman"/>
          <w:sz w:val="24"/>
          <w:szCs w:val="24"/>
        </w:rPr>
        <w:t xml:space="preserve">I consider such attributes to be secondary because the decisions of equipping hospitals with more resources, extending the building or adding more facilities would depend on the local health governing body such as the Department of Health, sometimes at the request of hospital management. Such bodies rarely make these decisions based on the dynamic statistics of the local population. Or better put, whenever they (the Governing bodies) appear in public to reason why they decided to equip a hospital with more facilities, they never mention being led by the community. In South Africa, for example, hospitals are more likely to be built, extended, or equipped as a tribute </w:t>
      </w:r>
      <w:r w:rsidR="004A7820">
        <w:rPr>
          <w:rFonts w:ascii="Times New Roman" w:hAnsi="Times New Roman" w:cs="Times New Roman"/>
          <w:sz w:val="24"/>
          <w:szCs w:val="24"/>
        </w:rPr>
        <w:t xml:space="preserve">to some black hero of the times of struggle (apartheid). I do acknowledge, however, that these community attributes may have a </w:t>
      </w:r>
      <w:proofErr w:type="gramStart"/>
      <w:r w:rsidR="004A7820">
        <w:rPr>
          <w:rFonts w:ascii="Times New Roman" w:hAnsi="Times New Roman" w:cs="Times New Roman"/>
          <w:sz w:val="24"/>
          <w:szCs w:val="24"/>
        </w:rPr>
        <w:t>long term</w:t>
      </w:r>
      <w:proofErr w:type="gramEnd"/>
      <w:r w:rsidR="004A7820">
        <w:rPr>
          <w:rFonts w:ascii="Times New Roman" w:hAnsi="Times New Roman" w:cs="Times New Roman"/>
          <w:sz w:val="24"/>
          <w:szCs w:val="24"/>
        </w:rPr>
        <w:t xml:space="preserve"> effect on the region’s capacity in that: if the majority of the population in a region is above 65 years of age, it is likely that hospital visits (per some arbitrary unit time) are much higher that a community with a youthful population (between the ages of 18 and 45). This is because elderly citizens are more likely to get sick as age catches up with them. This would then result in reduced potential capacity for the hospital in the region with older people.</w:t>
      </w:r>
    </w:p>
    <w:p w14:paraId="1E682998" w14:textId="011109F7" w:rsidR="004A7820" w:rsidRPr="00BD2D51" w:rsidRDefault="004A7820" w:rsidP="00BD2D51">
      <w:pPr>
        <w:rPr>
          <w:rFonts w:ascii="Times New Roman" w:hAnsi="Times New Roman" w:cs="Times New Roman"/>
          <w:sz w:val="24"/>
          <w:szCs w:val="24"/>
        </w:rPr>
      </w:pPr>
      <w:r>
        <w:rPr>
          <w:rFonts w:ascii="Times New Roman" w:hAnsi="Times New Roman" w:cs="Times New Roman"/>
          <w:sz w:val="24"/>
          <w:szCs w:val="24"/>
        </w:rPr>
        <w:t>Now if a new region (a datapoint not seen in the dataset) comes and fits cluster 2, I would c</w:t>
      </w:r>
      <w:r w:rsidR="00BF7AC4">
        <w:rPr>
          <w:rFonts w:ascii="Times New Roman" w:hAnsi="Times New Roman" w:cs="Times New Roman"/>
          <w:sz w:val="24"/>
          <w:szCs w:val="24"/>
        </w:rPr>
        <w:t>ategorize</w:t>
      </w:r>
      <w:r>
        <w:rPr>
          <w:rFonts w:ascii="Times New Roman" w:hAnsi="Times New Roman" w:cs="Times New Roman"/>
          <w:sz w:val="24"/>
          <w:szCs w:val="24"/>
        </w:rPr>
        <w:t xml:space="preserve"> it as having more bed capacity and therefore is more ready to face a pandemic. If it fits in cluster one, I </w:t>
      </w:r>
      <w:proofErr w:type="gramStart"/>
      <w:r>
        <w:rPr>
          <w:rFonts w:ascii="Times New Roman" w:hAnsi="Times New Roman" w:cs="Times New Roman"/>
          <w:sz w:val="24"/>
          <w:szCs w:val="24"/>
        </w:rPr>
        <w:t>would</w:t>
      </w:r>
      <w:proofErr w:type="gramEnd"/>
      <w:r>
        <w:rPr>
          <w:rFonts w:ascii="Times New Roman" w:hAnsi="Times New Roman" w:cs="Times New Roman"/>
          <w:sz w:val="24"/>
          <w:szCs w:val="24"/>
        </w:rPr>
        <w:t xml:space="preserve"> categorize it as having less bed capacity and therefore, less ready to face a pandemic.</w:t>
      </w:r>
    </w:p>
    <w:p w14:paraId="2B02808A" w14:textId="77777777" w:rsidR="00BD2D51" w:rsidRPr="00BD2D51" w:rsidRDefault="00BD2D51" w:rsidP="0031600C">
      <w:pPr>
        <w:rPr>
          <w:rFonts w:ascii="Times New Roman" w:hAnsi="Times New Roman" w:cs="Times New Roman"/>
          <w:sz w:val="24"/>
          <w:szCs w:val="24"/>
        </w:rPr>
      </w:pPr>
    </w:p>
    <w:p w14:paraId="13C96463" w14:textId="301CDBDE" w:rsidR="00BF7AC4" w:rsidRPr="00BF7AC4" w:rsidRDefault="0031600C" w:rsidP="0031600C">
      <w:pPr>
        <w:rPr>
          <w:rFonts w:ascii="Times New Roman" w:hAnsi="Times New Roman" w:cs="Times New Roman"/>
          <w:sz w:val="32"/>
          <w:szCs w:val="32"/>
        </w:rPr>
      </w:pPr>
      <w:r w:rsidRPr="0031600C">
        <w:rPr>
          <w:rFonts w:ascii="Times New Roman" w:hAnsi="Times New Roman" w:cs="Times New Roman"/>
          <w:b/>
          <w:bCs/>
          <w:sz w:val="32"/>
          <w:szCs w:val="32"/>
        </w:rPr>
        <w:t>So What?</w:t>
      </w:r>
      <w:r w:rsidRPr="0031600C">
        <w:rPr>
          <w:rFonts w:ascii="Times New Roman" w:hAnsi="Times New Roman" w:cs="Times New Roman"/>
          <w:sz w:val="32"/>
          <w:szCs w:val="32"/>
        </w:rPr>
        <w:t xml:space="preserve"> </w:t>
      </w:r>
    </w:p>
    <w:p w14:paraId="2918DE52" w14:textId="3BA0682D" w:rsidR="0031600C" w:rsidRPr="0031600C" w:rsidRDefault="0031600C" w:rsidP="0031600C">
      <w:pPr>
        <w:rPr>
          <w:rFonts w:ascii="Times New Roman" w:hAnsi="Times New Roman" w:cs="Times New Roman"/>
          <w:sz w:val="24"/>
          <w:szCs w:val="24"/>
        </w:rPr>
      </w:pPr>
      <w:r w:rsidRPr="0031600C">
        <w:rPr>
          <w:rFonts w:ascii="Times New Roman" w:hAnsi="Times New Roman" w:cs="Times New Roman"/>
          <w:sz w:val="24"/>
          <w:szCs w:val="24"/>
        </w:rPr>
        <w:t xml:space="preserve">The findings from this analysis have significant implications for healthcare policymakers and authorities. By identifying clusters of regions with varying levels of healthcare readiness, this </w:t>
      </w:r>
      <w:r w:rsidRPr="0031600C">
        <w:rPr>
          <w:rFonts w:ascii="Times New Roman" w:hAnsi="Times New Roman" w:cs="Times New Roman"/>
          <w:sz w:val="24"/>
          <w:szCs w:val="24"/>
        </w:rPr>
        <w:lastRenderedPageBreak/>
        <w:t xml:space="preserve">project enables targeted interventions and resource allocation. </w:t>
      </w:r>
      <w:r w:rsidR="00BF7AC4">
        <w:rPr>
          <w:rFonts w:ascii="Times New Roman" w:hAnsi="Times New Roman" w:cs="Times New Roman"/>
          <w:sz w:val="24"/>
          <w:szCs w:val="24"/>
        </w:rPr>
        <w:t>In the end</w:t>
      </w:r>
      <w:r w:rsidRPr="0031600C">
        <w:rPr>
          <w:rFonts w:ascii="Times New Roman" w:hAnsi="Times New Roman" w:cs="Times New Roman"/>
          <w:sz w:val="24"/>
          <w:szCs w:val="24"/>
        </w:rPr>
        <w:t>, it empowers decision-makers to enhance healthcare system preparedness, ensuring better responses to future healthcare challenges and crises.</w:t>
      </w:r>
    </w:p>
    <w:p w14:paraId="3A15B1E0" w14:textId="77777777" w:rsidR="0031600C" w:rsidRPr="0031600C" w:rsidRDefault="0031600C" w:rsidP="0031600C">
      <w:pPr>
        <w:rPr>
          <w:rFonts w:ascii="Times New Roman" w:hAnsi="Times New Roman" w:cs="Times New Roman"/>
          <w:vanish/>
          <w:sz w:val="24"/>
          <w:szCs w:val="24"/>
        </w:rPr>
      </w:pPr>
      <w:r w:rsidRPr="0031600C">
        <w:rPr>
          <w:rFonts w:ascii="Times New Roman" w:hAnsi="Times New Roman" w:cs="Times New Roman"/>
          <w:vanish/>
          <w:sz w:val="24"/>
          <w:szCs w:val="24"/>
        </w:rPr>
        <w:t>Top of Form</w:t>
      </w:r>
    </w:p>
    <w:p w14:paraId="3A58FA90" w14:textId="77777777" w:rsidR="0070610A" w:rsidRPr="00C2687E" w:rsidRDefault="0070610A">
      <w:pPr>
        <w:rPr>
          <w:rFonts w:ascii="Times New Roman" w:hAnsi="Times New Roman" w:cs="Times New Roman"/>
          <w:sz w:val="24"/>
          <w:szCs w:val="24"/>
        </w:rPr>
      </w:pPr>
    </w:p>
    <w:sectPr w:rsidR="0070610A" w:rsidRPr="00C26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72F9E"/>
    <w:multiLevelType w:val="multilevel"/>
    <w:tmpl w:val="13D42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5432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7E"/>
    <w:rsid w:val="002862A4"/>
    <w:rsid w:val="0031600C"/>
    <w:rsid w:val="003E57E9"/>
    <w:rsid w:val="004A7820"/>
    <w:rsid w:val="0070610A"/>
    <w:rsid w:val="0093150C"/>
    <w:rsid w:val="00992CB0"/>
    <w:rsid w:val="00BD2D51"/>
    <w:rsid w:val="00BF7AC4"/>
    <w:rsid w:val="00C2687E"/>
    <w:rsid w:val="00FF5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8A6F"/>
  <w15:chartTrackingRefBased/>
  <w15:docId w15:val="{9C75F6AC-8425-403D-8F29-7481758D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18254">
      <w:bodyDiv w:val="1"/>
      <w:marLeft w:val="0"/>
      <w:marRight w:val="0"/>
      <w:marTop w:val="0"/>
      <w:marBottom w:val="0"/>
      <w:divBdr>
        <w:top w:val="none" w:sz="0" w:space="0" w:color="auto"/>
        <w:left w:val="none" w:sz="0" w:space="0" w:color="auto"/>
        <w:bottom w:val="none" w:sz="0" w:space="0" w:color="auto"/>
        <w:right w:val="none" w:sz="0" w:space="0" w:color="auto"/>
      </w:divBdr>
      <w:divsChild>
        <w:div w:id="345328555">
          <w:marLeft w:val="0"/>
          <w:marRight w:val="0"/>
          <w:marTop w:val="0"/>
          <w:marBottom w:val="0"/>
          <w:divBdr>
            <w:top w:val="single" w:sz="2" w:space="0" w:color="D9D9E3"/>
            <w:left w:val="single" w:sz="2" w:space="0" w:color="D9D9E3"/>
            <w:bottom w:val="single" w:sz="2" w:space="0" w:color="D9D9E3"/>
            <w:right w:val="single" w:sz="2" w:space="0" w:color="D9D9E3"/>
          </w:divBdr>
          <w:divsChild>
            <w:div w:id="1541242249">
              <w:marLeft w:val="0"/>
              <w:marRight w:val="0"/>
              <w:marTop w:val="0"/>
              <w:marBottom w:val="0"/>
              <w:divBdr>
                <w:top w:val="single" w:sz="2" w:space="0" w:color="D9D9E3"/>
                <w:left w:val="single" w:sz="2" w:space="0" w:color="D9D9E3"/>
                <w:bottom w:val="single" w:sz="2" w:space="0" w:color="D9D9E3"/>
                <w:right w:val="single" w:sz="2" w:space="0" w:color="D9D9E3"/>
              </w:divBdr>
              <w:divsChild>
                <w:div w:id="602106326">
                  <w:marLeft w:val="0"/>
                  <w:marRight w:val="0"/>
                  <w:marTop w:val="0"/>
                  <w:marBottom w:val="0"/>
                  <w:divBdr>
                    <w:top w:val="single" w:sz="2" w:space="0" w:color="D9D9E3"/>
                    <w:left w:val="single" w:sz="2" w:space="0" w:color="D9D9E3"/>
                    <w:bottom w:val="single" w:sz="2" w:space="0" w:color="D9D9E3"/>
                    <w:right w:val="single" w:sz="2" w:space="0" w:color="D9D9E3"/>
                  </w:divBdr>
                  <w:divsChild>
                    <w:div w:id="610823774">
                      <w:marLeft w:val="0"/>
                      <w:marRight w:val="0"/>
                      <w:marTop w:val="0"/>
                      <w:marBottom w:val="0"/>
                      <w:divBdr>
                        <w:top w:val="single" w:sz="2" w:space="0" w:color="D9D9E3"/>
                        <w:left w:val="single" w:sz="2" w:space="0" w:color="D9D9E3"/>
                        <w:bottom w:val="single" w:sz="2" w:space="0" w:color="D9D9E3"/>
                        <w:right w:val="single" w:sz="2" w:space="0" w:color="D9D9E3"/>
                      </w:divBdr>
                      <w:divsChild>
                        <w:div w:id="1032077978">
                          <w:marLeft w:val="0"/>
                          <w:marRight w:val="0"/>
                          <w:marTop w:val="0"/>
                          <w:marBottom w:val="0"/>
                          <w:divBdr>
                            <w:top w:val="single" w:sz="2" w:space="0" w:color="auto"/>
                            <w:left w:val="single" w:sz="2" w:space="0" w:color="auto"/>
                            <w:bottom w:val="single" w:sz="6" w:space="0" w:color="auto"/>
                            <w:right w:val="single" w:sz="2" w:space="0" w:color="auto"/>
                          </w:divBdr>
                          <w:divsChild>
                            <w:div w:id="1649045607">
                              <w:marLeft w:val="0"/>
                              <w:marRight w:val="0"/>
                              <w:marTop w:val="100"/>
                              <w:marBottom w:val="100"/>
                              <w:divBdr>
                                <w:top w:val="single" w:sz="2" w:space="0" w:color="D9D9E3"/>
                                <w:left w:val="single" w:sz="2" w:space="0" w:color="D9D9E3"/>
                                <w:bottom w:val="single" w:sz="2" w:space="0" w:color="D9D9E3"/>
                                <w:right w:val="single" w:sz="2" w:space="0" w:color="D9D9E3"/>
                              </w:divBdr>
                              <w:divsChild>
                                <w:div w:id="635109962">
                                  <w:marLeft w:val="0"/>
                                  <w:marRight w:val="0"/>
                                  <w:marTop w:val="0"/>
                                  <w:marBottom w:val="0"/>
                                  <w:divBdr>
                                    <w:top w:val="single" w:sz="2" w:space="0" w:color="D9D9E3"/>
                                    <w:left w:val="single" w:sz="2" w:space="0" w:color="D9D9E3"/>
                                    <w:bottom w:val="single" w:sz="2" w:space="0" w:color="D9D9E3"/>
                                    <w:right w:val="single" w:sz="2" w:space="0" w:color="D9D9E3"/>
                                  </w:divBdr>
                                  <w:divsChild>
                                    <w:div w:id="729579023">
                                      <w:marLeft w:val="0"/>
                                      <w:marRight w:val="0"/>
                                      <w:marTop w:val="0"/>
                                      <w:marBottom w:val="0"/>
                                      <w:divBdr>
                                        <w:top w:val="single" w:sz="2" w:space="0" w:color="D9D9E3"/>
                                        <w:left w:val="single" w:sz="2" w:space="0" w:color="D9D9E3"/>
                                        <w:bottom w:val="single" w:sz="2" w:space="0" w:color="D9D9E3"/>
                                        <w:right w:val="single" w:sz="2" w:space="0" w:color="D9D9E3"/>
                                      </w:divBdr>
                                      <w:divsChild>
                                        <w:div w:id="1758091962">
                                          <w:marLeft w:val="0"/>
                                          <w:marRight w:val="0"/>
                                          <w:marTop w:val="0"/>
                                          <w:marBottom w:val="0"/>
                                          <w:divBdr>
                                            <w:top w:val="single" w:sz="2" w:space="0" w:color="D9D9E3"/>
                                            <w:left w:val="single" w:sz="2" w:space="0" w:color="D9D9E3"/>
                                            <w:bottom w:val="single" w:sz="2" w:space="0" w:color="D9D9E3"/>
                                            <w:right w:val="single" w:sz="2" w:space="0" w:color="D9D9E3"/>
                                          </w:divBdr>
                                          <w:divsChild>
                                            <w:div w:id="172767966">
                                              <w:marLeft w:val="0"/>
                                              <w:marRight w:val="0"/>
                                              <w:marTop w:val="0"/>
                                              <w:marBottom w:val="0"/>
                                              <w:divBdr>
                                                <w:top w:val="single" w:sz="2" w:space="0" w:color="D9D9E3"/>
                                                <w:left w:val="single" w:sz="2" w:space="0" w:color="D9D9E3"/>
                                                <w:bottom w:val="single" w:sz="2" w:space="0" w:color="D9D9E3"/>
                                                <w:right w:val="single" w:sz="2" w:space="0" w:color="D9D9E3"/>
                                              </w:divBdr>
                                              <w:divsChild>
                                                <w:div w:id="100578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05589365">
          <w:marLeft w:val="0"/>
          <w:marRight w:val="0"/>
          <w:marTop w:val="0"/>
          <w:marBottom w:val="0"/>
          <w:divBdr>
            <w:top w:val="none" w:sz="0" w:space="0" w:color="auto"/>
            <w:left w:val="none" w:sz="0" w:space="0" w:color="auto"/>
            <w:bottom w:val="none" w:sz="0" w:space="0" w:color="auto"/>
            <w:right w:val="none" w:sz="0" w:space="0" w:color="auto"/>
          </w:divBdr>
        </w:div>
      </w:divsChild>
    </w:div>
    <w:div w:id="817528428">
      <w:bodyDiv w:val="1"/>
      <w:marLeft w:val="0"/>
      <w:marRight w:val="0"/>
      <w:marTop w:val="0"/>
      <w:marBottom w:val="0"/>
      <w:divBdr>
        <w:top w:val="none" w:sz="0" w:space="0" w:color="auto"/>
        <w:left w:val="none" w:sz="0" w:space="0" w:color="auto"/>
        <w:bottom w:val="none" w:sz="0" w:space="0" w:color="auto"/>
        <w:right w:val="none" w:sz="0" w:space="0" w:color="auto"/>
      </w:divBdr>
    </w:div>
    <w:div w:id="1174613053">
      <w:bodyDiv w:val="1"/>
      <w:marLeft w:val="0"/>
      <w:marRight w:val="0"/>
      <w:marTop w:val="0"/>
      <w:marBottom w:val="0"/>
      <w:divBdr>
        <w:top w:val="none" w:sz="0" w:space="0" w:color="auto"/>
        <w:left w:val="none" w:sz="0" w:space="0" w:color="auto"/>
        <w:bottom w:val="none" w:sz="0" w:space="0" w:color="auto"/>
        <w:right w:val="none" w:sz="0" w:space="0" w:color="auto"/>
      </w:divBdr>
    </w:div>
    <w:div w:id="134751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Masixole Boya</dc:creator>
  <cp:keywords/>
  <dc:description/>
  <cp:lastModifiedBy>Masixole Boya</cp:lastModifiedBy>
  <cp:revision>1</cp:revision>
  <dcterms:created xsi:type="dcterms:W3CDTF">2023-10-09T17:01:00Z</dcterms:created>
  <dcterms:modified xsi:type="dcterms:W3CDTF">2023-10-09T18:59:00Z</dcterms:modified>
</cp:coreProperties>
</file>