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5E" w:val="clear"/>
            <w:tcMar>
              <w:top w:type="dxa" w:w="500"/>
              <w:left w:type="dxa" w:w="400"/>
              <w:bottom w:type="dxa" w:w="300"/>
              <w:right w:type="dxa" w:w="400"/>
            </w:tcMar>
          </w:tcPr>
          <w:p>
            <w:pPr>
              <w:jc w:val="center"/>
            </w:pPr>
            <w:r>
              <w:rPr>
                <w:rFonts w:ascii="Calibri" w:cs="Calibri" w:eastAsia="Calibri" w:hAnsi="Calibri"/>
                <w:b/>
                <w:bCs/>
                <w:color w:val="FFFFFF"/>
                <w:sz w:val="80"/>
                <w:szCs w:val="80"/>
              </w:rPr>
              <w:t xml:space="preserve">ShareParty</w:t>
            </w:r>
          </w:p>
          <w:p>
            <w:pPr>
              <w:spacing w:before="100"/>
              <w:jc w:val="center"/>
            </w:pPr>
            <w:r>
              <w:rPr>
                <w:rFonts w:ascii="Calibri" w:cs="Calibri" w:eastAsia="Calibri" w:hAnsi="Calibri"/>
                <w:color w:val="E8F4F4"/>
                <w:sz w:val="38"/>
                <w:szCs w:val="38"/>
              </w:rPr>
              <w:t xml:space="preserve">25-Day MVP Build Plan</w:t>
            </w:r>
          </w:p>
          <w:p>
            <w:pPr>
              <w:spacing w:before="80"/>
              <w:jc w:val="center"/>
            </w:pPr>
            <w:r>
              <w:rPr>
                <w:rFonts w:ascii="Calibri" w:cs="Calibri" w:eastAsia="Calibri" w:hAnsi="Calibri"/>
                <w:color w:val="E8F4F4"/>
                <w:sz w:val="26"/>
                <w:szCs w:val="26"/>
              </w:rPr>
              <w:t xml:space="preserve">Cursor + AI   |   April 5 to April 30, 2026</w:t>
            </w:r>
          </w:p>
        </w:tc>
      </w:tr>
      <w:tr>
        <w:tc>
          <w:tcPr>
            <w:tcW w:type="dxa" w:w="9360"/>
            <w:tcBorders>
              <w:top w:val="none" w:color="FFFFFF" w:sz="0"/>
              <w:left w:val="none" w:color="FFFFFF" w:sz="0"/>
              <w:bottom w:val="none" w:color="FFFFFF" w:sz="0"/>
              <w:right w:val="none" w:color="FFFFFF" w:sz="0"/>
            </w:tcBorders>
            <w:shd w:fill="1A7A7A" w:val="clear"/>
            <w:tcMar>
              <w:top w:type="dxa" w:w="160"/>
              <w:left w:type="dxa" w:w="400"/>
              <w:bottom w:type="dxa" w:w="160"/>
              <w:right w:type="dxa" w:w="400"/>
            </w:tcMar>
          </w:tcPr>
          <w:p>
            <w:pPr>
              <w:jc w:val="center"/>
            </w:pPr>
            <w:r>
              <w:rPr>
                <w:rFonts w:ascii="Calibri" w:cs="Calibri" w:eastAsia="Calibri" w:hAnsi="Calibri"/>
                <w:color w:val="FFFFFF"/>
                <w:sz w:val="22"/>
                <w:szCs w:val="22"/>
              </w:rPr>
              <w:t xml:space="preserve">Solo build + Cursor AI     </w:t>
            </w:r>
            <w:r>
              <w:rPr>
                <w:rFonts w:ascii="Calibri" w:cs="Calibri" w:eastAsia="Calibri" w:hAnsi="Calibri"/>
                <w:color w:val="FFFFFF"/>
                <w:sz w:val="22"/>
                <w:szCs w:val="22"/>
              </w:rPr>
              <w:t xml:space="preserve">|     Starting from zero     </w:t>
            </w:r>
            <w:r>
              <w:rPr>
                <w:rFonts w:ascii="Calibri" w:cs="Calibri" w:eastAsia="Calibri" w:hAnsi="Calibri"/>
                <w:color w:val="FFFFFF"/>
                <w:sz w:val="22"/>
                <w:szCs w:val="22"/>
              </w:rPr>
              <w:t xml:space="preserve">|     NZ pilot launch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Calibri" w:cs="Calibri" w:eastAsia="Calibri" w:hAnsi="Calibri"/>
                <w:b/>
                <w:bCs/>
                <w:color w:val="155E5E"/>
                <w:sz w:val="18"/>
                <w:szCs w:val="18"/>
              </w:rPr>
              <w:t xml:space="preserve">Deadline</w:t>
            </w:r>
          </w:p>
          <w:p>
            <w:pPr>
              <w:spacing w:before="50"/>
              <w:jc w:val="center"/>
            </w:pPr>
            <w:r>
              <w:rPr>
                <w:rFonts w:ascii="Calibri" w:cs="Calibri" w:eastAsia="Calibri" w:hAnsi="Calibri"/>
                <w:b/>
                <w:bCs/>
                <w:color w:val="155E5E"/>
                <w:sz w:val="22"/>
                <w:szCs w:val="22"/>
              </w:rPr>
              <w:t xml:space="preserve">April 30, 2026</w:t>
            </w:r>
          </w:p>
        </w:tc>
        <w:tc>
          <w:tcPr>
            <w:tcW w:type="dxa" w:w="234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Calibri" w:cs="Calibri" w:eastAsia="Calibri" w:hAnsi="Calibri"/>
                <w:b/>
                <w:bCs/>
                <w:color w:val="155E5E"/>
                <w:sz w:val="18"/>
                <w:szCs w:val="18"/>
              </w:rPr>
              <w:t xml:space="preserve">Days Available</w:t>
            </w:r>
          </w:p>
          <w:p>
            <w:pPr>
              <w:spacing w:before="50"/>
              <w:jc w:val="center"/>
            </w:pPr>
            <w:r>
              <w:rPr>
                <w:rFonts w:ascii="Calibri" w:cs="Calibri" w:eastAsia="Calibri" w:hAnsi="Calibri"/>
                <w:b/>
                <w:bCs/>
                <w:color w:val="155E5E"/>
                <w:sz w:val="22"/>
                <w:szCs w:val="22"/>
              </w:rPr>
              <w:t xml:space="preserve">25 working days</w:t>
            </w:r>
          </w:p>
        </w:tc>
        <w:tc>
          <w:tcPr>
            <w:tcW w:type="dxa" w:w="234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Calibri" w:cs="Calibri" w:eastAsia="Calibri" w:hAnsi="Calibri"/>
                <w:b/>
                <w:bCs/>
                <w:color w:val="155E5E"/>
                <w:sz w:val="18"/>
                <w:szCs w:val="18"/>
              </w:rPr>
              <w:t xml:space="preserve">Total Target Hours</w:t>
            </w:r>
          </w:p>
          <w:p>
            <w:pPr>
              <w:spacing w:before="50"/>
              <w:jc w:val="center"/>
            </w:pPr>
            <w:r>
              <w:rPr>
                <w:rFonts w:ascii="Calibri" w:cs="Calibri" w:eastAsia="Calibri" w:hAnsi="Calibri"/>
                <w:b/>
                <w:bCs/>
                <w:color w:val="B03A2E"/>
                <w:sz w:val="22"/>
                <w:szCs w:val="22"/>
              </w:rPr>
              <w:t xml:space="preserve">100 – 140 hrs</w:t>
            </w:r>
          </w:p>
        </w:tc>
        <w:tc>
          <w:tcPr>
            <w:tcW w:type="dxa" w:w="2340"/>
            <w:tcBorders>
              <w:top w:val="single" w:color="DDDDDD" w:sz="1"/>
              <w:left w:val="single" w:color="DDDDDD" w:sz="1"/>
              <w:bottom w:val="single" w:color="DDDDDD" w:sz="1"/>
              <w:right w:val="single" w:color="DDDDDD" w:sz="1"/>
            </w:tcBorders>
            <w:shd w:fill="E8F4F4" w:val="clear"/>
            <w:tcMar>
              <w:top w:type="dxa" w:w="100"/>
              <w:left w:type="dxa" w:w="160"/>
              <w:bottom w:type="dxa" w:w="100"/>
              <w:right w:type="dxa" w:w="160"/>
            </w:tcMar>
          </w:tcPr>
          <w:p>
            <w:pPr>
              <w:jc w:val="center"/>
            </w:pPr>
            <w:r>
              <w:rPr>
                <w:rFonts w:ascii="Calibri" w:cs="Calibri" w:eastAsia="Calibri" w:hAnsi="Calibri"/>
                <w:b/>
                <w:bCs/>
                <w:color w:val="155E5E"/>
                <w:sz w:val="18"/>
                <w:szCs w:val="18"/>
              </w:rPr>
              <w:t xml:space="preserve">Launch Scope</w:t>
            </w:r>
          </w:p>
          <w:p>
            <w:pPr>
              <w:spacing w:before="50"/>
              <w:jc w:val="center"/>
            </w:pPr>
            <w:r>
              <w:rPr>
                <w:rFonts w:ascii="Calibri" w:cs="Calibri" w:eastAsia="Calibri" w:hAnsi="Calibri"/>
                <w:b/>
                <w:bCs/>
                <w:color w:val="1A6B3C"/>
                <w:sz w:val="22"/>
                <w:szCs w:val="22"/>
              </w:rPr>
              <w:t xml:space="preserve">NZ Pilot, 3–5 operators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03A2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READ THIS FIRST</w:t>
            </w:r>
          </w:p>
        </w:tc>
        <w:tc>
          <w:tcPr>
            <w:tcW w:type="dxa" w:w="7960"/>
            <w:tcBorders>
              <w:top w:val="none" w:color="FFFFFF" w:sz="0"/>
              <w:left w:val="none" w:color="FFFFFF" w:sz="0"/>
              <w:bottom w:val="none" w:color="FFFFFF" w:sz="0"/>
              <w:right w:val="none" w:color="FFFFFF" w:sz="0"/>
            </w:tcBorders>
            <w:shd w:fill="FDECEA" w:val="clear"/>
            <w:tcMar>
              <w:top w:type="dxa" w:w="100"/>
              <w:left w:type="dxa" w:w="180"/>
              <w:bottom w:type="dxa" w:w="100"/>
              <w:right w:type="dxa" w:w="160"/>
            </w:tcMar>
          </w:tcPr>
          <w:p>
            <w:r>
              <w:rPr>
                <w:rFonts w:ascii="Calibri" w:cs="Calibri" w:eastAsia="Calibri" w:hAnsi="Calibri"/>
                <w:color w:val="3A3A3A"/>
                <w:sz w:val="20"/>
                <w:szCs w:val="20"/>
              </w:rPr>
              <w:t xml:space="preserve">This plan assumes 5–6 focused hours of actual build time per day with Cursor doing the heavy lifting on scaffolding, CRUD, and boilerplate. The hours reflect genuine human decision-making, prompt iteration, integration, and testing — not typing time. The AI vision flows (Phase 2) are the highest-risk item. Budget toward the high end and plan prompt iteration time with real toy photos.</w:t>
            </w:r>
          </w:p>
        </w:tc>
      </w:tr>
    </w:tbl>
    <w:p>
      <w:pPr>
        <w:spacing w:after="100" w:before="0"/>
      </w:pPr>
      <w:r>
        <w:t xml:space="preserve"/>
      </w:r>
    </w:p>
    <w:p>
      <w:pPr>
        <w:spacing w:after="0" w:before="0"/>
      </w:pPr>
      <w:r>
        <w:br w:type="page"/>
      </w:r>
    </w:p>
    <w:p>
      <w:pPr>
        <w:pStyle w:val="Heading1"/>
        <w:shd w:fill="155E5E" w:val="clear"/>
        <w:spacing w:after="100" w:before="280"/>
        <w:ind w:left="160" w:right="160"/>
      </w:pPr>
      <w:r>
        <w:rPr>
          <w:rFonts w:ascii="Calibri" w:cs="Calibri" w:eastAsia="Calibri" w:hAnsi="Calibri"/>
          <w:b/>
          <w:bCs/>
          <w:color w:val="FFFFFF"/>
          <w:sz w:val="34"/>
          <w:szCs w:val="34"/>
        </w:rPr>
        <w:t xml:space="preserve">1.   What's In vs. Out for April 30</w:t>
      </w:r>
    </w:p>
    <w:p>
      <w:pPr>
        <w:spacing w:after="60" w:before="0"/>
      </w:pPr>
      <w:r>
        <w:t xml:space="preserve"/>
      </w:r>
    </w:p>
    <w:p>
      <w:pPr>
        <w:spacing w:after="60" w:before="60"/>
        <w:jc w:val="left"/>
      </w:pPr>
      <w:r>
        <w:rPr>
          <w:rFonts w:ascii="Calibri" w:cs="Calibri" w:eastAsia="Calibri" w:hAnsi="Calibri"/>
          <w:b w:val="false"/>
          <w:bCs w:val="false"/>
          <w:i w:val="false"/>
          <w:iCs w:val="false"/>
          <w:color w:val="3A3A3A"/>
          <w:sz w:val="21"/>
          <w:szCs w:val="21"/>
        </w:rPr>
        <w:t xml:space="preserve">25 days is enough to launch a real, commercially viable MVP. It is not enough to build the full spec. The table below is the definitive in/out decision for every feature. Anything marked DEFERRED is explicitly out of scope — not cut, not forgotten, not 'maybe if there's time'. Time-boxing Cursor sessions to deferred items will kill the deadline.</w:t>
      </w:r>
    </w:p>
    <w:p>
      <w:pPr>
        <w:spacing w:after="8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1.1  Features Being Built for April 30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560"/>
        <w:gridCol w:w="1600"/>
      </w:tblGrid>
      <w:tr>
        <w:trPr>
          <w:tblHeader/>
        </w:trPr>
        <w:tc>
          <w:tcPr>
            <w:tcW w:type="dxa" w:w="42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356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Why It's In</w:t>
            </w:r>
          </w:p>
        </w:tc>
        <w:tc>
          <w:tcPr>
            <w:tcW w:type="dxa" w:w="16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Monorepo + project setup (Next.js, NestJS, Expo, Prisma)</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Foundational. Cannot build anything without it.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Authentication (JWT, refresh tokens, RBAC, email verify, age gate)</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Cannot be retrofitted. Foundational to every user flow.</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Multi-tenant library routing (library_id scoping, subdomain)</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Cannot be retrofitted into a live multi-tenant system.</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Localisation framework (currency, date format, i18n scaffolding)</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Must be built before any user-facing screen or it doubles rework cost.</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Connect operator onboarding + member subscription billing</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need to get paid. Members need to be billed. Non-negotiable.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COPPA age gate + children's data minimisation (age int + optional name)</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Legal requirement before any operator goes live, regardless of market.</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toy ingest (camera → S3 → GPT-4o Vision → confirmation form)</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The core product differentiator. Without it, ShareParty is a loan tracker.</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Model-agnostic AI service layer (swap GPT-4o / Claude in one file)</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Must be built from day one. Cannot be retrofitted without touching every AI call.</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condition inspection (return photo comparison, damage decision, raw response storage)</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Core differentiator. Dispute evidence. Non-negotiable.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Toy catalogue CRUD (create, edit, retire, S3 photo upload, colour status, alt text)</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Everything else depends on the catalogue being correct.</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Colour status system (Green / Amber / Red / Grey with text labels)</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WCAG compliance + core operational language. Built at component level.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Toy status state machine (Available → Reserved → On Loan → Under Inspection → Retired)</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Invalid transitions cause data integrity issues. Must be correct from day one.</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CSV migration — SETLS and MiBase NZ parser templates only</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Acquisition-critical. Most NZ pilot operators are on one of these platforms.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WebSocket real-time layer (toy status events, &lt;2s propagation)</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Without it, concurrent reservations conflict under real session load.</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Member web portal (catalogue, browse, filter, toy detail)</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Primary member-facing surface. Required for any real operator pilot.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Reservation flow (reserve, 48hr hold, concurrent conflict handling)</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Core member feature. Cannot pilot without it.</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Waitlist — simplified (join queue, position display, manual operator advance)</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advance manually at pilot scale. Auto-advance is V2.</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My Shelf (borrowed toys grid, due date colour coding, mark for return)</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Members need to see their loans. Required for operations.</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Account + children's data management (Stripe Customer Portal, add/edit/delete children)</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Legal requirement. Data deletion rights must exist before any operator goes live.</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Bull event bus (queue-backed, no fire-and-forget async)</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Must be built before notifications. Retrofitting later breaks reliability.</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4</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Transactional email (minimum 5 events: loan confirmed, overdue, damage fee, reservation ready, billing)</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cannot run sessions without these. MJML via Postmark.</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4</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In-app notification centre (WebSocket-delivered, notification bell)</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need real-time action alerts during sessions.</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4</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Email compliance basics (unsubscribe, CAN-SPAM footer, opt-in only for marketing)</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Legal. Required before first email is sent.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4</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Damage fee flow (operator decision → Stripe charge → member notification with photos)</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need to charge for damage. Dispute evidence must be stored.</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5</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subscription webhooks (payment failure, cancellation, renewal → membership status)</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Membership status must stay in sync. Broken webhooks break access control.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5</w:t>
            </w:r>
          </w:p>
        </w:tc>
      </w:tr>
      <w:tr>
        <w:tc>
          <w:tcPr>
            <w:tcW w:type="dxa" w:w="4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End-to-end testing (ingest, loan, return, reservation, payment critical paths)</w:t>
            </w:r>
          </w:p>
        </w:tc>
        <w:tc>
          <w:tcPr>
            <w:tcW w:type="dxa" w:w="35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Required before handing to pilot operators.</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5</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Manual WCAG pass (keyboard nav, alt text, colour + text labels, contrast)</w:t>
            </w:r>
          </w:p>
        </w:tc>
        <w:tc>
          <w:tcPr>
            <w:tcW w:type="dxa" w:w="3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Required. Full axe-core CI/CD integration is V2.</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5</w:t>
            </w:r>
          </w:p>
        </w:tc>
      </w:tr>
    </w:tbl>
    <w:p>
      <w:pPr>
        <w:spacing w:after="120" w:before="0"/>
      </w:pPr>
      <w:r>
        <w:t xml:space="preserve"/>
      </w:r>
    </w:p>
    <w:p>
      <w:pPr>
        <w:pStyle w:val="Heading2"/>
        <w:pBdr>
          <w:bottom w:val="single" w:color="DDDDDD" w:sz="4" w:space="1"/>
        </w:pBdr>
        <w:spacing w:after="80" w:before="200"/>
      </w:pPr>
      <w:r>
        <w:rPr>
          <w:rFonts w:ascii="Calibri" w:cs="Calibri" w:eastAsia="Calibri" w:hAnsi="Calibri"/>
          <w:b/>
          <w:bCs/>
          <w:color w:val="B03A2E"/>
          <w:sz w:val="26"/>
          <w:szCs w:val="26"/>
        </w:rPr>
        <w:t xml:space="preserve">1.2  Features Deferred — NOT Building for April 30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03A2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DEFERRED ITEMS</w:t>
            </w:r>
          </w:p>
        </w:tc>
        <w:tc>
          <w:tcPr>
            <w:tcW w:type="dxa" w:w="7960"/>
            <w:tcBorders>
              <w:top w:val="none" w:color="FFFFFF" w:sz="0"/>
              <w:left w:val="none" w:color="FFFFFF" w:sz="0"/>
              <w:bottom w:val="none" w:color="FFFFFF" w:sz="0"/>
              <w:right w:val="none" w:color="FFFFFF" w:sz="0"/>
            </w:tcBorders>
            <w:shd w:fill="FDECEA" w:val="clear"/>
            <w:tcMar>
              <w:top w:type="dxa" w:w="100"/>
              <w:left w:type="dxa" w:w="180"/>
              <w:bottom w:type="dxa" w:w="100"/>
              <w:right w:type="dxa" w:w="160"/>
            </w:tcMar>
          </w:tcPr>
          <w:p>
            <w:r>
              <w:rPr>
                <w:rFonts w:ascii="Calibri" w:cs="Calibri" w:eastAsia="Calibri" w:hAnsi="Calibri"/>
                <w:color w:val="3A3A3A"/>
                <w:sz w:val="20"/>
                <w:szCs w:val="20"/>
              </w:rPr>
              <w:t xml:space="preserve">The following features appear in the ShareParty spec but will NOT be built before April 30. Any Cursor session that drifts into these areas should be immediately redirected. They are V2 items — valuable, planned, and deliberately not on this build.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DDDDDD" w:sz="1"/>
              <w:left w:val="single" w:color="DDDDDD" w:sz="1"/>
              <w:bottom w:val="single" w:color="DDDDDD" w:sz="1"/>
              <w:right w:val="single" w:color="DDDDDD" w:sz="1"/>
            </w:tcBorders>
            <w:shd w:fill="B03A2E" w:val="clear"/>
            <w:tcMar>
              <w:top w:type="dxa" w:w="80"/>
              <w:left w:type="dxa" w:w="120"/>
              <w:bottom w:type="dxa" w:w="80"/>
              <w:right w:type="dxa" w:w="120"/>
            </w:tcMar>
          </w:tcPr>
          <w:p>
            <w:r>
              <w:rPr>
                <w:rFonts w:ascii="Calibri" w:cs="Calibri" w:eastAsia="Calibri" w:hAnsi="Calibri"/>
                <w:b/>
                <w:bCs/>
                <w:color w:val="FFFFFF"/>
                <w:sz w:val="20"/>
                <w:szCs w:val="20"/>
              </w:rPr>
              <w:t xml:space="preserve">Deferred Feature</w:t>
            </w:r>
          </w:p>
        </w:tc>
        <w:tc>
          <w:tcPr>
            <w:tcW w:type="dxa" w:w="4360"/>
            <w:tcBorders>
              <w:top w:val="single" w:color="DDDDDD" w:sz="1"/>
              <w:left w:val="single" w:color="DDDDDD" w:sz="1"/>
              <w:bottom w:val="single" w:color="DDDDDD" w:sz="1"/>
              <w:right w:val="single" w:color="DDDDDD" w:sz="1"/>
            </w:tcBorders>
            <w:shd w:fill="B03A2E" w:val="clear"/>
            <w:tcMar>
              <w:top w:type="dxa" w:w="80"/>
              <w:left w:type="dxa" w:w="120"/>
              <w:bottom w:type="dxa" w:w="80"/>
              <w:right w:type="dxa" w:w="120"/>
            </w:tcMar>
          </w:tcPr>
          <w:p>
            <w:r>
              <w:rPr>
                <w:rFonts w:ascii="Calibri" w:cs="Calibri" w:eastAsia="Calibri" w:hAnsi="Calibri"/>
                <w:b/>
                <w:bCs/>
                <w:color w:val="FFFFFF"/>
                <w:sz w:val="20"/>
                <w:szCs w:val="20"/>
              </w:rPr>
              <w:t xml:space="preserve">Why Deferred</w:t>
            </w:r>
          </w:p>
        </w:tc>
        <w:tc>
          <w:tcPr>
            <w:tcW w:type="dxa" w:w="1800"/>
            <w:tcBorders>
              <w:top w:val="single" w:color="DDDDDD" w:sz="1"/>
              <w:left w:val="single" w:color="DDDDDD" w:sz="1"/>
              <w:bottom w:val="single" w:color="DDDDDD" w:sz="1"/>
              <w:right w:val="single" w:color="DDDDDD" w:sz="1"/>
            </w:tcBorders>
            <w:shd w:fill="B03A2E"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Multi-region AWS (us-east-1 / eu-west-2)</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No US or UK operators at NZ pilot. Deploy to ap-southeast-2 only. Stub the region field in the DB.</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Data residency enforcement</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Required before US/UK operators onboard. Not needed for NZ pilot.</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GDPR / CASL compliance (DPA template, data export, right to erasure)</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No EU, UK, or Canadian operators at launch. Add before first UK operator goes live.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AI CSV column mapping (GPT-4o text interpreter for unknown formats)</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Ship SETLS + MiBase NZ templates only. GPT column interpreter saves 4–6 hours now, costs zero operators.</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Automated photo enrichment job (post-import stock photo retrieval)</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Pilot operators add photos manually. Volume doesn't justify automation at 3–5 operators.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Operator analytics dashboard (MRR, utilisation, demand gaps)</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can run without MRR charts for the pilot period.</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QR label PDF generation (Brother QL compatibility)</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 printed or handwritten label works at pilot scale. Saves 3–4 hours.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Audit logging (data access + mutation log, 90-day retention)</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Important for compliance. Not day one for a 3–5 operator NZ pilot.</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Full notification matrix (all 14+ events from the spec)</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Ship the minimum 5 transactional events only. Add the full matrix post-pilot based on real operator feedback.</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Waitlist 48hr auto-advance (auto-notify, queue auto-progression)</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handle manually at pilot scale. Automate once volume justifies it.</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Operator daily digest email (morning session summary)</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Useful. Not launch-critical. Add in V2 alongside the full notification matrix.</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Loan self-serve renewal (member one-tap renewal)</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handle renewals manually at pilot scale.</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Member mobile app — iOS + Android</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Web portal first. Native app only after web portal validates the product with real members.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Push notifications (FCM + APNs via Expo)</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Requires native mobile apps. V2.</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axe-core CI/CD integration + VoiceOver / TalkBack screen reader testing</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Do a manual WCAG pass before launch. Full automated integration in V2.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Volunteer access levels (limited-permission staff accounts)</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Community library need. Not required for initial commercial pilot operators.</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White-label (custom domain + branding)</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Pro tier feature. Not needed for NZ pilot.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Multi-location (one operator, multiple hub locations)</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Growing operators need this. Not at pilot scale.</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Stripe Tax (automated US state SaaS tax calculation)</w:t>
            </w:r>
          </w:p>
        </w:tc>
        <w:tc>
          <w:tcPr>
            <w:tcW w:type="dxa" w:w="4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No active US marketing at MVP. Add before US operator scale.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w:t>
            </w:r>
          </w:p>
        </w:tc>
      </w:tr>
      <w:tr>
        <w:tc>
          <w:tcPr>
            <w:tcW w:type="dxa" w:w="3200"/>
            <w:tcBorders>
              <w:top w:val="single" w:color="DDDDDD" w:sz="1"/>
              <w:left w:val="single" w:color="DDDDDD" w:sz="1"/>
              <w:bottom w:val="single" w:color="DDDDDD" w:sz="1"/>
              <w:right w:val="single" w:color="DDDDDD" w:sz="1"/>
            </w:tcBorders>
            <w:shd w:fill="FDECEA" w:val="clear"/>
            <w:tcMar>
              <w:top w:type="dxa" w:w="70"/>
              <w:left w:type="dxa" w:w="120"/>
              <w:bottom w:type="dxa" w:w="70"/>
              <w:right w:type="dxa" w:w="120"/>
            </w:tcMar>
          </w:tcPr>
          <w:p>
            <w:r>
              <w:rPr>
                <w:rFonts w:ascii="Calibri" w:cs="Calibri" w:eastAsia="Calibri" w:hAnsi="Calibri"/>
                <w:b w:val="false"/>
                <w:bCs w:val="false"/>
                <w:color w:val="B03A2E"/>
                <w:sz w:val="20"/>
                <w:szCs w:val="20"/>
              </w:rPr>
              <w:t xml:space="preserve">VPAT, penetration testing, SOC 2, cyber liability insurance</w:t>
            </w:r>
          </w:p>
        </w:tc>
        <w:tc>
          <w:tcPr>
            <w:tcW w:type="dxa" w:w="4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US institutional procurement requirements. Not needed for NZ pilot.</w:t>
            </w:r>
          </w:p>
        </w:tc>
        <w:tc>
          <w:tcPr>
            <w:tcW w:type="dxa" w:w="18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V2/V3</w:t>
            </w:r>
          </w:p>
        </w:tc>
      </w:tr>
    </w:tbl>
    <w:p>
      <w:pPr>
        <w:spacing w:after="120" w:before="0"/>
      </w:pPr>
      <w:r>
        <w:t xml:space="preserve"/>
      </w:r>
    </w:p>
    <w:p>
      <w:pPr>
        <w:spacing w:after="0" w:before="0"/>
      </w:pPr>
      <w:r>
        <w:br w:type="page"/>
      </w:r>
    </w:p>
    <w:p>
      <w:pPr>
        <w:pStyle w:val="Heading1"/>
        <w:shd w:fill="155E5E" w:val="clear"/>
        <w:spacing w:after="100" w:before="280"/>
        <w:ind w:left="160" w:right="160"/>
      </w:pPr>
      <w:r>
        <w:rPr>
          <w:rFonts w:ascii="Calibri" w:cs="Calibri" w:eastAsia="Calibri" w:hAnsi="Calibri"/>
          <w:b/>
          <w:bCs/>
          <w:color w:val="FFFFFF"/>
          <w:sz w:val="34"/>
          <w:szCs w:val="34"/>
        </w:rPr>
        <w:t xml:space="preserve">2.   Day-by-Day Build Schedule</w:t>
      </w:r>
    </w:p>
    <w:p>
      <w:pPr>
        <w:spacing w:after="60" w:before="0"/>
      </w:pPr>
      <w:r>
        <w:t xml:space="preserve"/>
      </w:r>
    </w:p>
    <w:p>
      <w:pPr>
        <w:spacing w:after="60" w:before="60"/>
        <w:jc w:val="left"/>
      </w:pPr>
      <w:r>
        <w:rPr>
          <w:rFonts w:ascii="Calibri" w:cs="Calibri" w:eastAsia="Calibri" w:hAnsi="Calibri"/>
          <w:b w:val="false"/>
          <w:bCs w:val="false"/>
          <w:i w:val="false"/>
          <w:iCs w:val="false"/>
          <w:color w:val="3A3A3A"/>
          <w:sz w:val="21"/>
          <w:szCs w:val="21"/>
        </w:rPr>
        <w:t xml:space="preserve">Each day targets 5–6 focused hours. Days are numbered 1–25 across 5 weeks. Weekend days are included but marked lighter — use them for testing, unblocking, and catching up, not for starting new modules.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55E5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Cursor Discipline</w:t>
            </w:r>
          </w:p>
        </w:tc>
        <w:tc>
          <w:tcPr>
            <w:tcW w:type="dxa" w:w="7960"/>
            <w:tcBorders>
              <w:top w:val="none" w:color="FFFFFF" w:sz="0"/>
              <w:left w:val="none" w:color="FFFFFF" w:sz="0"/>
              <w:bottom w:val="none" w:color="FFFFFF" w:sz="0"/>
              <w:right w:val="none" w:color="FFFFFF" w:sz="0"/>
            </w:tcBorders>
            <w:shd w:fill="E8F4F4" w:val="clear"/>
            <w:tcMar>
              <w:top w:type="dxa" w:w="100"/>
              <w:left w:type="dxa" w:w="180"/>
              <w:bottom w:type="dxa" w:w="100"/>
              <w:right w:type="dxa" w:w="160"/>
            </w:tcMar>
          </w:tcPr>
          <w:p>
            <w:r>
              <w:rPr>
                <w:rFonts w:ascii="Calibri" w:cs="Calibri" w:eastAsia="Calibri" w:hAnsi="Calibri"/>
                <w:color w:val="3A3A3A"/>
                <w:sz w:val="20"/>
                <w:szCs w:val="20"/>
              </w:rPr>
              <w:t xml:space="preserve">Give Cursor a single, tight task at a time. One module. One endpoint. One component. Large vague prompts produce large vague code. Review every significant output before moving on — AI-generated integration bugs compound quickly.</w:t>
            </w:r>
          </w:p>
        </w:tc>
      </w:tr>
    </w:tbl>
    <w:p>
      <w:pPr>
        <w:spacing w:after="10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Week 1  —  April 5 to 11   |   Phase 1: Foundation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200"/>
        <w:gridCol w:w="1000"/>
      </w:tblGrid>
      <w:tr>
        <w:tc>
          <w:tcPr>
            <w:tcW w:type="dxa" w:w="2000"/>
            <w:tcBorders>
              <w:top w:val="none" w:color="FFFFFF" w:sz="0"/>
              <w:left w:val="none" w:color="FFFFFF" w:sz="0"/>
              <w:bottom w:val="none" w:color="FFFFFF" w:sz="0"/>
              <w:right w:val="none" w:color="FFFFFF" w:sz="0"/>
            </w:tcBorders>
            <w:shd w:fill="155E5E"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Phase 1</w:t>
            </w:r>
          </w:p>
          <w:p>
            <w:pPr>
              <w:spacing w:before="50"/>
              <w:jc w:val="center"/>
            </w:pPr>
            <w:r>
              <w:rPr>
                <w:rFonts w:ascii="Calibri" w:cs="Calibri" w:eastAsia="Calibri" w:hAnsi="Calibri"/>
                <w:b/>
                <w:bCs/>
                <w:color w:val="FFFFFF"/>
                <w:sz w:val="19"/>
                <w:szCs w:val="19"/>
              </w:rPr>
              <w:t xml:space="preserve">Foundation</w:t>
            </w:r>
          </w:p>
        </w:tc>
        <w:tc>
          <w:tcPr>
            <w:tcW w:type="dxa" w:w="5160"/>
            <w:tcBorders>
              <w:top w:val="none" w:color="FFFFFF" w:sz="0"/>
              <w:left w:val="none" w:color="FFFFFF" w:sz="0"/>
              <w:bottom w:val="none" w:color="FFFFFF" w:sz="0"/>
              <w:right w:val="none" w:color="FFFFFF" w:sz="0"/>
            </w:tcBorders>
            <w:shd w:fill="F4F4F4" w:val="clear"/>
            <w:tcMar>
              <w:top w:type="dxa" w:w="100"/>
              <w:left w:type="dxa" w:w="180"/>
              <w:bottom w:type="dxa" w:w="100"/>
              <w:right w:type="dxa" w:w="160"/>
            </w:tcMar>
            <w:vAlign w:val="center"/>
          </w:tcPr>
          <w:p>
            <w:r>
              <w:rPr>
                <w:rFonts w:ascii="Calibri" w:cs="Calibri" w:eastAsia="Calibri" w:hAnsi="Calibri"/>
                <w:b/>
                <w:bCs/>
                <w:color w:val="3A3A3A"/>
                <w:sz w:val="21"/>
                <w:szCs w:val="21"/>
              </w:rPr>
              <w:t xml:space="preserve">April 5 – 11  (Days 1–7)</w:t>
            </w:r>
          </w:p>
        </w:tc>
        <w:tc>
          <w:tcPr>
            <w:tcW w:type="dxa" w:w="1200"/>
            <w:tcBorders>
              <w:top w:val="none" w:color="FFFFFF" w:sz="0"/>
              <w:left w:val="none" w:color="FFFFFF" w:sz="0"/>
              <w:bottom w:val="none" w:color="FFFFFF" w:sz="0"/>
              <w:right w:val="none" w:color="FFFFFF" w:sz="0"/>
            </w:tcBorders>
            <w:shd w:fill="F4F4F4" w:val="clear"/>
            <w:tcMar>
              <w:top w:type="dxa" w:w="100"/>
              <w:left w:type="dxa" w:w="120"/>
              <w:bottom w:type="dxa" w:w="100"/>
              <w:right w:type="dxa" w:w="120"/>
            </w:tcMar>
            <w:vAlign w:val="center"/>
          </w:tcPr>
          <w:p>
            <w:pPr>
              <w:jc w:val="center"/>
            </w:pPr>
            <w:r>
              <w:rPr>
                <w:rFonts w:ascii="Calibri" w:cs="Calibri" w:eastAsia="Calibri" w:hAnsi="Calibri"/>
                <w:color w:val="888888"/>
                <w:sz w:val="18"/>
                <w:szCs w:val="18"/>
              </w:rPr>
              <w:t xml:space="preserve">Target</w:t>
            </w:r>
          </w:p>
          <w:p>
            <w:pPr>
              <w:jc w:val="center"/>
            </w:pPr>
            <w:r>
              <w:rPr>
                <w:rFonts w:ascii="Calibri" w:cs="Calibri" w:eastAsia="Calibri" w:hAnsi="Calibri"/>
                <w:b/>
                <w:bCs/>
                <w:color w:val="155E5E"/>
                <w:sz w:val="22"/>
                <w:szCs w:val="22"/>
              </w:rPr>
              <w:t xml:space="preserve">34–45 hrs</w:t>
            </w:r>
          </w:p>
        </w:tc>
        <w:tc>
          <w:tcPr>
            <w:tcW w:type="dxa" w:w="1000"/>
            <w:tcBorders>
              <w:top w:val="none" w:color="FFFFFF" w:sz="0"/>
              <w:left w:val="none" w:color="FFFFFF" w:sz="0"/>
              <w:bottom w:val="none" w:color="FFFFFF" w:sz="0"/>
              <w:right w:val="none" w:color="FFFFFF" w:sz="0"/>
            </w:tcBorders>
            <w:shd w:fill="FDECEA" w:val="clear"/>
            <w:tcMar>
              <w:top w:type="dxa" w:w="100"/>
              <w:left w:type="dxa" w:w="100"/>
              <w:bottom w:type="dxa" w:w="100"/>
              <w:right w:type="dxa" w:w="100"/>
            </w:tcMar>
            <w:vAlign w:val="center"/>
          </w:tcPr>
          <w:p>
            <w:pPr>
              <w:jc w:val="center"/>
            </w:pPr>
            <w:r>
              <w:rPr>
                <w:rFonts w:ascii="Calibri" w:cs="Calibri" w:eastAsia="Calibri" w:hAnsi="Calibri"/>
                <w:color w:val="888888"/>
                <w:sz w:val="17"/>
                <w:szCs w:val="17"/>
              </w:rPr>
              <w:t xml:space="preserve">Risk</w:t>
            </w:r>
          </w:p>
          <w:p>
            <w:pPr>
              <w:jc w:val="center"/>
            </w:pPr>
            <w:r>
              <w:rPr>
                <w:rFonts w:ascii="Calibri" w:cs="Calibri" w:eastAsia="Calibri" w:hAnsi="Calibri"/>
                <w:b/>
                <w:bCs/>
                <w:color w:val="B03A2E"/>
                <w:sz w:val="19"/>
                <w:szCs w:val="19"/>
              </w:rPr>
              <w:t xml:space="preserve">Localisation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7770D"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Phase 1 Risk</w:t>
            </w:r>
          </w:p>
        </w:tc>
        <w:tc>
          <w:tcPr>
            <w:tcW w:type="dxa" w:w="7960"/>
            <w:tcBorders>
              <w:top w:val="none" w:color="FFFFFF" w:sz="0"/>
              <w:left w:val="none" w:color="FFFFFF" w:sz="0"/>
              <w:bottom w:val="none" w:color="FFFFFF" w:sz="0"/>
              <w:right w:val="none" w:color="FFFFFF" w:sz="0"/>
            </w:tcBorders>
            <w:shd w:fill="FEF9E7" w:val="clear"/>
            <w:tcMar>
              <w:top w:type="dxa" w:w="100"/>
              <w:left w:type="dxa" w:w="180"/>
              <w:bottom w:type="dxa" w:w="100"/>
              <w:right w:type="dxa" w:w="160"/>
            </w:tcMar>
          </w:tcPr>
          <w:p>
            <w:r>
              <w:rPr>
                <w:rFonts w:ascii="Calibri" w:cs="Calibri" w:eastAsia="Calibri" w:hAnsi="Calibri"/>
                <w:color w:val="3A3A3A"/>
                <w:sz w:val="20"/>
                <w:szCs w:val="20"/>
              </w:rPr>
              <w:t xml:space="preserve">The localisation framework (currency, date format, i18n) MUST be wired before you build any user-facing screen. Retrofitting it after screens exist costs 2x. Do not skip ahead to the AI flows.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5060"/>
        <w:gridCol w:w="1100"/>
      </w:tblGrid>
      <w:tr>
        <w:trPr>
          <w:tblHeader/>
        </w:trPr>
        <w:tc>
          <w:tcPr>
            <w:tcW w:type="dxa" w:w="7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Day</w:t>
            </w:r>
          </w:p>
        </w:tc>
        <w:tc>
          <w:tcPr>
            <w:tcW w:type="dxa" w:w="9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Date</w:t>
            </w:r>
          </w:p>
        </w:tc>
        <w:tc>
          <w:tcPr>
            <w:tcW w:type="dxa" w:w="16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Focus</w:t>
            </w:r>
          </w:p>
        </w:tc>
        <w:tc>
          <w:tcPr>
            <w:tcW w:type="dxa" w:w="506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Gets Built</w:t>
            </w:r>
          </w:p>
        </w:tc>
        <w:tc>
          <w:tcPr>
            <w:tcW w:type="dxa" w:w="11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Hrs</w:t>
            </w:r>
          </w:p>
        </w:tc>
      </w:tr>
      <w:tr>
        <w:tc>
          <w:tcPr>
            <w:tcW w:type="dxa" w:w="9360"/>
            <w:gridSpan w:val="5"/>
            <w:tcBorders>
              <w:top w:val="single" w:color="DDDDDD" w:sz="1"/>
              <w:left w:val="single" w:color="DDDDDD" w:sz="1"/>
              <w:bottom w:val="single" w:color="DDDDDD" w:sz="1"/>
              <w:right w:val="single" w:color="DDDDDD" w:sz="1"/>
            </w:tcBorders>
            <w:shd w:fill="155E5E" w:val="clear"/>
            <w:tcMar>
              <w:top w:type="dxa" w:w="60"/>
              <w:left w:type="dxa" w:w="160"/>
              <w:bottom w:type="dxa" w:w="60"/>
              <w:right w:type="dxa" w:w="160"/>
            </w:tcMar>
          </w:tcPr>
          <w:p>
            <w:pPr>
              <w:jc w:val="center"/>
            </w:pPr>
            <w:r>
              <w:rPr>
                <w:rFonts w:ascii="Calibri" w:cs="Calibri" w:eastAsia="Calibri" w:hAnsi="Calibri"/>
                <w:b/>
                <w:bCs/>
                <w:color w:val="FFFFFF"/>
                <w:sz w:val="21"/>
                <w:szCs w:val="21"/>
              </w:rPr>
              <w:t xml:space="preserve">WEEK 1   |   Phase 1: Foundation   |   April 5–11</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5</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Monorepo setup</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Turborepo + Next.js 14 (App Router) + NestJS + Expo Managed + Prisma. Shared packages structure. Environment config. GitHub repo + Actions CI/CD scaffold.</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6</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Prisma schema</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Full data model from spec: Library, User, Member, Toy, Loan, ConditionRecord, Reservation, WaitlistEntry, NotificationLog, Payment. Wire to Postgres. Run first migration.</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D3</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7</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Authentication</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Email/password auth + JWT (15min access, refresh rotation, httpOnly cookies). Email verification via Postmark. Role guards (operator / member). 18+ age gate field.</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D4</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8</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Multi-tenancy</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Library slug routing. All queries scoped to library_id. Operator 8-step onboarding wizard (Steps 1–4: account, locale, library type, settings).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D5</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9</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Localisation + Stripe Connect</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Currency in minor units + ISO code. Date format per locale (DD/MM vs MM/DD). react-i18next scaffold. Operator onboarding Steps 5–8: Stripe Connect, DPA acknowledgement, COPPA consent, go-live URL.</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D6</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COPPA + auth polish</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COPPA consent checkbox + plain-language notice for US members. Children's data fields (age int + optional name string). Auth edge cases: email verify flows, password reset, session expiry.</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4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D7</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11</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Buffer + review</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Week 1 integration review. Fix any auth/multi-tenancy edge cases. Write basic auth E2E tests. Deploy Phase 1 to staging. Do NOT start Phase 2 until auth + tenancy + locale are solid.</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3 hrs</w:t>
            </w:r>
          </w:p>
        </w:tc>
      </w:tr>
    </w:tbl>
    <w:p>
      <w:pPr>
        <w:spacing w:after="12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Week 2  —  April 12 to 18   |   Phase 2: AI &amp; Catalogue (Part 1)</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200"/>
        <w:gridCol w:w="1000"/>
      </w:tblGrid>
      <w:tr>
        <w:tc>
          <w:tcPr>
            <w:tcW w:type="dxa" w:w="2000"/>
            <w:tcBorders>
              <w:top w:val="none" w:color="FFFFFF" w:sz="0"/>
              <w:left w:val="none" w:color="FFFFFF" w:sz="0"/>
              <w:bottom w:val="none" w:color="FFFFFF" w:sz="0"/>
              <w:right w:val="none" w:color="FFFFFF" w:sz="0"/>
            </w:tcBorders>
            <w:shd w:fill="1A7A7A"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Phase 2</w:t>
            </w:r>
          </w:p>
          <w:p>
            <w:pPr>
              <w:spacing w:before="50"/>
              <w:jc w:val="center"/>
            </w:pPr>
            <w:r>
              <w:rPr>
                <w:rFonts w:ascii="Calibri" w:cs="Calibri" w:eastAsia="Calibri" w:hAnsi="Calibri"/>
                <w:b/>
                <w:bCs/>
                <w:color w:val="FFFFFF"/>
                <w:sz w:val="19"/>
                <w:szCs w:val="19"/>
              </w:rPr>
              <w:t xml:space="preserve">AI &amp; Catalogue</w:t>
            </w:r>
          </w:p>
        </w:tc>
        <w:tc>
          <w:tcPr>
            <w:tcW w:type="dxa" w:w="5160"/>
            <w:tcBorders>
              <w:top w:val="none" w:color="FFFFFF" w:sz="0"/>
              <w:left w:val="none" w:color="FFFFFF" w:sz="0"/>
              <w:bottom w:val="none" w:color="FFFFFF" w:sz="0"/>
              <w:right w:val="none" w:color="FFFFFF" w:sz="0"/>
            </w:tcBorders>
            <w:shd w:fill="F4F4F4" w:val="clear"/>
            <w:tcMar>
              <w:top w:type="dxa" w:w="100"/>
              <w:left w:type="dxa" w:w="180"/>
              <w:bottom w:type="dxa" w:w="100"/>
              <w:right w:type="dxa" w:w="160"/>
            </w:tcMar>
            <w:vAlign w:val="center"/>
          </w:tcPr>
          <w:p>
            <w:r>
              <w:rPr>
                <w:rFonts w:ascii="Calibri" w:cs="Calibri" w:eastAsia="Calibri" w:hAnsi="Calibri"/>
                <w:b/>
                <w:bCs/>
                <w:color w:val="3A3A3A"/>
                <w:sz w:val="21"/>
                <w:szCs w:val="21"/>
              </w:rPr>
              <w:t xml:space="preserve">April 12–18  (Days 8–14)</w:t>
            </w:r>
          </w:p>
        </w:tc>
        <w:tc>
          <w:tcPr>
            <w:tcW w:type="dxa" w:w="1200"/>
            <w:tcBorders>
              <w:top w:val="none" w:color="FFFFFF" w:sz="0"/>
              <w:left w:val="none" w:color="FFFFFF" w:sz="0"/>
              <w:bottom w:val="none" w:color="FFFFFF" w:sz="0"/>
              <w:right w:val="none" w:color="FFFFFF" w:sz="0"/>
            </w:tcBorders>
            <w:shd w:fill="F4F4F4" w:val="clear"/>
            <w:tcMar>
              <w:top w:type="dxa" w:w="100"/>
              <w:left w:type="dxa" w:w="120"/>
              <w:bottom w:type="dxa" w:w="100"/>
              <w:right w:type="dxa" w:w="120"/>
            </w:tcMar>
            <w:vAlign w:val="center"/>
          </w:tcPr>
          <w:p>
            <w:pPr>
              <w:jc w:val="center"/>
            </w:pPr>
            <w:r>
              <w:rPr>
                <w:rFonts w:ascii="Calibri" w:cs="Calibri" w:eastAsia="Calibri" w:hAnsi="Calibri"/>
                <w:color w:val="888888"/>
                <w:sz w:val="18"/>
                <w:szCs w:val="18"/>
              </w:rPr>
              <w:t xml:space="preserve">Target</w:t>
            </w:r>
          </w:p>
          <w:p>
            <w:pPr>
              <w:jc w:val="center"/>
            </w:pPr>
            <w:r>
              <w:rPr>
                <w:rFonts w:ascii="Calibri" w:cs="Calibri" w:eastAsia="Calibri" w:hAnsi="Calibri"/>
                <w:b/>
                <w:bCs/>
                <w:color w:val="1A7A7A"/>
                <w:sz w:val="22"/>
                <w:szCs w:val="22"/>
              </w:rPr>
              <w:t xml:space="preserve">40–50 hrs</w:t>
            </w:r>
          </w:p>
        </w:tc>
        <w:tc>
          <w:tcPr>
            <w:tcW w:type="dxa" w:w="1000"/>
            <w:tcBorders>
              <w:top w:val="none" w:color="FFFFFF" w:sz="0"/>
              <w:left w:val="none" w:color="FFFFFF" w:sz="0"/>
              <w:bottom w:val="none" w:color="FFFFFF" w:sz="0"/>
              <w:right w:val="none" w:color="FFFFFF" w:sz="0"/>
            </w:tcBorders>
            <w:shd w:fill="FDECEA" w:val="clear"/>
            <w:tcMar>
              <w:top w:type="dxa" w:w="100"/>
              <w:left w:type="dxa" w:w="100"/>
              <w:bottom w:type="dxa" w:w="100"/>
              <w:right w:type="dxa" w:w="100"/>
            </w:tcMar>
            <w:vAlign w:val="center"/>
          </w:tcPr>
          <w:p>
            <w:pPr>
              <w:jc w:val="center"/>
            </w:pPr>
            <w:r>
              <w:rPr>
                <w:rFonts w:ascii="Calibri" w:cs="Calibri" w:eastAsia="Calibri" w:hAnsi="Calibri"/>
                <w:color w:val="888888"/>
                <w:sz w:val="17"/>
                <w:szCs w:val="17"/>
              </w:rPr>
              <w:t xml:space="preserve">Risk</w:t>
            </w:r>
          </w:p>
          <w:p>
            <w:pPr>
              <w:jc w:val="center"/>
            </w:pPr>
            <w:r>
              <w:rPr>
                <w:rFonts w:ascii="Calibri" w:cs="Calibri" w:eastAsia="Calibri" w:hAnsi="Calibri"/>
                <w:b/>
                <w:bCs/>
                <w:color w:val="B03A2E"/>
                <w:sz w:val="19"/>
                <w:szCs w:val="19"/>
              </w:rPr>
              <w:t xml:space="preserve">AI accuracy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03A2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Highest Risk Week</w:t>
            </w:r>
          </w:p>
        </w:tc>
        <w:tc>
          <w:tcPr>
            <w:tcW w:type="dxa" w:w="7960"/>
            <w:tcBorders>
              <w:top w:val="none" w:color="FFFFFF" w:sz="0"/>
              <w:left w:val="none" w:color="FFFFFF" w:sz="0"/>
              <w:bottom w:val="none" w:color="FFFFFF" w:sz="0"/>
              <w:right w:val="none" w:color="FFFFFF" w:sz="0"/>
            </w:tcBorders>
            <w:shd w:fill="FDECEA" w:val="clear"/>
            <w:tcMar>
              <w:top w:type="dxa" w:w="100"/>
              <w:left w:type="dxa" w:w="180"/>
              <w:bottom w:type="dxa" w:w="100"/>
              <w:right w:type="dxa" w:w="160"/>
            </w:tcMar>
          </w:tcPr>
          <w:p>
            <w:r>
              <w:rPr>
                <w:rFonts w:ascii="Calibri" w:cs="Calibri" w:eastAsia="Calibri" w:hAnsi="Calibri"/>
                <w:color w:val="3A3A3A"/>
                <w:sz w:val="20"/>
                <w:szCs w:val="20"/>
              </w:rPr>
              <w:t xml:space="preserve">The AI vision flows are the biggest unknown in the entire build. Do not assume GPT-4o will identify toys accurately on the first prompt. Budget Day 10 entirely for prompt iteration with real toy photos. Get to &gt;85% accuracy on known branded toys before wiring up the full flow.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5060"/>
        <w:gridCol w:w="1100"/>
      </w:tblGrid>
      <w:tr>
        <w:trPr>
          <w:tblHeader/>
        </w:trPr>
        <w:tc>
          <w:tcPr>
            <w:tcW w:type="dxa" w:w="7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Day</w:t>
            </w:r>
          </w:p>
        </w:tc>
        <w:tc>
          <w:tcPr>
            <w:tcW w:type="dxa" w:w="9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Date</w:t>
            </w:r>
          </w:p>
        </w:tc>
        <w:tc>
          <w:tcPr>
            <w:tcW w:type="dxa" w:w="16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Focus</w:t>
            </w:r>
          </w:p>
        </w:tc>
        <w:tc>
          <w:tcPr>
            <w:tcW w:type="dxa" w:w="506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Gets Built</w:t>
            </w:r>
          </w:p>
        </w:tc>
        <w:tc>
          <w:tcPr>
            <w:tcW w:type="dxa" w:w="11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Hrs</w:t>
            </w:r>
          </w:p>
        </w:tc>
      </w:tr>
      <w:tr>
        <w:tc>
          <w:tcPr>
            <w:tcW w:type="dxa" w:w="9360"/>
            <w:gridSpan w:val="5"/>
            <w:tcBorders>
              <w:top w:val="single" w:color="DDDDDD" w:sz="1"/>
              <w:left w:val="single" w:color="DDDDDD" w:sz="1"/>
              <w:bottom w:val="single" w:color="DDDDDD" w:sz="1"/>
              <w:right w:val="single" w:color="DDDDDD" w:sz="1"/>
            </w:tcBorders>
            <w:shd w:fill="1A7A7A" w:val="clear"/>
            <w:tcMar>
              <w:top w:type="dxa" w:w="60"/>
              <w:left w:type="dxa" w:w="160"/>
              <w:bottom w:type="dxa" w:w="60"/>
              <w:right w:type="dxa" w:w="160"/>
            </w:tcMar>
          </w:tcPr>
          <w:p>
            <w:pPr>
              <w:jc w:val="center"/>
            </w:pPr>
            <w:r>
              <w:rPr>
                <w:rFonts w:ascii="Calibri" w:cs="Calibri" w:eastAsia="Calibri" w:hAnsi="Calibri"/>
                <w:b/>
                <w:bCs/>
                <w:color w:val="FFFFFF"/>
                <w:sz w:val="21"/>
                <w:szCs w:val="21"/>
              </w:rPr>
              <w:t xml:space="preserve">WEEK 2   |   Phase 2: AI &amp; Catalogue (Part 1)   |   April 12–18</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D8</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12</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AI service layer</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Model-agnostic AI service class. OpenAI GPT-4o Vision integration. Structured JSON output spec (toy_name, brand, category, age_range, rrp, piece_count, confidence, alt_text). S3 photo upload with presigned URLs.</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D9</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13</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AI ingest — Expo camera</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React Native Expo camera flow. 1–4 photo capture. Upload to S3. Trigger NestJS AI identification endpoint. Return structured JSON to confirmation form.</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D10</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14</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AI prompt iteration</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Dedicated prompt engineering day. Test against 20–30 real toy photos. Iterate system prompt. Handle edge cases: unbranded, generic, vintage, partial views. Target &gt;85% accuracy on branded toys before proceeding.</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D11</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15</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Toy catalogue CRUD</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Create, edit, retire flows. S3 photo upload (operator web). Colour status field (Green/Amber/Red/Grey). Alt text field (AI-generated, operator-editable). Stock photo flag. QR code generation (display + download — PDF print is V2).</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D12</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16</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Toy status state machine</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State transitions: Available → Reserved → OnLoan → UnderInspection → Available / Retired. Invalid transitions rejected at API layer with clear error response. NestJS guards enforce state.</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4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D13</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17</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Colour status system</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Green/Amber/Red/Grey across all operator surfaces. Every badge paired with text label: Ready / Needs Review / Not Available / Stock Photo. WCAG — never colour alone.</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3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D14</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18</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Buffer + operator dashboard skeleton</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Operator dashboard shell: today at a glance, action queue (Amber toys), quick loan / quick return buttons, recent activity feed. Wire up real data from Day 11 catalogue.</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4 hrs</w:t>
            </w:r>
          </w:p>
        </w:tc>
      </w:tr>
    </w:tbl>
    <w:p>
      <w:pPr>
        <w:spacing w:after="12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Week 3  —  April 19 to 25   |   Phase 2 cont. + Phase 3: Member Portal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200"/>
        <w:gridCol w:w="1000"/>
      </w:tblGrid>
      <w:tr>
        <w:tc>
          <w:tcPr>
            <w:tcW w:type="dxa" w:w="2000"/>
            <w:tcBorders>
              <w:top w:val="none" w:color="FFFFFF" w:sz="0"/>
              <w:left w:val="none" w:color="FFFFFF" w:sz="0"/>
              <w:bottom w:val="none" w:color="FFFFFF" w:sz="0"/>
              <w:right w:val="none" w:color="FFFFFF" w:sz="0"/>
            </w:tcBorders>
            <w:shd w:fill="1A4F8A"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Phase 2–3</w:t>
            </w:r>
          </w:p>
          <w:p>
            <w:pPr>
              <w:spacing w:before="50"/>
              <w:jc w:val="center"/>
            </w:pPr>
            <w:r>
              <w:rPr>
                <w:rFonts w:ascii="Calibri" w:cs="Calibri" w:eastAsia="Calibri" w:hAnsi="Calibri"/>
                <w:b/>
                <w:bCs/>
                <w:color w:val="FFFFFF"/>
                <w:sz w:val="19"/>
                <w:szCs w:val="19"/>
              </w:rPr>
              <w:t xml:space="preserve">AI Inspection + Member Portal</w:t>
            </w:r>
          </w:p>
        </w:tc>
        <w:tc>
          <w:tcPr>
            <w:tcW w:type="dxa" w:w="5160"/>
            <w:tcBorders>
              <w:top w:val="none" w:color="FFFFFF" w:sz="0"/>
              <w:left w:val="none" w:color="FFFFFF" w:sz="0"/>
              <w:bottom w:val="none" w:color="FFFFFF" w:sz="0"/>
              <w:right w:val="none" w:color="FFFFFF" w:sz="0"/>
            </w:tcBorders>
            <w:shd w:fill="F4F4F4" w:val="clear"/>
            <w:tcMar>
              <w:top w:type="dxa" w:w="100"/>
              <w:left w:type="dxa" w:w="180"/>
              <w:bottom w:type="dxa" w:w="100"/>
              <w:right w:type="dxa" w:w="160"/>
            </w:tcMar>
            <w:vAlign w:val="center"/>
          </w:tcPr>
          <w:p>
            <w:r>
              <w:rPr>
                <w:rFonts w:ascii="Calibri" w:cs="Calibri" w:eastAsia="Calibri" w:hAnsi="Calibri"/>
                <w:b/>
                <w:bCs/>
                <w:color w:val="3A3A3A"/>
                <w:sz w:val="21"/>
                <w:szCs w:val="21"/>
              </w:rPr>
              <w:t xml:space="preserve">April 19–25  (Days 15–21)</w:t>
            </w:r>
          </w:p>
        </w:tc>
        <w:tc>
          <w:tcPr>
            <w:tcW w:type="dxa" w:w="1200"/>
            <w:tcBorders>
              <w:top w:val="none" w:color="FFFFFF" w:sz="0"/>
              <w:left w:val="none" w:color="FFFFFF" w:sz="0"/>
              <w:bottom w:val="none" w:color="FFFFFF" w:sz="0"/>
              <w:right w:val="none" w:color="FFFFFF" w:sz="0"/>
            </w:tcBorders>
            <w:shd w:fill="F4F4F4" w:val="clear"/>
            <w:tcMar>
              <w:top w:type="dxa" w:w="100"/>
              <w:left w:type="dxa" w:w="120"/>
              <w:bottom w:type="dxa" w:w="100"/>
              <w:right w:type="dxa" w:w="120"/>
            </w:tcMar>
            <w:vAlign w:val="center"/>
          </w:tcPr>
          <w:p>
            <w:pPr>
              <w:jc w:val="center"/>
            </w:pPr>
            <w:r>
              <w:rPr>
                <w:rFonts w:ascii="Calibri" w:cs="Calibri" w:eastAsia="Calibri" w:hAnsi="Calibri"/>
                <w:color w:val="888888"/>
                <w:sz w:val="18"/>
                <w:szCs w:val="18"/>
              </w:rPr>
              <w:t xml:space="preserve">Target</w:t>
            </w:r>
          </w:p>
          <w:p>
            <w:pPr>
              <w:jc w:val="center"/>
            </w:pPr>
            <w:r>
              <w:rPr>
                <w:rFonts w:ascii="Calibri" w:cs="Calibri" w:eastAsia="Calibri" w:hAnsi="Calibri"/>
                <w:b/>
                <w:bCs/>
                <w:color w:val="1A4F8A"/>
                <w:sz w:val="22"/>
                <w:szCs w:val="22"/>
              </w:rPr>
              <w:t xml:space="preserve">24–31 hrs</w:t>
            </w:r>
          </w:p>
        </w:tc>
        <w:tc>
          <w:tcPr>
            <w:tcW w:type="dxa" w:w="1000"/>
            <w:tcBorders>
              <w:top w:val="none" w:color="FFFFFF" w:sz="0"/>
              <w:left w:val="none" w:color="FFFFFF" w:sz="0"/>
              <w:bottom w:val="none" w:color="FFFFFF" w:sz="0"/>
              <w:right w:val="none" w:color="FFFFFF" w:sz="0"/>
            </w:tcBorders>
            <w:shd w:fill="FDECEA" w:val="clear"/>
            <w:tcMar>
              <w:top w:type="dxa" w:w="100"/>
              <w:left w:type="dxa" w:w="100"/>
              <w:bottom w:type="dxa" w:w="100"/>
              <w:right w:type="dxa" w:w="100"/>
            </w:tcMar>
            <w:vAlign w:val="center"/>
          </w:tcPr>
          <w:p>
            <w:pPr>
              <w:jc w:val="center"/>
            </w:pPr>
            <w:r>
              <w:rPr>
                <w:rFonts w:ascii="Calibri" w:cs="Calibri" w:eastAsia="Calibri" w:hAnsi="Calibri"/>
                <w:color w:val="888888"/>
                <w:sz w:val="17"/>
                <w:szCs w:val="17"/>
              </w:rPr>
              <w:t xml:space="preserve">Risk</w:t>
            </w:r>
          </w:p>
          <w:p>
            <w:pPr>
              <w:jc w:val="center"/>
            </w:pPr>
            <w:r>
              <w:rPr>
                <w:rFonts w:ascii="Calibri" w:cs="Calibri" w:eastAsia="Calibri" w:hAnsi="Calibri"/>
                <w:b/>
                <w:bCs/>
                <w:color w:val="B03A2E"/>
                <w:sz w:val="19"/>
                <w:szCs w:val="19"/>
              </w:rPr>
              <w:t xml:space="preserve">Concurrency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5060"/>
        <w:gridCol w:w="1100"/>
      </w:tblGrid>
      <w:tr>
        <w:trPr>
          <w:tblHeader/>
        </w:trPr>
        <w:tc>
          <w:tcPr>
            <w:tcW w:type="dxa" w:w="7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Day</w:t>
            </w:r>
          </w:p>
        </w:tc>
        <w:tc>
          <w:tcPr>
            <w:tcW w:type="dxa" w:w="9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Date</w:t>
            </w:r>
          </w:p>
        </w:tc>
        <w:tc>
          <w:tcPr>
            <w:tcW w:type="dxa" w:w="16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Focus</w:t>
            </w:r>
          </w:p>
        </w:tc>
        <w:tc>
          <w:tcPr>
            <w:tcW w:type="dxa" w:w="506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Gets Built</w:t>
            </w:r>
          </w:p>
        </w:tc>
        <w:tc>
          <w:tcPr>
            <w:tcW w:type="dxa" w:w="11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Hrs</w:t>
            </w:r>
          </w:p>
        </w:tc>
      </w:tr>
      <w:tr>
        <w:tc>
          <w:tcPr>
            <w:tcW w:type="dxa" w:w="9360"/>
            <w:gridSpan w:val="5"/>
            <w:tcBorders>
              <w:top w:val="single" w:color="DDDDDD" w:sz="1"/>
              <w:left w:val="single" w:color="DDDDDD" w:sz="1"/>
              <w:bottom w:val="single" w:color="DDDDDD" w:sz="1"/>
              <w:right w:val="single" w:color="DDDDDD" w:sz="1"/>
            </w:tcBorders>
            <w:shd w:fill="1A4F8A" w:val="clear"/>
            <w:tcMar>
              <w:top w:type="dxa" w:w="60"/>
              <w:left w:type="dxa" w:w="160"/>
              <w:bottom w:type="dxa" w:w="60"/>
              <w:right w:type="dxa" w:w="160"/>
            </w:tcMar>
          </w:tcPr>
          <w:p>
            <w:pPr>
              <w:jc w:val="center"/>
            </w:pPr>
            <w:r>
              <w:rPr>
                <w:rFonts w:ascii="Calibri" w:cs="Calibri" w:eastAsia="Calibri" w:hAnsi="Calibri"/>
                <w:b/>
                <w:bCs/>
                <w:color w:val="FFFFFF"/>
                <w:sz w:val="21"/>
                <w:szCs w:val="21"/>
              </w:rPr>
              <w:t xml:space="preserve">WEEK 3   |   Phase 2 finish + Phase 3: Member Portal   |   April 19–25</w:t>
            </w:r>
          </w:p>
        </w:tc>
      </w:tr>
      <w:tr>
        <w:tc>
          <w:tcPr>
            <w:tcW w:type="dxa" w:w="7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D15</w:t>
            </w:r>
          </w:p>
        </w:tc>
        <w:tc>
          <w:tcPr>
            <w:tcW w:type="dxa" w:w="9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color w:val="3A3A3A"/>
                <w:sz w:val="19"/>
                <w:szCs w:val="19"/>
              </w:rPr>
              <w:t xml:space="preserve">Apr 19</w:t>
            </w:r>
          </w:p>
        </w:tc>
        <w:tc>
          <w:tcPr>
            <w:tcW w:type="dxa" w:w="16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AI condition inspection</w:t>
            </w:r>
          </w:p>
        </w:tc>
        <w:tc>
          <w:tcPr>
            <w:tcW w:type="dxa" w:w="506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tcPr>
          <w:p>
            <w:r>
              <w:rPr>
                <w:rFonts w:ascii="Calibri" w:cs="Calibri" w:eastAsia="Calibri" w:hAnsi="Calibri"/>
                <w:color w:val="3A3A3A"/>
                <w:sz w:val="19"/>
                <w:szCs w:val="19"/>
              </w:rPr>
              <w:t xml:space="preserve">Return flow: scan QR → display outgoing condition photos + piece count. Capture 1–4 return photos. Side-by-side comparison view. Send to GPT-4o Vision for condition delta assessment.</w:t>
            </w:r>
          </w:p>
        </w:tc>
        <w:tc>
          <w:tcPr>
            <w:tcW w:type="dxa" w:w="11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D16</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20</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Condition inspection — decision flow</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AI returns: condition_before, condition_after, damage_observations, confidence, recommendation. Colour assignment per acceptance criteria. Operator decision: no charge / damage fee / flag. Raw AI response stored permanently.</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D17</w:t>
            </w:r>
          </w:p>
        </w:tc>
        <w:tc>
          <w:tcPr>
            <w:tcW w:type="dxa" w:w="9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21</w:t>
            </w:r>
          </w:p>
        </w:tc>
        <w:tc>
          <w:tcPr>
            <w:tcW w:type="dxa" w:w="16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CSV migration</w:t>
            </w:r>
          </w:p>
        </w:tc>
        <w:tc>
          <w:tcPr>
            <w:tcW w:type="dxa" w:w="506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tcPr>
          <w:p>
            <w:r>
              <w:rPr>
                <w:rFonts w:ascii="Calibri" w:cs="Calibri" w:eastAsia="Calibri" w:hAnsi="Calibri"/>
                <w:color w:val="3A3A3A"/>
                <w:sz w:val="19"/>
                <w:szCs w:val="19"/>
              </w:rPr>
              <w:t xml:space="preserve">SETLS parser: recognise exact export format, auto field mapping, preview, confirm, import. MiBase NZ parser: same. Toy catalogue + member list + loan history. Stock photo flag on all imported toys.</w:t>
            </w:r>
          </w:p>
        </w:tc>
        <w:tc>
          <w:tcPr>
            <w:tcW w:type="dxa" w:w="11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4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D18</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22</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WebSocket real-time layer</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NestJS WebSocket gateway. Library-scoped connections (operators and members in same library). Toy status change events. Concurrent reservation conflict: second attempt returns immediate error. Target &lt;2s propagation.</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D19</w:t>
            </w:r>
          </w:p>
        </w:tc>
        <w:tc>
          <w:tcPr>
            <w:tcW w:type="dxa" w:w="9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23</w:t>
            </w:r>
          </w:p>
        </w:tc>
        <w:tc>
          <w:tcPr>
            <w:tcW w:type="dxa" w:w="16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Member portal — catalogue</w:t>
            </w:r>
          </w:p>
        </w:tc>
        <w:tc>
          <w:tcPr>
            <w:tcW w:type="dxa" w:w="506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tcPr>
          <w:p>
            <w:r>
              <w:rPr>
                <w:rFonts w:ascii="Calibri" w:cs="Calibri" w:eastAsia="Calibri" w:hAnsi="Calibri"/>
                <w:color w:val="3A3A3A"/>
                <w:sz w:val="19"/>
                <w:szCs w:val="19"/>
              </w:rPr>
              <w:t xml:space="preserve">Visual grid: large photos, toy name, age range, real-time availability badge + text label, alt text. Filter by age (defaults to child ages in profile), category, availability. Search by name/brand.</w:t>
            </w:r>
          </w:p>
        </w:tc>
        <w:tc>
          <w:tcPr>
            <w:tcW w:type="dxa" w:w="11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D20</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24</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Reservation + waitlist</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Reserve flow: hold toy, 48hr window after next open session. Waitlist: join queue, position shown immediately. Concurrent conflict handling server-side. My Shelf: borrowed toys grid, due date colour coding (green/amber/red + text).</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D21</w:t>
            </w:r>
          </w:p>
        </w:tc>
        <w:tc>
          <w:tcPr>
            <w:tcW w:type="dxa" w:w="9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25</w:t>
            </w:r>
          </w:p>
        </w:tc>
        <w:tc>
          <w:tcPr>
            <w:tcW w:type="dxa" w:w="16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Member account + buffer</w:t>
            </w:r>
          </w:p>
        </w:tc>
        <w:tc>
          <w:tcPr>
            <w:tcW w:type="dxa" w:w="506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tcPr>
          <w:p>
            <w:r>
              <w:rPr>
                <w:rFonts w:ascii="Calibri" w:cs="Calibri" w:eastAsia="Calibri" w:hAnsi="Calibri"/>
                <w:color w:val="3A3A3A"/>
                <w:sz w:val="19"/>
                <w:szCs w:val="19"/>
              </w:rPr>
              <w:t xml:space="preserve">Account: Stripe Customer Portal for billing. Children's profile (add/edit ages + optional name, independent delete). Notification preferences (basic). Buffer for any Phase 2–3 debt.</w:t>
            </w:r>
          </w:p>
        </w:tc>
        <w:tc>
          <w:tcPr>
            <w:tcW w:type="dxa" w:w="1100"/>
            <w:tcBorders>
              <w:top w:val="single" w:color="DDDDDD" w:sz="1"/>
              <w:left w:val="single" w:color="DDDDDD" w:sz="1"/>
              <w:bottom w:val="single" w:color="DDDDDD" w:sz="1"/>
              <w:right w:val="single" w:color="DDDDDD" w:sz="1"/>
            </w:tcBorders>
            <w:shd w:fill="EAF2FB"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4 hrs</w:t>
            </w:r>
          </w:p>
        </w:tc>
      </w:tr>
    </w:tbl>
    <w:p>
      <w:pPr>
        <w:spacing w:after="120" w:before="0"/>
      </w:pPr>
      <w:r>
        <w:t xml:space="preserve"/>
      </w:r>
    </w:p>
    <w:p>
      <w:pPr>
        <w:spacing w:after="0" w:before="0"/>
      </w:pPr>
      <w:r>
        <w:br w:type="page"/>
      </w:r>
    </w:p>
    <w:p>
      <w:pPr>
        <w:pStyle w:val="Heading2"/>
        <w:pBdr>
          <w:bottom w:val="single" w:color="DDDDDD" w:sz="4" w:space="1"/>
        </w:pBdr>
        <w:spacing w:after="80" w:before="200"/>
      </w:pPr>
      <w:r>
        <w:rPr>
          <w:rFonts w:ascii="Calibri" w:cs="Calibri" w:eastAsia="Calibri" w:hAnsi="Calibri"/>
          <w:b/>
          <w:bCs/>
          <w:color w:val="155E5E"/>
          <w:sz w:val="26"/>
          <w:szCs w:val="26"/>
        </w:rPr>
        <w:t xml:space="preserve">Week 4  —  April 26 to 30   |   Phase 4 + 5: Notifications, Payments &amp; Launch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200"/>
        <w:gridCol w:w="1000"/>
      </w:tblGrid>
      <w:tr>
        <w:tc>
          <w:tcPr>
            <w:tcW w:type="dxa" w:w="2000"/>
            <w:tcBorders>
              <w:top w:val="none" w:color="FFFFFF" w:sz="0"/>
              <w:left w:val="none" w:color="FFFFFF" w:sz="0"/>
              <w:bottom w:val="none" w:color="FFFFFF" w:sz="0"/>
              <w:right w:val="none" w:color="FFFFFF" w:sz="0"/>
            </w:tcBorders>
            <w:shd w:fill="5B2C8D" w:val="clear"/>
            <w:tcMar>
              <w:top w:type="dxa" w:w="120"/>
              <w:left w:type="dxa" w:w="160"/>
              <w:bottom w:type="dxa" w:w="120"/>
              <w:right w:type="dxa" w:w="160"/>
            </w:tcMar>
            <w:vAlign w:val="center"/>
          </w:tcPr>
          <w:p>
            <w:pPr>
              <w:jc w:val="center"/>
            </w:pPr>
            <w:r>
              <w:rPr>
                <w:rFonts w:ascii="Calibri" w:cs="Calibri" w:eastAsia="Calibri" w:hAnsi="Calibri"/>
                <w:b/>
                <w:bCs/>
                <w:color w:val="FFFFFF"/>
                <w:sz w:val="32"/>
                <w:szCs w:val="32"/>
              </w:rPr>
              <w:t xml:space="preserve">Phase 4–5</w:t>
            </w:r>
          </w:p>
          <w:p>
            <w:pPr>
              <w:spacing w:before="50"/>
              <w:jc w:val="center"/>
            </w:pPr>
            <w:r>
              <w:rPr>
                <w:rFonts w:ascii="Calibri" w:cs="Calibri" w:eastAsia="Calibri" w:hAnsi="Calibri"/>
                <w:b/>
                <w:bCs/>
                <w:color w:val="FFFFFF"/>
                <w:sz w:val="19"/>
                <w:szCs w:val="19"/>
              </w:rPr>
              <w:t xml:space="preserve">Notifications + Launch Readiness</w:t>
            </w:r>
          </w:p>
        </w:tc>
        <w:tc>
          <w:tcPr>
            <w:tcW w:type="dxa" w:w="5160"/>
            <w:tcBorders>
              <w:top w:val="none" w:color="FFFFFF" w:sz="0"/>
              <w:left w:val="none" w:color="FFFFFF" w:sz="0"/>
              <w:bottom w:val="none" w:color="FFFFFF" w:sz="0"/>
              <w:right w:val="none" w:color="FFFFFF" w:sz="0"/>
            </w:tcBorders>
            <w:shd w:fill="F4F4F4" w:val="clear"/>
            <w:tcMar>
              <w:top w:type="dxa" w:w="100"/>
              <w:left w:type="dxa" w:w="180"/>
              <w:bottom w:type="dxa" w:w="100"/>
              <w:right w:type="dxa" w:w="160"/>
            </w:tcMar>
            <w:vAlign w:val="center"/>
          </w:tcPr>
          <w:p>
            <w:r>
              <w:rPr>
                <w:rFonts w:ascii="Calibri" w:cs="Calibri" w:eastAsia="Calibri" w:hAnsi="Calibri"/>
                <w:b/>
                <w:bCs/>
                <w:color w:val="3A3A3A"/>
                <w:sz w:val="21"/>
                <w:szCs w:val="21"/>
              </w:rPr>
              <w:t xml:space="preserve">April 26–30  (Days 22–25)</w:t>
            </w:r>
          </w:p>
        </w:tc>
        <w:tc>
          <w:tcPr>
            <w:tcW w:type="dxa" w:w="1200"/>
            <w:tcBorders>
              <w:top w:val="none" w:color="FFFFFF" w:sz="0"/>
              <w:left w:val="none" w:color="FFFFFF" w:sz="0"/>
              <w:bottom w:val="none" w:color="FFFFFF" w:sz="0"/>
              <w:right w:val="none" w:color="FFFFFF" w:sz="0"/>
            </w:tcBorders>
            <w:shd w:fill="F4F4F4" w:val="clear"/>
            <w:tcMar>
              <w:top w:type="dxa" w:w="100"/>
              <w:left w:type="dxa" w:w="120"/>
              <w:bottom w:type="dxa" w:w="100"/>
              <w:right w:type="dxa" w:w="120"/>
            </w:tcMar>
            <w:vAlign w:val="center"/>
          </w:tcPr>
          <w:p>
            <w:pPr>
              <w:jc w:val="center"/>
            </w:pPr>
            <w:r>
              <w:rPr>
                <w:rFonts w:ascii="Calibri" w:cs="Calibri" w:eastAsia="Calibri" w:hAnsi="Calibri"/>
                <w:color w:val="888888"/>
                <w:sz w:val="18"/>
                <w:szCs w:val="18"/>
              </w:rPr>
              <w:t xml:space="preserve">Target</w:t>
            </w:r>
          </w:p>
          <w:p>
            <w:pPr>
              <w:jc w:val="center"/>
            </w:pPr>
            <w:r>
              <w:rPr>
                <w:rFonts w:ascii="Calibri" w:cs="Calibri" w:eastAsia="Calibri" w:hAnsi="Calibri"/>
                <w:b/>
                <w:bCs/>
                <w:color w:val="5B2C8D"/>
                <w:sz w:val="22"/>
                <w:szCs w:val="22"/>
              </w:rPr>
              <w:t xml:space="preserve">29–39 hrs</w:t>
            </w:r>
          </w:p>
        </w:tc>
        <w:tc>
          <w:tcPr>
            <w:tcW w:type="dxa" w:w="1000"/>
            <w:tcBorders>
              <w:top w:val="none" w:color="FFFFFF" w:sz="0"/>
              <w:left w:val="none" w:color="FFFFFF" w:sz="0"/>
              <w:bottom w:val="none" w:color="FFFFFF" w:sz="0"/>
              <w:right w:val="none" w:color="FFFFFF" w:sz="0"/>
            </w:tcBorders>
            <w:shd w:fill="FDECEA" w:val="clear"/>
            <w:tcMar>
              <w:top w:type="dxa" w:w="100"/>
              <w:left w:type="dxa" w:w="100"/>
              <w:bottom w:type="dxa" w:w="100"/>
              <w:right w:type="dxa" w:w="100"/>
            </w:tcMar>
            <w:vAlign w:val="center"/>
          </w:tcPr>
          <w:p>
            <w:pPr>
              <w:jc w:val="center"/>
            </w:pPr>
            <w:r>
              <w:rPr>
                <w:rFonts w:ascii="Calibri" w:cs="Calibri" w:eastAsia="Calibri" w:hAnsi="Calibri"/>
                <w:color w:val="888888"/>
                <w:sz w:val="17"/>
                <w:szCs w:val="17"/>
              </w:rPr>
              <w:t xml:space="preserve">Risk</w:t>
            </w:r>
          </w:p>
          <w:p>
            <w:pPr>
              <w:jc w:val="center"/>
            </w:pPr>
            <w:r>
              <w:rPr>
                <w:rFonts w:ascii="Calibri" w:cs="Calibri" w:eastAsia="Calibri" w:hAnsi="Calibri"/>
                <w:b/>
                <w:bCs/>
                <w:color w:val="B03A2E"/>
                <w:sz w:val="19"/>
                <w:szCs w:val="19"/>
              </w:rPr>
              <w:t xml:space="preserve">Webhooks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03A2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Final Sprint</w:t>
            </w:r>
          </w:p>
        </w:tc>
        <w:tc>
          <w:tcPr>
            <w:tcW w:type="dxa" w:w="7960"/>
            <w:tcBorders>
              <w:top w:val="none" w:color="FFFFFF" w:sz="0"/>
              <w:left w:val="none" w:color="FFFFFF" w:sz="0"/>
              <w:bottom w:val="none" w:color="FFFFFF" w:sz="0"/>
              <w:right w:val="none" w:color="FFFFFF" w:sz="0"/>
            </w:tcBorders>
            <w:shd w:fill="FDECEA" w:val="clear"/>
            <w:tcMar>
              <w:top w:type="dxa" w:w="100"/>
              <w:left w:type="dxa" w:w="180"/>
              <w:bottom w:type="dxa" w:w="100"/>
              <w:right w:type="dxa" w:w="160"/>
            </w:tcMar>
          </w:tcPr>
          <w:p>
            <w:r>
              <w:rPr>
                <w:rFonts w:ascii="Calibri" w:cs="Calibri" w:eastAsia="Calibri" w:hAnsi="Calibri"/>
                <w:color w:val="3A3A3A"/>
                <w:sz w:val="20"/>
                <w:szCs w:val="20"/>
              </w:rPr>
              <w:t xml:space="preserve">Week 4 is for finishing, not adding. If Phase 2 or 3 debt is unresolved by Day 22, freeze scope and pay the debt first. A working core with no notifications beats broken notifications on a half-finished core.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5060"/>
        <w:gridCol w:w="1100"/>
      </w:tblGrid>
      <w:tr>
        <w:trPr>
          <w:tblHeader/>
        </w:trPr>
        <w:tc>
          <w:tcPr>
            <w:tcW w:type="dxa" w:w="7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Day</w:t>
            </w:r>
          </w:p>
        </w:tc>
        <w:tc>
          <w:tcPr>
            <w:tcW w:type="dxa" w:w="9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Date</w:t>
            </w:r>
          </w:p>
        </w:tc>
        <w:tc>
          <w:tcPr>
            <w:tcW w:type="dxa" w:w="16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Focus</w:t>
            </w:r>
          </w:p>
        </w:tc>
        <w:tc>
          <w:tcPr>
            <w:tcW w:type="dxa" w:w="506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What Gets Built</w:t>
            </w:r>
          </w:p>
        </w:tc>
        <w:tc>
          <w:tcPr>
            <w:tcW w:type="dxa" w:w="1100"/>
            <w:tcBorders>
              <w:top w:val="single" w:color="DDDDDD" w:sz="1"/>
              <w:left w:val="single" w:color="DDDDDD" w:sz="1"/>
              <w:bottom w:val="single" w:color="DDDDDD" w:sz="1"/>
              <w:right w:val="single" w:color="DDDDDD" w:sz="1"/>
            </w:tcBorders>
            <w:shd w:fill="1A7A7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Hrs</w:t>
            </w:r>
          </w:p>
        </w:tc>
      </w:tr>
      <w:tr>
        <w:tc>
          <w:tcPr>
            <w:tcW w:type="dxa" w:w="9360"/>
            <w:gridSpan w:val="5"/>
            <w:tcBorders>
              <w:top w:val="single" w:color="DDDDDD" w:sz="1"/>
              <w:left w:val="single" w:color="DDDDDD" w:sz="1"/>
              <w:bottom w:val="single" w:color="DDDDDD" w:sz="1"/>
              <w:right w:val="single" w:color="DDDDDD" w:sz="1"/>
            </w:tcBorders>
            <w:shd w:fill="5B2C8D" w:val="clear"/>
            <w:tcMar>
              <w:top w:type="dxa" w:w="60"/>
              <w:left w:type="dxa" w:w="160"/>
              <w:bottom w:type="dxa" w:w="60"/>
              <w:right w:type="dxa" w:w="160"/>
            </w:tcMar>
          </w:tcPr>
          <w:p>
            <w:pPr>
              <w:jc w:val="center"/>
            </w:pPr>
            <w:r>
              <w:rPr>
                <w:rFonts w:ascii="Calibri" w:cs="Calibri" w:eastAsia="Calibri" w:hAnsi="Calibri"/>
                <w:b/>
                <w:bCs/>
                <w:color w:val="FFFFFF"/>
                <w:sz w:val="21"/>
                <w:szCs w:val="21"/>
              </w:rPr>
              <w:t xml:space="preserve">WEEK 4   |   Phase 4 + 5: Notifications, Payments, Launch Readiness   |   April 26–30</w:t>
            </w:r>
          </w:p>
        </w:tc>
      </w:tr>
      <w:tr>
        <w:tc>
          <w:tcPr>
            <w:tcW w:type="dxa" w:w="7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D22</w:t>
            </w:r>
          </w:p>
        </w:tc>
        <w:tc>
          <w:tcPr>
            <w:tcW w:type="dxa" w:w="9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26</w:t>
            </w:r>
          </w:p>
        </w:tc>
        <w:tc>
          <w:tcPr>
            <w:tcW w:type="dxa" w:w="16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Bull event bus + notifications</w:t>
            </w:r>
          </w:p>
        </w:tc>
        <w:tc>
          <w:tcPr>
            <w:tcW w:type="dxa" w:w="506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tcPr>
          <w:p>
            <w:r>
              <w:rPr>
                <w:rFonts w:ascii="Calibri" w:cs="Calibri" w:eastAsia="Calibri" w:hAnsi="Calibri"/>
                <w:color w:val="3A3A3A"/>
                <w:sz w:val="19"/>
                <w:szCs w:val="19"/>
              </w:rPr>
              <w:t xml:space="preserve">Bull queue setup (Redis-backed). Centralised event bus: one event fans out to all channels. No fire-and-forget anywhere. 5 transactional MJML email templates via Postmark: loan confirmed, overdue reminder, damage fee charged, reservation ready, billing event.</w:t>
            </w:r>
          </w:p>
        </w:tc>
        <w:tc>
          <w:tcPr>
            <w:tcW w:type="dxa" w:w="11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D23</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27</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In-app notifications + email compliance</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WebSocket-delivered in-app notification centre. Notification bell + read state. CAN-SPAM: physical sender address in all email footers. Functional unsubscribe on all non-transactional emails. Opt-in only for marketing (default opt-out).</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5 hrs</w:t>
            </w:r>
          </w:p>
        </w:tc>
      </w:tr>
      <w:tr>
        <w:tc>
          <w:tcPr>
            <w:tcW w:type="dxa" w:w="7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D24</w:t>
            </w:r>
          </w:p>
        </w:tc>
        <w:tc>
          <w:tcPr>
            <w:tcW w:type="dxa" w:w="9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28</w:t>
            </w:r>
          </w:p>
        </w:tc>
        <w:tc>
          <w:tcPr>
            <w:tcW w:type="dxa" w:w="16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Damage fees + Stripe webhooks</w:t>
            </w:r>
          </w:p>
        </w:tc>
        <w:tc>
          <w:tcPr>
            <w:tcW w:type="dxa" w:w="506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tcPr>
          <w:p>
            <w:r>
              <w:rPr>
                <w:rFonts w:ascii="Calibri" w:cs="Calibri" w:eastAsia="Calibri" w:hAnsi="Calibri"/>
                <w:color w:val="3A3A3A"/>
                <w:sz w:val="19"/>
                <w:szCs w:val="19"/>
              </w:rPr>
              <w:t xml:space="preserve">Damage fee flow: operator decision → Stripe charge on member card → notification with before/after photos. Stripe subscription webhooks: payment_failed, customer.subscription.deleted, invoice.paid → membership status sync. Idempotency on all webhook handlers.</w:t>
            </w:r>
          </w:p>
        </w:tc>
        <w:tc>
          <w:tcPr>
            <w:tcW w:type="dxa" w:w="1100"/>
            <w:tcBorders>
              <w:top w:val="single" w:color="DDDDDD" w:sz="1"/>
              <w:left w:val="single" w:color="DDDDDD" w:sz="1"/>
              <w:bottom w:val="single" w:color="DDDDDD" w:sz="1"/>
              <w:right w:val="single" w:color="DDDDDD" w:sz="1"/>
            </w:tcBorders>
            <w:shd w:fill="F5EEF8"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D25</w:t>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color w:val="3A3A3A"/>
                <w:sz w:val="19"/>
                <w:szCs w:val="19"/>
              </w:rPr>
              <w:t xml:space="preserve">Apr 29</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E2E testing + WCAG pass</w:t>
            </w:r>
          </w:p>
        </w:tc>
        <w:tc>
          <w:tcPr>
            <w:tcW w:type="dxa" w:w="50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Calibri" w:cs="Calibri" w:eastAsia="Calibri" w:hAnsi="Calibri"/>
                <w:color w:val="3A3A3A"/>
                <w:sz w:val="19"/>
                <w:szCs w:val="19"/>
              </w:rPr>
              <w:t xml:space="preserve">Critical path E2E tests: full ingest flow, loan lifecycle, return + condition inspection, reservation conflict, payment failure. Manual WCAG pass: keyboard nav on all interactive elements, alt text on all toy photos, contrast check, colour + text label audit.</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6 hrs</w:t>
            </w:r>
          </w:p>
        </w:tc>
      </w:tr>
      <w:tr>
        <w:tc>
          <w:tcPr>
            <w:tcW w:type="dxa" w:w="7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20"/>
                <w:szCs w:val="20"/>
              </w:rPr>
              <w:t xml:space="preserve">D25+</w:t>
            </w:r>
          </w:p>
        </w:tc>
        <w:tc>
          <w:tcPr>
            <w:tcW w:type="dxa" w:w="9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color w:val="3A3A3A"/>
                <w:sz w:val="19"/>
                <w:szCs w:val="19"/>
              </w:rPr>
              <w:t xml:space="preserve">Apr 30</w:t>
            </w:r>
          </w:p>
        </w:tc>
        <w:tc>
          <w:tcPr>
            <w:tcW w:type="dxa" w:w="16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r>
              <w:rPr>
                <w:rFonts w:ascii="Calibri" w:cs="Calibri" w:eastAsia="Calibri" w:hAnsi="Calibri"/>
                <w:b/>
                <w:bCs/>
                <w:color w:val="155E5E"/>
                <w:sz w:val="20"/>
                <w:szCs w:val="20"/>
              </w:rPr>
              <w:t xml:space="preserve">Launch day</w:t>
            </w:r>
          </w:p>
        </w:tc>
        <w:tc>
          <w:tcPr>
            <w:tcW w:type="dxa" w:w="506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tcPr>
          <w:p>
            <w:r>
              <w:rPr>
                <w:rFonts w:ascii="Calibri" w:cs="Calibri" w:eastAsia="Calibri" w:hAnsi="Calibri"/>
                <w:color w:val="3A3A3A"/>
                <w:sz w:val="19"/>
                <w:szCs w:val="19"/>
              </w:rPr>
              <w:t xml:space="preserve">Deploy to production. Onboard first pilot operator. Smoke test full loan cycle live. Share pilot operator URL + QR poster. Monitor error logs and WebSocket connections in real time.</w:t>
            </w:r>
          </w:p>
        </w:tc>
        <w:tc>
          <w:tcPr>
            <w:tcW w:type="dxa" w:w="1100"/>
            <w:tcBorders>
              <w:top w:val="single" w:color="DDDDDD" w:sz="1"/>
              <w:left w:val="single" w:color="DDDDDD" w:sz="1"/>
              <w:bottom w:val="single" w:color="DDDDDD" w:sz="1"/>
              <w:right w:val="single" w:color="DDDDDD" w:sz="1"/>
            </w:tcBorders>
            <w:shd w:fill="E8F4F4" w:val="clear"/>
            <w:tcMar>
              <w:top w:type="dxa" w:w="70"/>
              <w:left w:type="dxa" w:w="100"/>
              <w:bottom w:type="dxa" w:w="70"/>
              <w:right w:type="dxa" w:w="100"/>
            </w:tcMar>
            <w:vAlign w:val="center"/>
          </w:tcPr>
          <w:p>
            <w:pPr>
              <w:jc w:val="center"/>
            </w:pPr>
            <w:r>
              <w:rPr>
                <w:rFonts w:ascii="Calibri" w:cs="Calibri" w:eastAsia="Calibri" w:hAnsi="Calibri"/>
                <w:b/>
                <w:bCs/>
                <w:color w:val="155E5E"/>
                <w:sz w:val="19"/>
                <w:szCs w:val="19"/>
              </w:rPr>
              <w:t xml:space="preserve">—</w:t>
            </w:r>
          </w:p>
        </w:tc>
      </w:tr>
    </w:tbl>
    <w:p>
      <w:pPr>
        <w:spacing w:after="120" w:before="0"/>
      </w:pPr>
      <w:r>
        <w:t xml:space="preserve"/>
      </w:r>
    </w:p>
    <w:p>
      <w:pPr>
        <w:spacing w:after="0" w:before="0"/>
      </w:pPr>
      <w:r>
        <w:br w:type="page"/>
      </w:r>
    </w:p>
    <w:p>
      <w:pPr>
        <w:pStyle w:val="Heading1"/>
        <w:shd w:fill="155E5E" w:val="clear"/>
        <w:spacing w:after="100" w:before="280"/>
        <w:ind w:left="160" w:right="160"/>
      </w:pPr>
      <w:r>
        <w:rPr>
          <w:rFonts w:ascii="Calibri" w:cs="Calibri" w:eastAsia="Calibri" w:hAnsi="Calibri"/>
          <w:b/>
          <w:bCs/>
          <w:color w:val="FFFFFF"/>
          <w:sz w:val="34"/>
          <w:szCs w:val="34"/>
        </w:rPr>
        <w:t xml:space="preserve">3.   Hours Summary by Phase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1400"/>
        <w:gridCol w:w="3160"/>
      </w:tblGrid>
      <w:tr>
        <w:trPr>
          <w:tblHeader/>
        </w:trPr>
        <w:tc>
          <w:tcPr>
            <w:tcW w:type="dxa" w:w="9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0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Content</w:t>
            </w:r>
          </w:p>
        </w:tc>
        <w:tc>
          <w:tcPr>
            <w:tcW w:type="dxa" w:w="9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Days</w:t>
            </w:r>
          </w:p>
        </w:tc>
        <w:tc>
          <w:tcPr>
            <w:tcW w:type="dxa" w:w="14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Target Hours</w:t>
            </w:r>
          </w:p>
        </w:tc>
        <w:tc>
          <w:tcPr>
            <w:tcW w:type="dxa" w:w="316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Biggest Risk</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1</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Foundation: monorepo, auth, multi-tenancy, localisation, Stripe Connect, COPPA</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Days 1–7</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34–45 hrs</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Localisation framework — must be right before any screen is built</w:t>
            </w:r>
          </w:p>
        </w:tc>
      </w:tr>
      <w:tr>
        <w:tc>
          <w:tcPr>
            <w:tcW w:type="dxa" w:w="9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2</w:t>
            </w:r>
          </w:p>
        </w:tc>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&amp; Catalogue: ingest, condition inspection, toy CRUD, state machine, CSV, WebSocket</w:t>
            </w:r>
          </w:p>
        </w:tc>
        <w:tc>
          <w:tcPr>
            <w:tcW w:type="dxa" w:w="9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Days 8–18</w:t>
            </w:r>
          </w:p>
        </w:tc>
        <w:tc>
          <w:tcPr>
            <w:tcW w:type="dxa" w:w="1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40–50 hrs</w:t>
            </w:r>
          </w:p>
        </w:tc>
        <w:tc>
          <w:tcPr>
            <w:tcW w:type="dxa" w:w="3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GPT-4o prompt accuracy on real toy photos — the entire build's biggest unknown</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3</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Member Portal: catalogue, reservation, waitlist, My Shelf, account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Days 19–21</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24–31 hrs</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Concurrent reservation edge cases under real session load</w:t>
            </w:r>
          </w:p>
        </w:tc>
      </w:tr>
      <w:tr>
        <w:tc>
          <w:tcPr>
            <w:tcW w:type="dxa" w:w="9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4</w:t>
            </w:r>
          </w:p>
        </w:tc>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Notifications: Bull event bus, 5 transactional email templates, in-app centre, compliance</w:t>
            </w:r>
          </w:p>
        </w:tc>
        <w:tc>
          <w:tcPr>
            <w:tcW w:type="dxa" w:w="9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Day 22–23</w:t>
            </w:r>
          </w:p>
        </w:tc>
        <w:tc>
          <w:tcPr>
            <w:tcW w:type="dxa" w:w="14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13–18 hrs</w:t>
            </w:r>
          </w:p>
        </w:tc>
        <w:tc>
          <w:tcPr>
            <w:tcW w:type="dxa" w:w="3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Email deliverability and CAN-SPAM compliance basics</w:t>
            </w:r>
          </w:p>
        </w:tc>
      </w:tr>
      <w:tr>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5</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Launch readiness: damage fees, Stripe webhooks, E2E tests, WCAG manual pass</w:t>
            </w:r>
          </w:p>
        </w:tc>
        <w:tc>
          <w:tcPr>
            <w:tcW w:type="dxa" w:w="9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Days 24–25</w:t>
            </w:r>
          </w:p>
        </w:tc>
        <w:tc>
          <w:tcPr>
            <w:tcW w:type="dxa" w:w="1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16–21 hrs</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webhook idempotency and payment failure handling</w:t>
            </w:r>
          </w:p>
        </w:tc>
      </w:tr>
      <w:tr>
        <w:tc>
          <w:tcPr>
            <w:tcW w:type="dxa" w:w="9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Calibri" w:cs="Calibri" w:eastAsia="Calibri" w:hAnsi="Calibri"/>
                <w:b/>
                <w:bCs/>
                <w:color w:val="155E5E"/>
                <w:sz w:val="20"/>
                <w:szCs w:val="20"/>
              </w:rPr>
              <w:t xml:space="preserve">TOTAL</w:t>
            </w:r>
          </w:p>
        </w:tc>
        <w:tc>
          <w:tcPr>
            <w:tcW w:type="dxa" w:w="30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Calibri" w:cs="Calibri" w:eastAsia="Calibri" w:hAnsi="Calibri"/>
                <w:b/>
                <w:bCs/>
                <w:color w:val="155E5E"/>
                <w:sz w:val="20"/>
                <w:szCs w:val="20"/>
              </w:rPr>
              <w:t xml:space="preserve">Full NZ Pilot MVP</w:t>
            </w:r>
          </w:p>
        </w:tc>
        <w:tc>
          <w:tcPr>
            <w:tcW w:type="dxa" w:w="9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Calibri" w:cs="Calibri" w:eastAsia="Calibri" w:hAnsi="Calibri"/>
                <w:b/>
                <w:bCs/>
                <w:color w:val="155E5E"/>
                <w:sz w:val="20"/>
                <w:szCs w:val="20"/>
              </w:rPr>
              <w:t xml:space="preserve">25 days</w:t>
            </w:r>
          </w:p>
        </w:tc>
        <w:tc>
          <w:tcPr>
            <w:tcW w:type="dxa" w:w="1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Calibri" w:cs="Calibri" w:eastAsia="Calibri" w:hAnsi="Calibri"/>
                <w:b/>
                <w:bCs/>
                <w:color w:val="B03A2E"/>
                <w:sz w:val="20"/>
                <w:szCs w:val="20"/>
              </w:rPr>
              <w:t xml:space="preserve">100–140 hrs</w:t>
            </w:r>
          </w:p>
        </w:tc>
        <w:tc>
          <w:tcPr>
            <w:tcW w:type="dxa" w:w="31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Calibri" w:cs="Calibri" w:eastAsia="Calibri" w:hAnsi="Calibri"/>
                <w:b/>
                <w:bCs/>
                <w:color w:val="155E5E"/>
                <w:sz w:val="20"/>
                <w:szCs w:val="20"/>
              </w:rPr>
              <w:t xml:space="preserve">AI vision prompt iteration — budget toward the high end</w:t>
            </w:r>
          </w:p>
        </w:tc>
      </w:tr>
    </w:tbl>
    <w:p>
      <w:pPr>
        <w:spacing w:after="120" w:before="0"/>
      </w:pPr>
      <w:r>
        <w:t xml:space="preserve"/>
      </w:r>
    </w:p>
    <w:p>
      <w:pPr>
        <w:pStyle w:val="Heading1"/>
        <w:shd w:fill="155E5E" w:val="clear"/>
        <w:spacing w:after="100" w:before="280"/>
        <w:ind w:left="160" w:right="160"/>
      </w:pPr>
      <w:r>
        <w:rPr>
          <w:rFonts w:ascii="Calibri" w:cs="Calibri" w:eastAsia="Calibri" w:hAnsi="Calibri"/>
          <w:b/>
          <w:bCs/>
          <w:color w:val="FFFFFF"/>
          <w:sz w:val="34"/>
          <w:szCs w:val="34"/>
        </w:rPr>
        <w:t xml:space="preserve">4.   Cursor Operating Rules</w:t>
      </w:r>
    </w:p>
    <w:p>
      <w:pPr>
        <w:spacing w:after="60" w:before="0"/>
      </w:pPr>
      <w:r>
        <w:t xml:space="preserve"/>
      </w:r>
    </w:p>
    <w:p>
      <w:pPr>
        <w:spacing w:after="60" w:before="60"/>
        <w:jc w:val="left"/>
      </w:pPr>
      <w:r>
        <w:rPr>
          <w:rFonts w:ascii="Calibri" w:cs="Calibri" w:eastAsia="Calibri" w:hAnsi="Calibri"/>
          <w:b w:val="false"/>
          <w:bCs w:val="false"/>
          <w:i w:val="false"/>
          <w:iCs w:val="false"/>
          <w:color w:val="3A3A3A"/>
          <w:sz w:val="21"/>
          <w:szCs w:val="21"/>
        </w:rPr>
        <w:t xml:space="preserve">These are the rules that keep a solo AI-assisted build on track. Breaking any of them consistently will cost more time than they save.</w:t>
      </w:r>
    </w:p>
    <w:p>
      <w:pPr>
        <w:spacing w:after="8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4.1  What Cursor Handles (Near-Zero Human Time)</w:t>
      </w:r>
    </w:p>
    <w:p>
      <w:pPr>
        <w:pStyle w:val="ListParagraph"/>
        <w:numPr>
          <w:ilvl w:val="0"/>
          <w:numId w:val="2"/>
        </w:numPr>
        <w:spacing w:after="40" w:before="40"/>
      </w:pPr>
      <w:r>
        <w:rPr>
          <w:rFonts w:ascii="Calibri" w:cs="Calibri" w:eastAsia="Calibri" w:hAnsi="Calibri"/>
          <w:color w:val="3A3A3A"/>
          <w:sz w:val="21"/>
          <w:szCs w:val="21"/>
        </w:rPr>
        <w:t xml:space="preserve">Prisma schema generation from the data model — 30 minutes, not 4 hours.</w:t>
      </w:r>
    </w:p>
    <w:p>
      <w:pPr>
        <w:pStyle w:val="ListParagraph"/>
        <w:numPr>
          <w:ilvl w:val="0"/>
          <w:numId w:val="2"/>
        </w:numPr>
        <w:spacing w:after="40" w:before="40"/>
      </w:pPr>
      <w:r>
        <w:rPr>
          <w:rFonts w:ascii="Calibri" w:cs="Calibri" w:eastAsia="Calibri" w:hAnsi="Calibri"/>
          <w:color w:val="3A3A3A"/>
          <w:sz w:val="21"/>
          <w:szCs w:val="21"/>
        </w:rPr>
        <w:t xml:space="preserve">NestJS CRUD endpoints + DTOs per module — generated in minutes per module.</w:t>
      </w:r>
    </w:p>
    <w:p>
      <w:pPr>
        <w:pStyle w:val="ListParagraph"/>
        <w:numPr>
          <w:ilvl w:val="0"/>
          <w:numId w:val="2"/>
        </w:numPr>
        <w:spacing w:after="40" w:before="40"/>
      </w:pPr>
      <w:r>
        <w:rPr>
          <w:rFonts w:ascii="Calibri" w:cs="Calibri" w:eastAsia="Calibri" w:hAnsi="Calibri"/>
          <w:color w:val="3A3A3A"/>
          <w:sz w:val="21"/>
          <w:szCs w:val="21"/>
        </w:rPr>
        <w:t xml:space="preserve">MJML email templates — prompt once, get 5 templates, tweak tone and layout.</w:t>
      </w:r>
    </w:p>
    <w:p>
      <w:pPr>
        <w:pStyle w:val="ListParagraph"/>
        <w:numPr>
          <w:ilvl w:val="0"/>
          <w:numId w:val="2"/>
        </w:numPr>
        <w:spacing w:after="40" w:before="40"/>
      </w:pPr>
      <w:r>
        <w:rPr>
          <w:rFonts w:ascii="Calibri" w:cs="Calibri" w:eastAsia="Calibri" w:hAnsi="Calibri"/>
          <w:color w:val="3A3A3A"/>
          <w:sz w:val="21"/>
          <w:szCs w:val="21"/>
        </w:rPr>
        <w:t xml:space="preserve">Stripe Connect + webhook boilerplate — well-trodden pattern, AI knows it cold.</w:t>
      </w:r>
    </w:p>
    <w:p>
      <w:pPr>
        <w:pStyle w:val="ListParagraph"/>
        <w:numPr>
          <w:ilvl w:val="0"/>
          <w:numId w:val="2"/>
        </w:numPr>
        <w:spacing w:after="40" w:before="40"/>
      </w:pPr>
      <w:r>
        <w:rPr>
          <w:rFonts w:ascii="Calibri" w:cs="Calibri" w:eastAsia="Calibri" w:hAnsi="Calibri"/>
          <w:color w:val="3A3A3A"/>
          <w:sz w:val="21"/>
          <w:szCs w:val="21"/>
        </w:rPr>
        <w:t xml:space="preserve">JWT + refresh token rotation auth scaffold — standard pattern, near-instant.</w:t>
      </w:r>
    </w:p>
    <w:p>
      <w:pPr>
        <w:pStyle w:val="ListParagraph"/>
        <w:numPr>
          <w:ilvl w:val="0"/>
          <w:numId w:val="2"/>
        </w:numPr>
        <w:spacing w:after="40" w:before="40"/>
      </w:pPr>
      <w:r>
        <w:rPr>
          <w:rFonts w:ascii="Calibri" w:cs="Calibri" w:eastAsia="Calibri" w:hAnsi="Calibri"/>
          <w:color w:val="3A3A3A"/>
          <w:sz w:val="21"/>
          <w:szCs w:val="21"/>
        </w:rPr>
        <w:t xml:space="preserve">react-i18next scaffolding and localisation wiring.</w:t>
      </w:r>
    </w:p>
    <w:p>
      <w:pPr>
        <w:pStyle w:val="ListParagraph"/>
        <w:numPr>
          <w:ilvl w:val="0"/>
          <w:numId w:val="2"/>
        </w:numPr>
        <w:spacing w:after="40" w:before="40"/>
      </w:pPr>
      <w:r>
        <w:rPr>
          <w:rFonts w:ascii="Calibri" w:cs="Calibri" w:eastAsia="Calibri" w:hAnsi="Calibri"/>
          <w:color w:val="3A3A3A"/>
          <w:sz w:val="21"/>
          <w:szCs w:val="21"/>
        </w:rPr>
        <w:t xml:space="preserve">Bull queue setup and worker boilerplate.</w:t>
      </w:r>
    </w:p>
    <w:p>
      <w:pPr>
        <w:pStyle w:val="ListParagraph"/>
        <w:numPr>
          <w:ilvl w:val="0"/>
          <w:numId w:val="2"/>
        </w:numPr>
        <w:spacing w:after="40" w:before="40"/>
      </w:pPr>
      <w:r>
        <w:rPr>
          <w:rFonts w:ascii="Calibri" w:cs="Calibri" w:eastAsia="Calibri" w:hAnsi="Calibri"/>
          <w:color w:val="3A3A3A"/>
          <w:sz w:val="21"/>
          <w:szCs w:val="21"/>
        </w:rPr>
        <w:t xml:space="preserve">React component scaffolding for catalogue grid, My Shelf, forms.</w:t>
      </w:r>
    </w:p>
    <w:p>
      <w:pPr>
        <w:spacing w:after="8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4.2  What Cursor Does NOT Compress (Human Time Required)</w:t>
      </w:r>
    </w:p>
    <w:p>
      <w:pPr>
        <w:pStyle w:val="ListParagraph"/>
        <w:numPr>
          <w:ilvl w:val="0"/>
          <w:numId w:val="2"/>
        </w:numPr>
        <w:spacing w:after="40" w:before="40"/>
      </w:pPr>
      <w:r>
        <w:rPr>
          <w:rFonts w:ascii="Calibri" w:cs="Calibri" w:eastAsia="Calibri" w:hAnsi="Calibri"/>
          <w:color w:val="3A3A3A"/>
          <w:sz w:val="21"/>
          <w:szCs w:val="21"/>
        </w:rPr>
        <w:t xml:space="preserve">AI prompt engineering for GPT-4o vision flows — iterating toy identification accuracy against real toy photos is empirical, manual work. This is the highest-risk item in the build. Do not underestimate it.</w:t>
      </w:r>
    </w:p>
    <w:p>
      <w:pPr>
        <w:pStyle w:val="ListParagraph"/>
        <w:numPr>
          <w:ilvl w:val="0"/>
          <w:numId w:val="2"/>
        </w:numPr>
        <w:spacing w:after="40" w:before="40"/>
      </w:pPr>
      <w:r>
        <w:rPr>
          <w:rFonts w:ascii="Calibri" w:cs="Calibri" w:eastAsia="Calibri" w:hAnsi="Calibri"/>
          <w:color w:val="3A3A3A"/>
          <w:sz w:val="21"/>
          <w:szCs w:val="21"/>
        </w:rPr>
        <w:t xml:space="preserve">WebSocket concurrent reservation conflict handling — edge cases need real testing with simulated simultaneous clients.</w:t>
      </w:r>
    </w:p>
    <w:p>
      <w:pPr>
        <w:pStyle w:val="ListParagraph"/>
        <w:numPr>
          <w:ilvl w:val="0"/>
          <w:numId w:val="2"/>
        </w:numPr>
        <w:spacing w:after="40" w:before="40"/>
      </w:pPr>
      <w:r>
        <w:rPr>
          <w:rFonts w:ascii="Calibri" w:cs="Calibri" w:eastAsia="Calibri" w:hAnsi="Calibri"/>
          <w:color w:val="3A3A3A"/>
          <w:sz w:val="21"/>
          <w:szCs w:val="21"/>
        </w:rPr>
        <w:t xml:space="preserve">Stripe Connect edge cases — failed payments, Connect account issues, webhook idempotency under retry.</w:t>
      </w:r>
    </w:p>
    <w:p>
      <w:pPr>
        <w:pStyle w:val="ListParagraph"/>
        <w:numPr>
          <w:ilvl w:val="0"/>
          <w:numId w:val="2"/>
        </w:numPr>
        <w:spacing w:after="40" w:before="40"/>
      </w:pPr>
      <w:r>
        <w:rPr>
          <w:rFonts w:ascii="Calibri" w:cs="Calibri" w:eastAsia="Calibri" w:hAnsi="Calibri"/>
          <w:color w:val="3A3A3A"/>
          <w:sz w:val="21"/>
          <w:szCs w:val="21"/>
        </w:rPr>
        <w:t xml:space="preserve">Manual WCAG screen reader testing — inherently manual.</w:t>
      </w:r>
    </w:p>
    <w:p>
      <w:pPr>
        <w:pStyle w:val="ListParagraph"/>
        <w:numPr>
          <w:ilvl w:val="0"/>
          <w:numId w:val="2"/>
        </w:numPr>
        <w:spacing w:after="40" w:before="40"/>
      </w:pPr>
      <w:r>
        <w:rPr>
          <w:rFonts w:ascii="Calibri" w:cs="Calibri" w:eastAsia="Calibri" w:hAnsi="Calibri"/>
          <w:color w:val="3A3A3A"/>
          <w:sz w:val="21"/>
          <w:szCs w:val="21"/>
        </w:rPr>
        <w:t xml:space="preserve">Integration and E2E testing — requires a human verifying real flows end to end.</w:t>
      </w:r>
    </w:p>
    <w:p>
      <w:pPr>
        <w:pStyle w:val="ListParagraph"/>
        <w:numPr>
          <w:ilvl w:val="0"/>
          <w:numId w:val="2"/>
        </w:numPr>
        <w:spacing w:after="40" w:before="40"/>
      </w:pPr>
      <w:r>
        <w:rPr>
          <w:rFonts w:ascii="Calibri" w:cs="Calibri" w:eastAsia="Calibri" w:hAnsi="Calibri"/>
          <w:color w:val="3A3A3A"/>
          <w:sz w:val="21"/>
          <w:szCs w:val="21"/>
        </w:rPr>
        <w:t xml:space="preserve">Reviewing Cursor's output before moving on — AI-generated integration bugs compound quickly when left unchecked.</w:t>
      </w:r>
    </w:p>
    <w:p>
      <w:pPr>
        <w:spacing w:after="80" w:before="0"/>
      </w:pPr>
      <w:r>
        <w:t xml:space="preserve"/>
      </w:r>
    </w:p>
    <w:p>
      <w:pPr>
        <w:pStyle w:val="Heading2"/>
        <w:pBdr>
          <w:bottom w:val="single" w:color="DDDDDD" w:sz="4" w:space="1"/>
        </w:pBdr>
        <w:spacing w:after="80" w:before="200"/>
      </w:pPr>
      <w:r>
        <w:rPr>
          <w:rFonts w:ascii="Calibri" w:cs="Calibri" w:eastAsia="Calibri" w:hAnsi="Calibri"/>
          <w:b/>
          <w:bCs/>
          <w:color w:val="155E5E"/>
          <w:sz w:val="26"/>
          <w:szCs w:val="26"/>
        </w:rPr>
        <w:t xml:space="preserve">4.3  Session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16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One module per Cursor session. One endpoint. One component.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Large vague prompts produce large vague code that takes longer to debug than to rewrite.</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Review every significant output before the next prompt.</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bugs compound. A wrong data model in session 1 breaks every session that follows.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Phase 1 must be complete and deployed to staging before Phase 2 starts.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Auth, tenancy, and localisation mistakes are the most expensive to fix in a running multi-tenant system.</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No Cursor sessions on deferred items. If you find yourself building analytics or QR PDF generation, stop.</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Scope creep in an AI-assisted build is fast. Cursor will happily generate deferred features in minutes if asked.</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Prompt iteration for AI vision flows gets its own day (Day 10). Do not steal time from it.</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This is the highest-risk item. Underinvesting here ships a toy identifier that embarrasses real operators.</w:t>
            </w:r>
          </w:p>
        </w:tc>
      </w:tr>
      <w:tr>
        <w:tc>
          <w:tcPr>
            <w:tcW w:type="dxa" w:w="32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All notifications go through the Bull event bus from Day 22. No exceptions.</w:t>
            </w:r>
          </w:p>
        </w:tc>
        <w:tc>
          <w:tcPr>
            <w:tcW w:type="dxa" w:w="61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Fire-and-forget async notification calls are the most common reliability failure in Node.js apps.</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Build the AI service as model-agnostic on Day 8. Wrapping it later touches every AI call.</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Switching from GPT-4o to Claude or back requires changing one file if done correctly from day one.</w:t>
            </w:r>
          </w:p>
        </w:tc>
      </w:tr>
    </w:tbl>
    <w:p>
      <w:pPr>
        <w:spacing w:after="120" w:before="0"/>
      </w:pPr>
      <w:r>
        <w:t xml:space="preserve"/>
      </w:r>
    </w:p>
    <w:p>
      <w:pPr>
        <w:pStyle w:val="Heading1"/>
        <w:shd w:fill="155E5E" w:val="clear"/>
        <w:spacing w:after="100" w:before="280"/>
        <w:ind w:left="160" w:right="160"/>
      </w:pPr>
      <w:r>
        <w:rPr>
          <w:rFonts w:ascii="Calibri" w:cs="Calibri" w:eastAsia="Calibri" w:hAnsi="Calibri"/>
          <w:b/>
          <w:bCs/>
          <w:color w:val="FFFFFF"/>
          <w:sz w:val="34"/>
          <w:szCs w:val="34"/>
        </w:rPr>
        <w:t xml:space="preserve">5.   Non-Negotiables — Cannot Be Cut or Deferred</w:t>
      </w:r>
    </w:p>
    <w:p>
      <w:pPr>
        <w:spacing w:after="60" w:before="0"/>
      </w:pPr>
      <w:r>
        <w:t xml:space="preserve"/>
      </w:r>
    </w:p>
    <w:p>
      <w:pPr>
        <w:spacing w:after="60" w:before="60"/>
        <w:jc w:val="left"/>
      </w:pPr>
      <w:r>
        <w:rPr>
          <w:rFonts w:ascii="Calibri" w:cs="Calibri" w:eastAsia="Calibri" w:hAnsi="Calibri"/>
          <w:b w:val="false"/>
          <w:bCs w:val="false"/>
          <w:i w:val="false"/>
          <w:iCs w:val="false"/>
          <w:color w:val="3A3A3A"/>
          <w:sz w:val="21"/>
          <w:szCs w:val="21"/>
        </w:rPr>
        <w:t xml:space="preserve">If April 30 is approaching and the build is behind, the following items cannot be used as buffer. They are either foundational to the architecture, legal requirements, or the product simply does not work without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36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Why It Cannot Move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ingest + condition inspection</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The entire product differentiator. Without it, ShareParty is just another loan tracker with a better UI.</w:t>
            </w:r>
          </w:p>
        </w:tc>
      </w:tr>
      <w:tr>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Connect</w:t>
            </w:r>
          </w:p>
        </w:tc>
        <w:tc>
          <w:tcPr>
            <w:tcW w:type="dxa" w:w="6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cannot get paid. Members cannot be billed. The business model does not function.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WebSocket real-time availability</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Without it, concurrent reservations conflict and the system breaks under real session load with multiple members.</w:t>
            </w:r>
          </w:p>
        </w:tc>
      </w:tr>
      <w:tr>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COPPA age gate + children's data minimisation</w:t>
            </w:r>
          </w:p>
        </w:tc>
        <w:tc>
          <w:tcPr>
            <w:tcW w:type="dxa" w:w="6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Legal. Required before any operator goes live regardless of market. Children's data fields must be minimal from day one — retrofitting is expensive.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Auth, multi-tenancy, locale/currency framework</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Foundational. Cannot be retrofitted into a running multi-tenant system without a full rebuild.</w:t>
            </w:r>
          </w:p>
        </w:tc>
      </w:tr>
      <w:tr>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Toy status state machine</w:t>
            </w:r>
          </w:p>
        </w:tc>
        <w:tc>
          <w:tcPr>
            <w:tcW w:type="dxa" w:w="6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Invalid state transitions cause data integrity issues that are difficult to recover from post-launch.</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Transactional email (minimum 5 events)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Operators cannot run sessions without loan confirmations, overdue notices, and damage fee notifications.</w:t>
            </w:r>
          </w:p>
        </w:tc>
      </w:tr>
      <w:tr>
        <w:tc>
          <w:tcPr>
            <w:tcW w:type="dxa" w:w="3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Model-agnostic AI service layer</w:t>
            </w:r>
          </w:p>
        </w:tc>
        <w:tc>
          <w:tcPr>
            <w:tcW w:type="dxa" w:w="63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Must be built on Day 8. Wrapping OpenAI correctly costs 2 hours now and saves 2 days of refactoring later.</w:t>
            </w:r>
          </w:p>
        </w:tc>
      </w:tr>
    </w:tbl>
    <w:p>
      <w:pPr>
        <w:spacing w:after="120" w:before="0"/>
      </w:pPr>
      <w:r>
        <w:t xml:space="preserve"/>
      </w:r>
    </w:p>
    <w:p>
      <w:pPr>
        <w:pStyle w:val="Heading1"/>
        <w:shd w:fill="155E5E" w:val="clear"/>
        <w:spacing w:after="100" w:before="280"/>
        <w:ind w:left="160" w:right="160"/>
      </w:pPr>
      <w:r>
        <w:rPr>
          <w:rFonts w:ascii="Calibri" w:cs="Calibri" w:eastAsia="Calibri" w:hAnsi="Calibri"/>
          <w:b/>
          <w:bCs/>
          <w:color w:val="FFFFFF"/>
          <w:sz w:val="34"/>
          <w:szCs w:val="34"/>
        </w:rPr>
        <w:t xml:space="preserve">6.   April 30 Launch Checklist</w:t>
      </w:r>
    </w:p>
    <w:p>
      <w:pPr>
        <w:spacing w:after="60" w:before="0"/>
      </w:pPr>
      <w:r>
        <w:t xml:space="preserve"/>
      </w:r>
    </w:p>
    <w:p>
      <w:pPr>
        <w:spacing w:after="60" w:before="60"/>
        <w:jc w:val="left"/>
      </w:pPr>
      <w:r>
        <w:rPr>
          <w:rFonts w:ascii="Calibri" w:cs="Calibri" w:eastAsia="Calibri" w:hAnsi="Calibri"/>
          <w:b w:val="false"/>
          <w:bCs w:val="false"/>
          <w:i w:val="false"/>
          <w:iCs w:val="false"/>
          <w:color w:val="3A3A3A"/>
          <w:sz w:val="21"/>
          <w:szCs w:val="21"/>
        </w:rPr>
        <w:t xml:space="preserve">Before handing the platform to a pilot operator, every item below must be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376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How to Verify</w:t>
            </w:r>
          </w:p>
        </w:tc>
        <w:tc>
          <w:tcPr>
            <w:tcW w:type="dxa" w:w="1600"/>
            <w:tcBorders>
              <w:top w:val="single" w:color="DDDDDD" w:sz="1"/>
              <w:left w:val="single" w:color="DDDDDD" w:sz="1"/>
              <w:bottom w:val="single" w:color="DDDDDD" w:sz="1"/>
              <w:right w:val="single" w:color="DDDDDD" w:sz="1"/>
            </w:tcBorders>
            <w:shd w:fill="1A7A7A"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Operator can complete full onboarding (sign-up to go-live URL) in under 30 minutes</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Run through onboarding yourself with a fresh account. Time it.</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AI toy ingest: &gt;85% accuracy on a set of 20 real toy photos</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Test set prepared during Day 10 prompt iteration. Re-run before launch.</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Full loan cycle: ingest → loan → return → condition inspection → damage fee → notification</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E2E test. Manual run with a real toy.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Concurrent reservation conflict: two members attempt the same toy simultaneously</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Simulate with two browser sessions. Confirm second gets error, toy stays reserved for first.</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Connect: operator receives test payment, member subscription auto-renews</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test mode. Confirm payout appears in operator Connect dashboard.</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webhook: simulate payment_failed → membership status → member access blocked</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Stripe CLI webhook simulation. Confirm status updates within 5 seconds.</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COPPA: US member sign-up shows consent notice. Children's data delete works independently of account.</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Create a US-locale member account. Add a child. Delete the child. Confirm account remains.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WCAG: all colour badges have text labels. All toy images have alt text. All interactive elements keyboard-navigable.</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Tab through the full catalogue, reservation, and My Shelf flows without touching the mouse.</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Email: loan confirmation, overdue reminder, damage fee notification delivered and render correctly in Gmail and Outlook</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Litmus or manual test across clients.</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WebSocket: toy status change propagates to all connected member sessions within 2 seconds</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Two browser sessions, one operator action. Time the propagation.</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Staging environment stable for 24 hours under simulated session load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Leave staging running with 3 concurrent operator sessions before launch day.</w:t>
            </w:r>
          </w:p>
        </w:tc>
        <w:tc>
          <w:tcPr>
            <w:tcW w:type="dxa" w:w="1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r>
        <w:tc>
          <w:tcPr>
            <w:tcW w:type="dxa" w:w="40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Pilot operator briefed, hardware confirmed (smartphone + label printer accessible)</w:t>
            </w:r>
          </w:p>
        </w:tc>
        <w:tc>
          <w:tcPr>
            <w:tcW w:type="dxa" w:w="376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Confirm with each pilot operator by phone before launch day.</w:t>
            </w:r>
          </w:p>
        </w:tc>
        <w:tc>
          <w:tcPr>
            <w:tcW w:type="dxa" w:w="1600"/>
            <w:tcBorders>
              <w:top w:val="single" w:color="DDDDDD" w:sz="1"/>
              <w:left w:val="single" w:color="DDDDDD" w:sz="1"/>
              <w:bottom w:val="single" w:color="DDDDDD" w:sz="1"/>
              <w:right w:val="single" w:color="DDDDDD" w:sz="1"/>
            </w:tcBorders>
            <w:shd w:fill="F4F4F4" w:val="clear"/>
            <w:tcMar>
              <w:top w:type="dxa" w:w="70"/>
              <w:left w:type="dxa" w:w="120"/>
              <w:bottom w:type="dxa" w:w="70"/>
              <w:right w:type="dxa" w:w="120"/>
            </w:tcMar>
          </w:tcPr>
          <w:p>
            <w:r>
              <w:rPr>
                <w:rFonts w:ascii="Calibri" w:cs="Calibri" w:eastAsia="Calibri" w:hAnsi="Calibri"/>
                <w:b w:val="false"/>
                <w:bCs w:val="false"/>
                <w:color w:val="3A3A3A"/>
                <w:sz w:val="20"/>
                <w:szCs w:val="20"/>
              </w:rPr>
              <w:t xml:space="preserve"/>
            </w:r>
          </w:p>
        </w:tc>
      </w:tr>
    </w:tbl>
    <w:p>
      <w:pPr>
        <w:spacing w:after="120" w:before="0"/>
      </w:pPr>
      <w:r>
        <w:t xml:space="preserve"/>
      </w:r>
    </w:p>
    <w:p>
      <w:pPr>
        <w:pBdr>
          <w:top w:val="single" w:color="DDDDDD" w:sz="4" w:space="1"/>
        </w:pBdr>
        <w:spacing w:before="200"/>
        <w:jc w:val="center"/>
      </w:pPr>
      <w:r>
        <w:rPr>
          <w:rFonts w:ascii="Calibri" w:cs="Calibri" w:eastAsia="Calibri" w:hAnsi="Calibri"/>
          <w:i/>
          <w:iCs/>
          <w:color w:val="3A3A3A"/>
          <w:sz w:val="18"/>
          <w:szCs w:val="18"/>
        </w:rPr>
        <w:t xml:space="preserve">ShareParty  |  25-Day MVP Build Plan  |  v1.0  |  Confidential  |  2026</w:t>
      </w:r>
    </w:p>
    <w:sectPr>
      <w:headerReference w:type="default" r:id="rId7"/>
      <w:footerReference w:type="default" r:id="rId8"/>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Calibri" w:cs="Calibri" w:eastAsia="Calibri" w:hAnsi="Calibri"/>
        <w:color w:val="3A3A3A"/>
        <w:sz w:val="18"/>
        <w:szCs w:val="18"/>
      </w:rPr>
      <w:t xml:space="preserve">Confidential  |  ShareParty  |  Page </w:t>
    </w:r>
    <w:r>
      <w:rPr>
        <w:rFonts w:ascii="Calibri" w:cs="Calibri" w:eastAsia="Calibri" w:hAnsi="Calibri"/>
        <w:color w:val="1A7A7A"/>
        <w:sz w:val="18"/>
        <w:szCs w:val="18"/>
      </w:rPr>
      <w:fldChar w:fldCharType="begin"/>
      <w:instrText xml:space="preserve">PAGE</w:instrText>
      <w:fldChar w:fldCharType="separate"/>
      <w:fldChar w:fldCharType="end"/>
    </w:r>
    <w:r>
      <w:rPr>
        <w:rFonts w:ascii="Calibri" w:cs="Calibri" w:eastAsia="Calibri" w:hAnsi="Calibri"/>
        <w:color w:val="3A3A3A"/>
        <w:sz w:val="18"/>
        <w:szCs w:val="18"/>
      </w:rPr>
      <w:t xml:space="preserve"> of </w:t>
    </w:r>
    <w:r>
      <w:rPr>
        <w:rFonts w:ascii="Calibri" w:cs="Calibri" w:eastAsia="Calibri" w:hAnsi="Calibri"/>
        <w:color w:val="1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5E5E" w:sz="4" w:space="1"/>
      </w:pBdr>
      <w:spacing w:after="0"/>
    </w:pPr>
    <w:r>
      <w:rPr>
        <w:rFonts w:ascii="Calibri" w:cs="Calibri" w:eastAsia="Calibri" w:hAnsi="Calibri"/>
        <w:color w:val="1A7A7A"/>
        <w:sz w:val="18"/>
        <w:szCs w:val="18"/>
      </w:rPr>
      <w:t xml:space="preserve">ShareParty  |  25-Day MVP Build Plan  |  Cursor + AI  |  April 5 – April 30,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FFFFFF"/>
      <w:sz w:val="34"/>
      <w:szCs w:val="34"/>
    </w:rPr>
  </w:style>
  <w:style w:type="paragraph" w:styleId="Heading2">
    <w:name w:val="Heading 2"/>
    <w:basedOn w:val="Normal"/>
    <w:next w:val="Normal"/>
    <w:qFormat/>
    <w:pPr>
      <w:spacing w:after="80" w:before="200"/>
      <w:outlineLvl w:val="1"/>
    </w:pPr>
    <w:rPr>
      <w:rFonts w:ascii="Calibri" w:cs="Calibri" w:eastAsia="Calibri" w:hAnsi="Calibri"/>
      <w:b/>
      <w:bCs/>
      <w:color w:val="155E5E"/>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2026-04-05T07:03:14.047Z</dcterms:created>
  <dcterms:modified xsi:type="dcterms:W3CDTF">2026-04-05T07:03:14.048Z</dcterms:modified>
</cp:coreProperties>
</file>

<file path=docProps/custom.xml><?xml version="1.0" encoding="utf-8"?>
<Properties xmlns="http://schemas.openxmlformats.org/officeDocument/2006/custom-properties" xmlns:vt="http://schemas.openxmlformats.org/officeDocument/2006/docPropsVTypes"/>
</file>