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8A6840"/>
          <w:sz w:val="44"/>
        </w:rPr>
        <w:t>Смета на разработку</w:t>
      </w:r>
    </w:p>
    <w:p>
      <w:pPr>
        <w:jc w:val="center"/>
      </w:pPr>
      <w:r>
        <w:rPr>
          <w:rFonts w:ascii="Calibri" w:hAnsi="Calibri"/>
          <w:b w:val="0"/>
          <w:color w:val="2A2420"/>
          <w:sz w:val="28"/>
        </w:rPr>
        <w:t>AI-визуализатор столешниц и кухонь</w:t>
      </w:r>
    </w:p>
    <w:p>
      <w:r>
        <w:rPr>
          <w:rFonts w:ascii="Calibri" w:hAnsi="Calibri"/>
          <w:b w:val="0"/>
          <w:i/>
          <w:color w:val="7A6E64"/>
          <w:sz w:val="20"/>
        </w:rPr>
        <w:t>Дата: май 2026</w:t>
      </w:r>
    </w:p>
    <w:p/>
    <w:p>
      <w:pPr>
        <w:jc w:val="left"/>
      </w:pPr>
      <w:r>
        <w:rPr>
          <w:rFonts w:ascii="Calibri" w:hAnsi="Calibri"/>
          <w:b/>
          <w:color w:val="8A6840"/>
          <w:sz w:val="28"/>
        </w:rPr>
        <w:t>О проекте</w:t>
      </w:r>
    </w:p>
    <w:p>
      <w:r>
        <w:rPr>
          <w:rFonts w:ascii="Calibri" w:hAnsi="Calibri"/>
          <w:b w:val="0"/>
          <w:i w:val="0"/>
          <w:color w:val="2A2420"/>
          <w:sz w:val="22"/>
        </w:rPr>
        <w:t>На первом этапе предлагается создать прототип, который даст понимание о целесообразности использования технологии генерации дилерами и конечными покупателями. В случае успеха (рост метрик конверсии сайта и интереса дилеров к продажам) — развивать проект, на 1-м этапе ограничиться минимальным функционалом.</w:t>
      </w:r>
    </w:p>
    <w:p/>
    <w:p>
      <w:pPr>
        <w:jc w:val="left"/>
      </w:pPr>
      <w:r>
        <w:rPr>
          <w:rFonts w:ascii="Calibri" w:hAnsi="Calibri"/>
          <w:b/>
          <w:color w:val="8A6840"/>
          <w:sz w:val="28"/>
        </w:rPr>
        <w:t>Состав работ — базовая часть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8A6840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Состав работ</w:t>
            </w:r>
          </w:p>
        </w:tc>
        <w:tc>
          <w:tcPr>
            <w:tcW w:type="dxa" w:w="4986"/>
            <w:shd w:fill="8A6840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Часы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Личный кабинет супер-администратора: список дилеров, начисление генераций, блокировка по IP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16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Личный кабинет дилера: панель генерации, счётчик квот, история, заявка на докупку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14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Публичный виджет на сайт: 3 бесплатных генерации → форма (телефон + email)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10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Защита по IP до 3 / 10 генераций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10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Полный каталог текстур (180 шт.) с фильтрами и админкой импорта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18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Адаптация интерфейса под стиль сайта заказчика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10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Деплой, мониторинг, логи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10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Тестирование системы на ресурсах заказчика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6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Приёмка, правки, документация для администратора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6</w:t>
            </w:r>
          </w:p>
        </w:tc>
      </w:tr>
      <w:tr>
        <w:tc>
          <w:tcPr>
            <w:tcW w:type="dxa" w:w="4986"/>
            <w:vAlign w:val="center"/>
            <w:shd w:fill="F5F1EC"/>
          </w:tcPr>
          <w:p>
            <w:r/>
            <w:r>
              <w:rPr>
                <w:b/>
                <w:color w:val="8A6840"/>
                <w:sz w:val="22"/>
              </w:rPr>
              <w:t>Итого по базовой части</w:t>
            </w:r>
          </w:p>
        </w:tc>
        <w:tc>
          <w:tcPr>
            <w:tcW w:type="dxa" w:w="4986"/>
            <w:vAlign w:val="center"/>
            <w:shd w:fill="F5F1EC"/>
          </w:tcPr>
          <w:p>
            <w:pPr>
              <w:jc w:val="right"/>
            </w:pPr>
            <w:r/>
            <w:r>
              <w:rPr>
                <w:b/>
                <w:color w:val="8A6840"/>
                <w:sz w:val="22"/>
              </w:rPr>
              <w:t>100 ч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8A6840"/>
          <w:sz w:val="28"/>
        </w:rPr>
        <w:t>Дополнительные модули</w:t>
      </w:r>
    </w:p>
    <w:p>
      <w:r>
        <w:rPr>
          <w:rFonts w:ascii="Calibri" w:hAnsi="Calibri"/>
          <w:b/>
          <w:i w:val="0"/>
          <w:color w:val="2A2420"/>
          <w:sz w:val="24"/>
        </w:rPr>
        <w:t>Альтернативный сценарий генерации</w:t>
      </w:r>
    </w:p>
    <w:p>
      <w:r>
        <w:rPr>
          <w:rFonts w:ascii="Calibri" w:hAnsi="Calibri"/>
          <w:b w:val="0"/>
          <w:i w:val="0"/>
          <w:color w:val="2A2420"/>
          <w:sz w:val="22"/>
        </w:rPr>
        <w:t>Пользователь загружает эскиз или чертёж кухни, после чего система формирует фотореалистичный рендер с применением выбранной текстуры столешницы из каталога. Функционал позволит использовать инструмент не только для подбора текстур, но и для визуализации готового решения, что повышает вовлечённость и конверсию в заявку.</w:t>
      </w:r>
    </w:p>
    <w:p>
      <w:r>
        <w:rPr>
          <w:rFonts w:ascii="Calibri" w:hAnsi="Calibri"/>
          <w:b/>
          <w:i w:val="0"/>
          <w:color w:val="2A2420"/>
          <w:sz w:val="24"/>
        </w:rPr>
        <w:t>Расширение личного кабинета дилера</w:t>
      </w:r>
    </w:p>
    <w:p>
      <w:r>
        <w:rPr>
          <w:rFonts w:ascii="Calibri" w:hAnsi="Calibri"/>
          <w:b w:val="0"/>
          <w:i w:val="0"/>
          <w:color w:val="2A2420"/>
          <w:sz w:val="22"/>
        </w:rPr>
        <w:t>Раздел с данными о компании дилера: логотип, описание, состав коммерческого предложения (монтаж, доставка, сборка и др.), сроки выполнения и стандартные условия. На основе этих данных система формирует персонализированное коммерческое предложение для клиента после генерации визуализации.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8A6840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Состав работ</w:t>
            </w:r>
          </w:p>
        </w:tc>
        <w:tc>
          <w:tcPr>
            <w:tcW w:type="dxa" w:w="4986"/>
            <w:shd w:fill="8A6840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Часы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Альтернативный сценарий «эскиз → рендер»: интеграция в общий поток, UI выбора сценария, тюнинг под чертежи заказчика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26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Профиль компании дилера: логотип, описание, перечень услуг, сроки, условия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14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Шаблон коммерческого предложения (KP) и подстановка данных дилера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10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Генерация PDF и его сохранение / скачивание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10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Интерфейс «Сформировать КП» на странице результата генерации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8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Отправка КП клиенту по email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8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2A2420"/>
                <w:sz w:val="22"/>
              </w:rPr>
              <w:t>Тестирование, правки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14</w:t>
            </w:r>
          </w:p>
        </w:tc>
      </w:tr>
      <w:tr>
        <w:tc>
          <w:tcPr>
            <w:tcW w:type="dxa" w:w="4986"/>
            <w:vAlign w:val="center"/>
            <w:shd w:fill="F5F1EC"/>
          </w:tcPr>
          <w:p>
            <w:r/>
            <w:r>
              <w:rPr>
                <w:b/>
                <w:color w:val="8A6840"/>
                <w:sz w:val="22"/>
              </w:rPr>
              <w:t>Итого по дополнительным модулям</w:t>
            </w:r>
          </w:p>
        </w:tc>
        <w:tc>
          <w:tcPr>
            <w:tcW w:type="dxa" w:w="4986"/>
            <w:vAlign w:val="center"/>
            <w:shd w:fill="F5F1EC"/>
          </w:tcPr>
          <w:p>
            <w:pPr>
              <w:jc w:val="right"/>
            </w:pPr>
            <w:r/>
            <w:r>
              <w:rPr>
                <w:b/>
                <w:color w:val="8A6840"/>
                <w:sz w:val="22"/>
              </w:rPr>
              <w:t>90 ч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8A6840"/>
          <w:sz w:val="28"/>
        </w:rPr>
        <w:t>Сводный итог по 1-му этапу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8A6840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Блок</w:t>
            </w:r>
          </w:p>
        </w:tc>
        <w:tc>
          <w:tcPr>
            <w:tcW w:type="dxa" w:w="3324"/>
            <w:shd w:fill="8A6840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Часы</w:t>
            </w:r>
          </w:p>
        </w:tc>
        <w:tc>
          <w:tcPr>
            <w:tcW w:type="dxa" w:w="3324"/>
            <w:shd w:fill="8A6840"/>
            <w:vAlign w:val="center"/>
          </w:tcPr>
          <w:p>
            <w:r/>
            <w:r>
              <w:rPr>
                <w:b/>
                <w:color w:val="FFFFFF"/>
                <w:sz w:val="22"/>
              </w:rPr>
              <w:t>Стоимость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color w:val="2A2420"/>
                <w:sz w:val="22"/>
              </w:rPr>
              <w:t>Базовая часть</w:t>
            </w:r>
          </w:p>
        </w:tc>
        <w:tc>
          <w:tcPr>
            <w:tcW w:type="dxa" w:w="3324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100 ч</w:t>
            </w:r>
          </w:p>
        </w:tc>
        <w:tc>
          <w:tcPr>
            <w:tcW w:type="dxa" w:w="3324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300 000 ₽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color w:val="2A2420"/>
                <w:sz w:val="22"/>
              </w:rPr>
              <w:t>Дополнительные модули</w:t>
            </w:r>
          </w:p>
        </w:tc>
        <w:tc>
          <w:tcPr>
            <w:tcW w:type="dxa" w:w="3324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90 ч</w:t>
            </w:r>
          </w:p>
        </w:tc>
        <w:tc>
          <w:tcPr>
            <w:tcW w:type="dxa" w:w="3324"/>
            <w:vAlign w:val="center"/>
          </w:tcPr>
          <w:p>
            <w:pPr>
              <w:jc w:val="right"/>
            </w:pPr>
            <w:r/>
            <w:r>
              <w:rPr>
                <w:color w:val="2A2420"/>
                <w:sz w:val="22"/>
              </w:rPr>
              <w:t>270 000 ₽</w:t>
            </w:r>
          </w:p>
        </w:tc>
      </w:tr>
      <w:tr>
        <w:tc>
          <w:tcPr>
            <w:tcW w:type="dxa" w:w="3324"/>
            <w:vAlign w:val="center"/>
            <w:shd w:fill="F5F1EC"/>
          </w:tcPr>
          <w:p>
            <w:r/>
            <w:r>
              <w:rPr>
                <w:b/>
                <w:color w:val="8A6840"/>
                <w:sz w:val="22"/>
              </w:rPr>
              <w:t>Итого</w:t>
            </w:r>
          </w:p>
        </w:tc>
        <w:tc>
          <w:tcPr>
            <w:tcW w:type="dxa" w:w="3324"/>
            <w:vAlign w:val="center"/>
            <w:shd w:fill="F5F1EC"/>
          </w:tcPr>
          <w:p>
            <w:pPr>
              <w:jc w:val="right"/>
            </w:pPr>
            <w:r/>
            <w:r>
              <w:rPr>
                <w:b/>
                <w:color w:val="8A6840"/>
                <w:sz w:val="22"/>
              </w:rPr>
              <w:t>190 ч</w:t>
            </w:r>
          </w:p>
        </w:tc>
        <w:tc>
          <w:tcPr>
            <w:tcW w:type="dxa" w:w="3324"/>
            <w:vAlign w:val="center"/>
            <w:shd w:fill="F5F1EC"/>
          </w:tcPr>
          <w:p>
            <w:pPr>
              <w:jc w:val="right"/>
            </w:pPr>
            <w:r/>
            <w:r>
              <w:rPr>
                <w:b/>
                <w:color w:val="8A6840"/>
                <w:sz w:val="22"/>
              </w:rPr>
              <w:t>570 000 ₽</w:t>
            </w:r>
          </w:p>
        </w:tc>
      </w:tr>
    </w:tbl>
    <w:p>
      <w:r>
        <w:rPr>
          <w:rFonts w:ascii="Calibri" w:hAnsi="Calibri"/>
          <w:b w:val="0"/>
          <w:i/>
          <w:color w:val="7A6E64"/>
          <w:sz w:val="22"/>
        </w:rPr>
        <w:t>Ставка: 3 000 ₽/час. Срок: 6–8 недель.</w:t>
      </w:r>
    </w:p>
    <w:p/>
    <w:p>
      <w:pPr>
        <w:jc w:val="left"/>
      </w:pPr>
      <w:r>
        <w:rPr>
          <w:rFonts w:ascii="Calibri" w:hAnsi="Calibri"/>
          <w:b/>
          <w:color w:val="8A6840"/>
          <w:sz w:val="28"/>
        </w:rPr>
        <w:t>Стоимость генерации</w:t>
      </w:r>
    </w:p>
    <w:p>
      <w:r>
        <w:rPr>
          <w:rFonts w:ascii="Calibri" w:hAnsi="Calibri"/>
          <w:b w:val="0"/>
          <w:i w:val="0"/>
          <w:color w:val="2A2420"/>
          <w:sz w:val="22"/>
        </w:rPr>
        <w:t>На 1-м этапе используются публичные модели генерации. Ориентировочная стоимость — 65 000 ₽ за тысячу генераций. При оптимизации (переход на собственную инфраструктуру) стоимость можно снизить до 30–40 ₽ за генерацию.</w:t>
      </w:r>
    </w:p>
    <w:p/>
    <w:p>
      <w:pPr>
        <w:jc w:val="left"/>
      </w:pPr>
      <w:r>
        <w:rPr>
          <w:rFonts w:ascii="Calibri" w:hAnsi="Calibri"/>
          <w:b/>
          <w:color w:val="8A6840"/>
          <w:sz w:val="28"/>
        </w:rPr>
        <w:t>Развитие после фиксации метрик</w:t>
      </w:r>
    </w:p>
    <w:p>
      <w:r>
        <w:rPr>
          <w:rFonts w:ascii="Calibri" w:hAnsi="Calibri"/>
          <w:b w:val="0"/>
          <w:i w:val="0"/>
          <w:color w:val="2A2420"/>
          <w:sz w:val="22"/>
        </w:rPr>
        <w:t>• Снижение стоимости генераций за счёт оптимизации модели и переноса на собственную инфраструктуру.</w:t>
      </w:r>
    </w:p>
    <w:p>
      <w:r>
        <w:rPr>
          <w:rFonts w:ascii="Calibri" w:hAnsi="Calibri"/>
          <w:b w:val="0"/>
          <w:i w:val="0"/>
          <w:color w:val="2A2420"/>
          <w:sz w:val="22"/>
        </w:rPr>
        <w:t>• Аналитика для супер-администратора с отслеживанием генераций по дилерам и периодам.</w:t>
      </w:r>
    </w:p>
    <w:p>
      <w:r>
        <w:rPr>
          <w:rFonts w:ascii="Calibri" w:hAnsi="Calibri"/>
          <w:b w:val="0"/>
          <w:i w:val="0"/>
          <w:color w:val="2A2420"/>
          <w:sz w:val="22"/>
        </w:rPr>
        <w:t>• Добавление функционала, необходимость которого станет очевидна в процессе использования.</w:t>
      </w:r>
    </w:p>
    <w:p/>
    <w:p>
      <w:pPr>
        <w:jc w:val="left"/>
      </w:pPr>
      <w:r>
        <w:rPr>
          <w:rFonts w:ascii="Calibri" w:hAnsi="Calibri"/>
          <w:b/>
          <w:color w:val="8A6840"/>
          <w:sz w:val="28"/>
        </w:rPr>
        <w:t>Условия</w:t>
      </w:r>
    </w:p>
    <w:p>
      <w:r>
        <w:rPr>
          <w:rFonts w:ascii="Calibri" w:hAnsi="Calibri"/>
          <w:b w:val="0"/>
          <w:i w:val="0"/>
          <w:color w:val="2A2420"/>
          <w:sz w:val="22"/>
        </w:rPr>
        <w:t>• Оплата: 50% предоплата по началу этапа, 50% по приёмке.</w:t>
      </w:r>
    </w:p>
    <w:p>
      <w:r>
        <w:rPr>
          <w:rFonts w:ascii="Calibri" w:hAnsi="Calibri"/>
          <w:b w:val="0"/>
          <w:i w:val="0"/>
          <w:color w:val="2A2420"/>
          <w:sz w:val="22"/>
        </w:rPr>
        <w:t>• Расходы на API ИИ-модели — по фактическому потреблению, оплачиваются заказчиком отдельно.</w:t>
      </w:r>
    </w:p>
    <w:p>
      <w:r>
        <w:rPr>
          <w:rFonts w:ascii="Calibri" w:hAnsi="Calibri"/>
          <w:b w:val="0"/>
          <w:i w:val="0"/>
          <w:color w:val="2A2420"/>
          <w:sz w:val="22"/>
        </w:rPr>
        <w:t>• Развёртывание во внутреннем контуре заказчика (on-premise) — отдельный этап, оценивается после пилота.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