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0000"/>
          <w:sz w:val="32"/>
        </w:rPr>
        <w:t>Смета на создание AI визуализатора столешниц</w:t>
      </w:r>
    </w:p>
    <w:p/>
    <w:p>
      <w:r>
        <w:rPr>
          <w:rFonts w:ascii="Calibri" w:hAnsi="Calibri"/>
          <w:b w:val="0"/>
          <w:color w:val="000000"/>
          <w:sz w:val="22"/>
        </w:rPr>
        <w:t>На первом этапе предлагаем создать прототип, который даст понимание о целесообразности использования технологии генерации дилерами и конечными покупателями. В случае успеха (роста метрик конверсии сайта и повышением интереса дилеров к продажам) — развивать проект, а на 1-м этапе ограничиться минимальным функционалом.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EEEEEE"/>
          </w:tcPr>
          <w:p>
            <w:r/>
            <w:r>
              <w:rPr>
                <w:b/>
                <w:sz w:val="22"/>
              </w:rPr>
              <w:t>Состав работ</w:t>
            </w:r>
          </w:p>
        </w:tc>
        <w:tc>
          <w:tcPr>
            <w:tcW w:type="dxa" w:w="4703"/>
            <w:vAlign w:val="center"/>
            <w:shd w:fill="EEEEEE"/>
          </w:tcPr>
          <w:p>
            <w:r/>
            <w:r>
              <w:rPr>
                <w:b/>
                <w:sz w:val="22"/>
              </w:rPr>
              <w:t>Часы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sz w:val="22"/>
              </w:rPr>
              <w:t>Личный кабинет супер-администратора: список дилеров, начисление генераций, блокировка по IP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16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sz w:val="22"/>
              </w:rPr>
              <w:t>Личный кабинет дилера: панель генерации, счётчик квот, история, заявка на докупку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14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sz w:val="22"/>
              </w:rPr>
              <w:t>Публичный виджет на сайт: 3 бесплатных генерации → форма (телефон + email)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10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sz w:val="22"/>
              </w:rPr>
              <w:t>Защита по IP до 3/10 штук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10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sz w:val="22"/>
              </w:rPr>
              <w:t>Полный каталог текстур (180 штук) с фильтрами и админкой импорта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18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sz w:val="22"/>
              </w:rPr>
              <w:t>Адаптация интерфейса под стиль сайта заказчика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10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sz w:val="22"/>
              </w:rPr>
              <w:t>Деплой, мониторинг, логи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10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sz w:val="22"/>
              </w:rPr>
              <w:t>Тестирование системы на ресурсах заказчика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6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sz w:val="22"/>
              </w:rPr>
              <w:t>Приёмка, правки, документация для администратора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6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sz w:val="22"/>
              </w:rPr>
              <w:t>Альтернативный сценарий генерации: загрузка эскиза/чертежа кухни → фотореалистичный рендер с применением выбранной текстуры столешницы из каталога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26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sz w:val="22"/>
              </w:rPr>
              <w:t>Профиль компании дилера в личном кабинете: логотип, описание, услуги (монтаж, доставка, сборка), сроки, стандартные условия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14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sz w:val="22"/>
              </w:rPr>
              <w:t>Шаблон коммерческого предложения с подстановкой данных дилера и параметров визуализации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18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sz w:val="22"/>
              </w:rPr>
              <w:t>Генерация PDF коммерческого предложения и его отправка клиенту (скачивание + email)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18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sz w:val="22"/>
              </w:rPr>
              <w:t>Тестирование расширенного функционала, правки, обновление документации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>10</w:t>
            </w:r>
          </w:p>
        </w:tc>
      </w:tr>
      <w:tr>
        <w:tc>
          <w:tcPr>
            <w:tcW w:type="dxa" w:w="4703"/>
            <w:vAlign w:val="center"/>
            <w:shd w:fill="EEEEEE"/>
          </w:tcPr>
          <w:p>
            <w:r/>
            <w:r>
              <w:rPr>
                <w:b/>
                <w:sz w:val="22"/>
              </w:rPr>
              <w:t>Итого по этапу</w:t>
            </w:r>
          </w:p>
        </w:tc>
        <w:tc>
          <w:tcPr>
            <w:tcW w:type="dxa" w:w="4703"/>
            <w:vAlign w:val="center"/>
            <w:shd w:fill="EEEEEE"/>
          </w:tcPr>
          <w:p>
            <w:pPr>
              <w:jc w:val="center"/>
            </w:pPr>
            <w:r/>
            <w:r>
              <w:rPr>
                <w:b/>
                <w:sz w:val="22"/>
              </w:rPr>
              <w:t>190</w:t>
            </w:r>
          </w:p>
        </w:tc>
      </w:tr>
    </w:tbl>
    <w:p/>
    <w:p>
      <w:r>
        <w:rPr>
          <w:rFonts w:ascii="Calibri" w:hAnsi="Calibri"/>
          <w:b w:val="0"/>
          <w:color w:val="000000"/>
          <w:sz w:val="22"/>
        </w:rPr>
        <w:t>Для генерации будут использованы публичные модели, поэтому стоимость одной генерации будет 65 000 рублей за тысячу генераций. При оптимизации стоимость можно будет снизить примерно до 30–40 рублей за генерацию.</w:t>
      </w:r>
    </w:p>
    <w:p/>
    <w:p>
      <w:r>
        <w:rPr>
          <w:rFonts w:ascii="Calibri" w:hAnsi="Calibri"/>
          <w:b w:val="0"/>
          <w:color w:val="000000"/>
          <w:sz w:val="22"/>
        </w:rPr>
        <w:t>После фиксации метрик предлагаем улучшения:</w:t>
      </w:r>
    </w:p>
    <w:p>
      <w:r>
        <w:rPr>
          <w:rFonts w:ascii="Calibri" w:hAnsi="Calibri"/>
          <w:b w:val="0"/>
          <w:color w:val="000000"/>
          <w:sz w:val="22"/>
        </w:rPr>
        <w:t>• снижение стоимости генераций за счёт оптимизации модели;</w:t>
      </w:r>
    </w:p>
    <w:p>
      <w:r>
        <w:rPr>
          <w:rFonts w:ascii="Calibri" w:hAnsi="Calibri"/>
          <w:b w:val="0"/>
          <w:color w:val="000000"/>
          <w:sz w:val="22"/>
        </w:rPr>
        <w:t>• аналитика для супер-администратора с возможностью отслеживания генераций по дилерам;</w:t>
      </w:r>
    </w:p>
    <w:p>
      <w:r>
        <w:rPr>
          <w:rFonts w:ascii="Calibri" w:hAnsi="Calibri"/>
          <w:b w:val="0"/>
          <w:color w:val="000000"/>
          <w:sz w:val="22"/>
        </w:rPr>
        <w:t>• добавление функционала, необходимость которого станет очевидна в процессе использования.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