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台灣格雷蒙大型儲能業務決策摘要</w:t>
      </w:r>
    </w:p>
    <w:p>
      <w:r>
        <w:rPr>
          <w:sz w:val="18"/>
        </w:rPr>
        <w:t>台灣格雷蒙  電池材料開發部  │  呈報總經理  │  1 / 5  │  2026年10月8日</w:t>
      </w:r>
    </w:p>
    <w:p>
      <w:r>
        <w:t>建請授權電池材料開發部主導長庚合作及方案開發，以既有大廠與人脈切入政策履行、節費需求。首年推動五個5至10 MWh案場，代理權、收益與專業責任以合約確立。</w:t>
      </w:r>
    </w:p>
    <w:p>
      <w:pPr>
        <w:pStyle w:val="Heading2"/>
      </w:pPr>
      <w:r>
        <w:t>四種解法  以工廠契約容量10 MW比較</w:t>
      </w:r>
    </w:p>
    <w:p>
      <w:r>
        <w:t>依確認以10 MW作為工廠契約容量，非年用電量或儲能功率。未計扣減時10%義務為1000 kW，儲能最低對應2小時即2 MWh。綠電採購約占已履行容量71.1%（2025年1月歷史資料，非企業家數），可從既有採購客戶切入。[1][2]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4320"/>
        <w:gridCol w:w="3989"/>
      </w:tblGrid>
      <w:tr>
        <w:trPr>
          <w:cantSplit/>
        </w:trPr>
        <w:tc>
          <w:tcPr>
            <w:tcW w:type="dxa" w:w="14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方案</w:t>
            </w:r>
          </w:p>
        </w:tc>
        <w:tc>
          <w:tcPr>
            <w:tcW w:type="dxa" w:w="43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數量與成本基準</w:t>
            </w:r>
          </w:p>
        </w:tc>
        <w:tc>
          <w:tcPr>
            <w:tcW w:type="dxa" w:w="398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適用判斷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自建再生能源</w:t>
            </w:r>
          </w:p>
        </w:tc>
        <w:tc>
          <w:tcPr>
            <w:tcW w:type="dxa" w:w="43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設置1000 kW；依場址及發電條件報價</w:t>
            </w:r>
          </w:p>
        </w:tc>
        <w:tc>
          <w:tcPr>
            <w:tcW w:type="dxa" w:w="398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可自發自用；須有空間與發電條件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建置儲能</w:t>
            </w:r>
          </w:p>
        </w:tc>
        <w:tc>
          <w:tcPr>
            <w:tcW w:type="dxa" w:w="43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 MW／2 MWh；成本3096萬元，假設核定補助1000萬元，投入2096萬元</w:t>
            </w:r>
          </w:p>
        </w:tc>
        <w:tc>
          <w:tcPr>
            <w:tcW w:type="dxa" w:w="398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可節費並履行義務；資格與義務認定分別確認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綠電及憑證</w:t>
            </w:r>
          </w:p>
        </w:tc>
        <w:tc>
          <w:tcPr>
            <w:tcW w:type="dxa" w:w="43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太陽光電基準125萬度／年；4.8元／度時毛支出600萬元／年</w:t>
            </w:r>
          </w:p>
        </w:tc>
        <w:tc>
          <w:tcPr>
            <w:tcW w:type="dxa" w:w="398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4.8元為使用者價格假設；須扣被替代市電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繳納代金</w:t>
            </w:r>
          </w:p>
        </w:tc>
        <w:tc>
          <w:tcPr>
            <w:tcW w:type="dxa" w:w="432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1000 × 2500 × 4＝1000萬元／年</w:t>
            </w:r>
          </w:p>
        </w:tc>
        <w:tc>
          <w:tcPr>
            <w:tcW w:type="dxa" w:w="3989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未如期履行後機制，無設備與供電</w:t>
            </w:r>
          </w:p>
        </w:tc>
      </w:tr>
    </w:tbl>
    <w:p>
      <w:pPr>
        <w:pStyle w:val="Heading2"/>
      </w:pPr>
      <w:r>
        <w:t>累積成本交叉點  用情境判斷投資價值</w:t>
      </w:r>
    </w:p>
    <w:p>
      <w:r>
        <w:t>假設4.8元為綠電與憑證合計採購價、市電替代成本3.5元／度，首年綠電淨增加162.5萬元。2 MWh儲能首年價差效益199.83萬元，扣暫估運維保險30.96萬元，淨節費168.87萬元；若可停止該政策綠電採購，兩途徑相對共同市電基準的成本才可比較。[3][4][6]</w:t>
      </w:r>
    </w:p>
    <w:p>
      <w:r>
        <w:t>15年未折現模型納入價差效益每年衰減2%、第11年換修支出建置費20%。綠電價格年漲0%、3%、5%、8%時，首個年末交叉點分別約第7、6、6、5年。漲幅、市電價格、衰減與換修均是情境，非市場預測或長庚保證；第2頁列逐年表。</w:t>
      </w:r>
    </w:p>
    <w:p>
      <w:pPr>
        <w:pStyle w:val="Heading2"/>
      </w:pPr>
      <w:r>
        <w:t>為何由電池材料開發部主責</w:t>
      </w:r>
    </w:p>
    <w:p>
      <w:r>
        <w:t>本部已有大廠與相關人脈，有利啟動訪談；整合長庚、電機技師、消防、施工與驗證單位，形成勘查、設計、查驗至維運交接流程。10月19日加入的有經驗同仁可支援政府案；合作優勢以交付文件與收益契約落實。</w:t>
      </w:r>
    </w:p>
    <w:p>
      <w:pPr>
        <w:pStyle w:val="Heading2"/>
      </w:pPr>
      <w:r>
        <w:t>風險與投入條件</w:t>
      </w:r>
    </w:p>
    <w:p>
      <w:r>
        <w:t>以系統測試、BMS監測隔離、溫控、氣體偵測、防爆排氣、消防設計及EMS量測降低風險，不能保證零事故。首案應取得實際負載、報價、補助核定及政策認定；RE100等額外綠電需求不能因儲能而取消。[7]</w:t>
      </w:r>
    </w:p>
    <w:p>
      <w:pPr>
        <w:spacing w:before="80"/>
      </w:pPr>
      <w:r>
        <w:rPr>
          <w:sz w:val="16"/>
        </w:rPr>
        <w:t>若10 MW指儲能設備功率，2小時即20 MWh，成本等比例初估3億960萬元；超出單一年度1–10 MWh補助規模，不套用本案補助。太陽能仍是政策途徑，未證實政府不推薦。</w:t>
      </w:r>
    </w:p>
    <w:p>
      <w:pPr>
        <w:spacing w:after="40" w:line="240" w:lineRule="auto"/>
      </w:pPr>
      <w:hyperlink r:id="rId9">
        <w:r>
          <w:rPr>
            <w:sz w:val="15"/>
            <w:rFonts w:ascii="Noto Sans CJK TC" w:eastAsia="Noto Sans CJK TC"/>
          </w:rPr>
          <w:t>[1] 用電大戶辦法與附件  </w:t>
        </w:r>
      </w:hyperlink>
      <w:hyperlink r:id="rId10">
        <w:r>
          <w:rPr>
            <w:sz w:val="15"/>
            <w:rFonts w:ascii="Noto Sans CJK TC" w:eastAsia="Noto Sans CJK TC"/>
          </w:rPr>
          <w:t>[2] 能源署履行現況 2025年1月  </w:t>
        </w:r>
      </w:hyperlink>
      <w:hyperlink r:id="rId11">
        <w:r>
          <w:rPr>
            <w:sz w:val="15"/>
            <w:rFonts w:ascii="Noto Sans CJK TC" w:eastAsia="Noto Sans CJK TC"/>
          </w:rPr>
          <w:t>[3] 科技儲能補助計畫 PDF第21頁  </w:t>
        </w:r>
      </w:hyperlink>
      <w:hyperlink r:id="rId12">
        <w:r>
          <w:rPr>
            <w:sz w:val="15"/>
            <w:rFonts w:ascii="Noto Sans CJK TC" w:eastAsia="Noto Sans CJK TC"/>
          </w:rPr>
          <w:t>[4] 產業儲能設備補助要點  </w:t>
        </w:r>
      </w:hyperlink>
      <w:hyperlink r:id="rId13">
        <w:r>
          <w:rPr>
            <w:sz w:val="15"/>
            <w:rFonts w:ascii="Noto Sans CJK TC" w:eastAsia="Noto Sans CJK TC"/>
          </w:rPr>
          <w:t>[6] 台電高壓時間電價表  </w:t>
        </w:r>
      </w:hyperlink>
      <w:hyperlink r:id="rId14">
        <w:r>
          <w:rPr>
            <w:sz w:val="15"/>
            <w:rFonts w:ascii="Noto Sans CJK TC" w:eastAsia="Noto Sans CJK TC"/>
          </w:rPr>
          <w:t>[7] 消防署儲能安全指引說明 2026年5月  </w:t>
        </w:r>
      </w:hyperlink>
      <w:hyperlink r:id="rId15">
        <w:r>
          <w:rPr>
            <w:sz w:val="15"/>
            <w:rFonts w:ascii="Noto Sans CJK TC" w:eastAsia="Noto Sans CJK TC"/>
          </w:rPr>
          <w:t>[10] 代金費率公告  </w:t>
        </w:r>
      </w:hyperlink>
    </w:p>
    <w:p>
      <w:pPr>
        <w:pStyle w:val="Heading1"/>
        <w:pageBreakBefore/>
      </w:pPr>
      <w:r>
        <w:t>工商表後儲能與十五年成本比較</w:t>
      </w:r>
    </w:p>
    <w:p>
      <w:r>
        <w:rPr>
          <w:sz w:val="18"/>
        </w:rPr>
        <w:t>台灣格雷蒙  電池材料開發部  │  呈報總經理  │  2 / 5  │  2026年10月8日</w:t>
      </w:r>
    </w:p>
    <w:p>
      <w:pPr>
        <w:pStyle w:val="Heading2"/>
      </w:pPr>
      <w:r>
        <w:t>工商用電的表後儲能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86400" cy="19255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工商用電表後儲能示意圖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5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</w:pPr>
      <w:r>
        <w:rPr>
          <w:sz w:val="16"/>
        </w:rPr>
        <w:t>參照長庚V7 PDF第4頁重繪；儲能不產生綠電。停電備援須另有切換與孤島運轉設計。</w:t>
      </w:r>
    </w:p>
    <w:p>
      <w:pPr>
        <w:pStyle w:val="Heading2"/>
      </w:pPr>
      <w:r>
        <w:t>10 MW契約容量情境  綠電年漲5%</w:t>
      </w:r>
    </w:p>
    <w:p>
      <w:r>
        <w:t>比較相對共同市電基準的增加成本，單位萬元：綠電＝125萬度×（綠電價−市電3.5元）；儲能＝投入2096萬元＋累計運維換修−累計價差節費。負數為相對基準的節省，不是負電費。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160"/>
        <w:gridCol w:w="3312"/>
        <w:gridCol w:w="2621"/>
      </w:tblGrid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年末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綠電元／度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綠電累積淨增加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儲能累積淨增加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2,096.0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4.80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162.5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1,927.1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5.04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355.0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1,762.3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5.29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579.0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1,601.3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5.56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836.1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1,444.2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5.83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1,127.9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1,290.8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6.13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1,456.1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1,141.2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6.43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1,822.7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995.1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6.75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2,229.5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852.6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7.09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2,678.4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713.5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7.45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3,171.7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577.9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7.82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3,711.6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1,064.8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8.21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4,300.3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935.7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8.62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4,940.3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809.9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9.05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5,634.2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687.2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9.50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6,384.6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567.5</w:t>
            </w:r>
          </w:p>
        </w:tc>
      </w:tr>
    </w:tbl>
    <w:p>
      <w:r>
        <w:t>第6年末兩者首次交叉，為年度估算而非精確回收日。2 MWh首年放電900度／MWh／次、250次（夏月105／非夏月145），交流效率90%，運維保險建置費1%／年。價差效益每年衰減2%；第11年換修619.2萬元，故儲能累積成本回升。</w:t>
      </w:r>
    </w:p>
    <w:p>
      <w:pPr>
        <w:spacing w:before="80"/>
      </w:pPr>
      <w:r>
        <w:rPr>
          <w:sz w:val="16"/>
        </w:rPr>
        <w:t>假設可取消僅為義務的綠電採購；若仍須綠電，儲能方案也須計入採購費。未計稅、融資、輔助用電、折現及殘值；5%為情境，不代表實際必漲。補助須核定、指定園區、國產及運轉條件符合，土建機電與饋線不列補助。</w:t>
      </w:r>
    </w:p>
    <w:p>
      <w:pPr>
        <w:spacing w:after="40" w:line="240" w:lineRule="auto"/>
      </w:pPr>
      <w:hyperlink r:id="rId9">
        <w:r>
          <w:rPr>
            <w:sz w:val="15"/>
            <w:rFonts w:ascii="Noto Sans CJK TC" w:eastAsia="Noto Sans CJK TC"/>
          </w:rPr>
          <w:t>[1] 用電大戶辦法與附件  </w:t>
        </w:r>
      </w:hyperlink>
      <w:hyperlink r:id="rId11">
        <w:r>
          <w:rPr>
            <w:sz w:val="15"/>
            <w:rFonts w:ascii="Noto Sans CJK TC" w:eastAsia="Noto Sans CJK TC"/>
          </w:rPr>
          <w:t>[3] 科技儲能補助計畫 PDF第21頁  </w:t>
        </w:r>
      </w:hyperlink>
      <w:hyperlink r:id="rId12">
        <w:r>
          <w:rPr>
            <w:sz w:val="15"/>
            <w:rFonts w:ascii="Noto Sans CJK TC" w:eastAsia="Noto Sans CJK TC"/>
          </w:rPr>
          <w:t>[4] 產業儲能設備補助要點  </w:t>
        </w:r>
      </w:hyperlink>
      <w:hyperlink r:id="rId13">
        <w:r>
          <w:rPr>
            <w:sz w:val="15"/>
            <w:rFonts w:ascii="Noto Sans CJK TC" w:eastAsia="Noto Sans CJK TC"/>
          </w:rPr>
          <w:t>[6] 台電高壓時間電價表  </w:t>
        </w:r>
      </w:hyperlink>
      <w:hyperlink r:id="rId17">
        <w:r>
          <w:rPr>
            <w:sz w:val="15"/>
            <w:rFonts w:ascii="Noto Sans CJK TC" w:eastAsia="Noto Sans CJK TC"/>
          </w:rPr>
          <w:t>[8] T REC價格問答  </w:t>
        </w:r>
      </w:hyperlink>
    </w:p>
    <w:p>
      <w:pPr>
        <w:pStyle w:val="Heading1"/>
        <w:pageBreakBefore/>
      </w:pPr>
      <w:r>
        <w:t>長庚選商理由與儲能安全對策</w:t>
      </w:r>
    </w:p>
    <w:p>
      <w:r>
        <w:rPr>
          <w:sz w:val="18"/>
        </w:rPr>
        <w:t>台灣格雷蒙  電池材料開發部  │  呈報總經理  │  3 / 5  │  2026年10月8日</w:t>
      </w:r>
    </w:p>
    <w:p>
      <w:r>
        <w:t>建議與長庚洽談設備代理及共同案場開發：國產電芯符合補助方向，在地製造與服務有利於交付及維修。本部以既有客戶關係承接商務及方案企劃，長庚負責設備技術、產地證明與售後服務，藉分工形成可收費、可交付的方案能力。</w:t>
      </w:r>
    </w:p>
    <w:p>
      <w:pPr>
        <w:pStyle w:val="Heading2"/>
      </w:pPr>
      <w:r>
        <w:t>選商依據與必須取得的文件</w:t>
      </w:r>
    </w:p>
    <w:p>
      <w:r>
        <w:t>依V7簡報，長庚在臺灣自製電芯與模組，具BMS、EMS及系統整合能力；臺灣建置完成及建置中合計超過81 MW、275 MWh。須取得驗收實績、同型號測試報告、關鍵製程及零組件產地證明；尚無可比排名支持「臺灣第一」。</w:t>
      </w:r>
    </w:p>
    <w:p>
      <w:r>
        <w:t>簡報列有EPC設計、維運代操、電芯保固及融資協助，並宣稱10年保固與72小時服務。合約須明定容量維持率、循環及操作限制、排修與修復時限、備品與責任分工；代理合作另訂客戶與案源歸屬、報價權限、費用及收益，確保本部開發投入可取得報酬。</w:t>
      </w:r>
    </w:p>
    <w:p>
      <w:pPr>
        <w:pStyle w:val="Heading2"/>
      </w:pPr>
      <w:r>
        <w:t>大型儲能櫃的主要規格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2160"/>
        <w:gridCol w:w="3312"/>
        <w:gridCol w:w="2621"/>
      </w:tblGrid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型號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裝置容量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電池側運行容量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PCS功率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C2100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2.104 MWh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1.800 MWh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選配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C2900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2.900 MWh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2.500 MWh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選配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C1400</w:t>
            </w:r>
          </w:p>
        </w:tc>
        <w:tc>
          <w:tcPr>
            <w:tcW w:type="dxa" w:w="2160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1.403 MWh</w:t>
            </w:r>
          </w:p>
        </w:tc>
        <w:tc>
          <w:tcPr>
            <w:tcW w:type="dxa" w:w="331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1.200 MWh</w:t>
            </w:r>
          </w:p>
        </w:tc>
        <w:tc>
          <w:tcPr>
            <w:tcW w:type="dxa" w:w="2621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500 kW</w:t>
            </w:r>
          </w:p>
        </w:tc>
      </w:tr>
    </w:tbl>
    <w:p>
      <w:r>
        <w:t>三型均為20呎級LFP系統，簡報標示IP55、氣冷、循環6000次；循環條件須查驗。兩櫃C2900名目裝置5.8 MWh、電池側運行5.0 MWh，交流可供電量還須扣除轉換損失與輔助用電。</w:t>
      </w:r>
    </w:p>
    <w:p>
      <w:pPr>
        <w:pStyle w:val="Heading2"/>
      </w:pPr>
      <w:r>
        <w:t>風險與分層技術對策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7877"/>
      </w:tblGrid>
      <w:tr>
        <w:trPr>
          <w:cantSplit/>
        </w:trPr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風險</w:t>
            </w:r>
          </w:p>
        </w:tc>
        <w:tc>
          <w:tcPr>
            <w:tcW w:type="dxa" w:w="787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  <w:shd w:fill="EAEAEA"/>
          </w:tcPr>
          <w:p>
            <w:pPr>
              <w:spacing w:after="20" w:before="20" w:line="240" w:lineRule="exact"/>
            </w:pPr>
            <w:r>
              <w:rPr>
                <w:b/>
                <w:sz w:val="18"/>
              </w:rPr>
              <w:t>技術與執行措施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熱失控與延燒</w:t>
            </w:r>
          </w:p>
        </w:tc>
        <w:tc>
          <w:tcPr>
            <w:tcW w:type="dxa" w:w="787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查驗電芯、模組及系統測試；BMS監測電壓、溫度、電流，異常限流或切離；溫控、分艙、間距與防火設計。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可燃氣體與復燃</w:t>
            </w:r>
          </w:p>
        </w:tc>
        <w:tc>
          <w:tcPr>
            <w:tcW w:type="dxa" w:w="787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早期氣體及煙溫偵測，聯動停機；經專業設計的通風、防爆排氣與消防設備，備妥消防救災及復燃監控計畫。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短路、電弧與環境</w:t>
            </w:r>
          </w:p>
        </w:tc>
        <w:tc>
          <w:tcPr>
            <w:tcW w:type="dxa" w:w="787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保護協調、熔絲、斷路器、接地及絕緣監測；洪水標高、耐震、防撞與鹽害評估；檢修隔離及殘存能量管理。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調度、資安與財務</w:t>
            </w:r>
          </w:p>
        </w:tc>
        <w:tc>
          <w:tcPr>
            <w:tcW w:type="dxa" w:w="7877"/>
            <w:vAlign w:val="center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 w:before="20" w:line="240" w:lineRule="exact"/>
            </w:pPr>
            <w:r>
              <w:rPr>
                <w:b w:val="0"/>
                <w:sz w:val="18"/>
              </w:rPr>
              <w:t>EMS設定充放電與負載限制，量測交流效益；權限分級及遠端連線保護；容量保證、維運、保險與補助運轉紀錄。</w:t>
            </w:r>
          </w:p>
        </w:tc>
      </w:tr>
    </w:tbl>
    <w:p>
      <w:r>
        <w:t>軟包電芯與阻燃配方效果須以同型號測試驗證。UL 9540A評估延燒及氣體危害，不代表免消防；案場依適用VPC、電機簽證及消防指引辦理設計、查驗與檢修。[7][9]</w:t>
      </w:r>
    </w:p>
    <w:p>
      <w:pPr>
        <w:spacing w:before="80"/>
      </w:pPr>
      <w:r>
        <w:rPr>
          <w:sz w:val="16"/>
        </w:rPr>
        <w:t>產品與服務依據：長庚V7簡報PDF第16–28、62–63頁。安全措施係方案設計要求，須由專業人員判定適用性，並非宣稱所有功能已由長庚標配。</w:t>
      </w:r>
    </w:p>
    <w:p>
      <w:pPr>
        <w:spacing w:after="40" w:line="240" w:lineRule="auto"/>
      </w:pPr>
      <w:hyperlink r:id="rId14">
        <w:r>
          <w:rPr>
            <w:sz w:val="15"/>
            <w:rFonts w:ascii="Noto Sans CJK TC" w:eastAsia="Noto Sans CJK TC"/>
          </w:rPr>
          <w:t>[7] 消防署儲能安全指引說明 2026年5月  </w:t>
        </w:r>
      </w:hyperlink>
      <w:hyperlink r:id="rId18">
        <w:r>
          <w:rPr>
            <w:sz w:val="15"/>
            <w:rFonts w:ascii="Noto Sans CJK TC" w:eastAsia="Noto Sans CJK TC"/>
          </w:rPr>
          <w:t>[9] UL 9540A測試方法  </w:t>
        </w:r>
      </w:hyperlink>
    </w:p>
    <w:p>
      <w:pPr>
        <w:pStyle w:val="Heading1"/>
        <w:pageBreakBefore/>
      </w:pPr>
      <w:r>
        <w:t>目標客戶與合作開發方式</w:t>
      </w:r>
    </w:p>
    <w:p>
      <w:r>
        <w:rPr>
          <w:sz w:val="18"/>
        </w:rPr>
        <w:t>台灣格雷蒙  電池材料開發部  │  呈報總經理  │  4 / 5  │  2026年10月8日</w:t>
      </w:r>
    </w:p>
    <w:p>
      <w:r>
        <w:t>首批開發應從公司既有大廠客戶出發。依內部提供資訊，已有數家客戶符合用電大戶條件，並有相關人脈可接洽。此為本部啟動儲能開發的具體基礎；應優先確認客戶政策履行方式、儲能需求、用電曲線與場址資格，再選出適合5至10 MWh方案的對象。</w:t>
      </w:r>
    </w:p>
    <w:p>
      <w:pPr>
        <w:pStyle w:val="Heading2"/>
      </w:pPr>
      <w:r>
        <w:t>既有用電大戶是首批開發重點</w:t>
      </w:r>
    </w:p>
    <w:p>
      <w:r>
        <w:t>第一類為位於補助適用園區且尖峰用電量高的製造業，例如電子、金屬加工、塑化及食品工廠。其開發重點為尖離峰價差、負載持續時間、超約紀錄與廠內空間，適合作為首批節費型案場。</w:t>
      </w:r>
    </w:p>
    <w:p>
      <w:r>
        <w:t>第二類為公司既有用電大戶及已採購綠電的企業。用電大戶有多種政策履行途徑，儲能並非所有客戶的強制選項；本部應比較既有履行成本與儲能節費效益，提出可支持政策要求、又符合企業投資條件的方案。補助資格與義務履行須分別確認。</w:t>
      </w:r>
    </w:p>
    <w:p>
      <w:r>
        <w:t>第三類為停電損失高或須維持關鍵負載的場域，例如資料中心、醫療、冷鏈及連續製程工廠。此類案件應先界定備援負載、供電時間與切換要求，再評估儲能與既有UPS、柴油發電機的整合；不一定適用工業儲能補助。</w:t>
      </w:r>
    </w:p>
    <w:p>
      <w:r>
        <w:t>第四類為政府公共設施、防災據點及微電網案場。其需求著重公共服務不中斷、韌性與能源整合，應另循採購、預算與招標條件評估，不直接套用產業用戶補助。</w:t>
      </w:r>
    </w:p>
    <w:p>
      <w:pPr>
        <w:pStyle w:val="Heading2"/>
      </w:pPr>
      <w:r>
        <w:t>由本部建立政策執行與專案協作能力</w:t>
      </w:r>
    </w:p>
    <w:p>
      <w:r>
        <w:t>建議安排長庚的產品、電價調度、補助文件、消防與維運教育訓練，並共同進行案場參訪及首案勘查。本部負責建立政策資格檢核與標準資料表，蒐集電號、契約容量、負載曲線、廠區圖、土地權屬及既有電力設備，交由長庚與技師進行技術審查。</w:t>
      </w:r>
    </w:p>
    <w:p>
      <w:pPr>
        <w:pStyle w:val="Heading2"/>
      </w:pPr>
      <w:r>
        <w:t>10月19日加入的同仁協助政府案開發</w:t>
      </w:r>
    </w:p>
    <w:p>
      <w:r>
        <w:t>依內部規劃，具相關經驗之同仁將於2026年10月19日加入，可由本部安排協助盤點政府儲能與防災案源、整理標案資格、建立機關需求清單及協調合作團隊。初期宜將政府案與民間工業節費案分成兩條開發線，分別使用採購評估與投資回收工具。</w:t>
      </w:r>
    </w:p>
    <w:p>
      <w:r>
        <w:t>首案宜選擇資料完整、需求明確、場址限制較少且決策窗口清楚的客戶，形成可參訪、可量測效益的示範案例，作為後續複製的基礎。</w:t>
      </w:r>
    </w:p>
    <w:p>
      <w:pPr>
        <w:spacing w:before="80"/>
      </w:pPr>
      <w:r>
        <w:rPr>
          <w:sz w:val="16"/>
        </w:rPr>
        <w:t>資料依據：長庚V7簡報PDF第4–5、28、31–52頁；補助場址資格依經濟部要點。10月19日人員安排為台灣格雷蒙內部提供之規劃。</w:t>
      </w:r>
    </w:p>
    <w:p>
      <w:pPr>
        <w:pStyle w:val="Heading1"/>
        <w:pageBreakBefore/>
      </w:pPr>
      <w:r>
        <w:t>一年五案的發展目標與方案商定位</w:t>
      </w:r>
    </w:p>
    <w:p>
      <w:r>
        <w:rPr>
          <w:sz w:val="18"/>
        </w:rPr>
        <w:t>台灣格雷蒙  電池材料開發部  │  呈報總經理  │  5 / 5  │  2026年10月8日</w:t>
      </w:r>
    </w:p>
    <w:p>
      <w:r>
        <w:t>建議以提案核准後12個月為首年執行期間，建立同時推動五個案場的專案能力，單案規模5至10 MWh，合計開發容量25至50 MWh。「推動」以完成初評、客戶提案並進入實質協商為管理基準；簽約及完工另列指標，依客戶決策、補助審查與工程條件排程。</w:t>
      </w:r>
    </w:p>
    <w:p>
      <w:pPr>
        <w:pStyle w:val="Heading2"/>
      </w:pPr>
      <w:r>
        <w:t>本部主導方案開發與跨專業協作</w:t>
      </w:r>
    </w:p>
    <w:p>
      <w:r>
        <w:t>台灣格雷蒙定位為方案商，由電池材料開發部擔任業務主責，負責需求訪談、資料蒐集、初版配置與概念設計、方案企劃、財務情境分析及客戶協調。初版設計應標示概念階段，正式電力設計、保護協調、結構與消防規劃，由具相應資格的技師及專業團隊審查或辦理。</w:t>
      </w:r>
    </w:p>
    <w:p>
      <w:r>
        <w:t>長庚負責設備選型、技術參數、產地與測試文件、供應交付及契約約定的售後服務。工程團隊承擔施工與現場品質；若台灣格雷蒙擔任統包窗口，則須另外落實施工、安全、保固與保險責任的契約配置。</w:t>
      </w:r>
    </w:p>
    <w:p>
      <w:pPr>
        <w:pStyle w:val="Heading2"/>
      </w:pPr>
      <w:r>
        <w:t>採分階段擴展至五案並行</w:t>
      </w:r>
    </w:p>
    <w:p>
      <w:r>
        <w:t>第1至3個月完成合作條件、產品訓練及標準提案工具，優先拜訪既有大廠與人脈引介對象，逐步建立至少15個潛在案源，完成一案的用電與場址初評。第4至6個月完成示範案商務協商或簽約，並形成其他案件的技術與收益評估。第7至12個月將五案推進實質協商，依可行性分批安排補助申請、細部設計與工程。上述數字為內部目標，應按實際轉換率調整。</w:t>
      </w:r>
    </w:p>
    <w:p>
      <w:pPr>
        <w:pStyle w:val="Heading2"/>
      </w:pPr>
      <w:r>
        <w:t>建立可持續的服務收入</w:t>
      </w:r>
    </w:p>
    <w:p>
      <w:r>
        <w:t>收入可由方案規劃費、設備與工程整合毛利、專案管理及後續維運服務組成，實際項目須與合作夥伴及客戶約定。初期建議以方案服務與交付管理為主，持有案場或收益分成模式則另作資金、信用與營運風險評估。</w:t>
      </w:r>
    </w:p>
    <w:p>
      <w:r>
        <w:t>每案應追蹤預估與實際節费、可用容量、設備可用率、補助運轉要求、毛利及回款時程，建立共用文件與專案負責人制度。五案合計25至50 MWh為市場開發規模，不宜直接乘以補助單價作為收入預估；補助受領人原則上為符合資格的申請企業。</w:t>
      </w:r>
    </w:p>
    <w:p>
      <w:pPr>
        <w:pStyle w:val="Heading2"/>
      </w:pPr>
      <w:r>
        <w:t>提請總經理核准的事項</w:t>
      </w:r>
    </w:p>
    <w:p>
      <w:r>
        <w:t>一、指定電池材料開發部為儲能業務開發主責，協調業務、財務、法務及工程合作資源。二、授權本部與長庚洽談合作、安排訓練及啟動客戶初評，配置專案窗口與業務支援；訓練、勘查及技師費用取得報價後另提預算。三、採季度成果審查，檢核有效案源、五案進度、毛利與回款；首案完成技術、補助及財務審查後，再核准正式投入與擴案資源。</w:t>
      </w:r>
    </w:p>
    <w:p>
      <w:pPr>
        <w:spacing w:before="80"/>
      </w:pPr>
      <w:r>
        <w:rPr>
          <w:sz w:val="16"/>
        </w:rPr>
        <w:t>資料基準日：2026年10月8日。長庚產品、實績與服務以V7簡報為據，正式採購以合約及有效文件為準；年度目標、分工與開發階段為本提案建議。</w:t>
      </w:r>
    </w:p>
    <w:sectPr w:rsidR="00FC693F" w:rsidRPr="0006063C" w:rsidSect="00034616">
      <w:pgSz w:w="11909" w:h="16834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0" w:lineRule="exact" w:after="100"/>
    </w:pPr>
    <w:rPr>
      <w:rFonts w:ascii="Noto Sans CJK TC" w:hAnsi="Noto Sans CJK TC" w:eastAsia="Noto Sans CJK T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40" w:lineRule="exact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Noto Sans CJK TC" w:hAnsi="Noto Sans CJK TC" w:eastAsia="Noto Sans CJK TC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aw.moea.gov.tw/LawContent.aspx?id=GL001116" TargetMode="External"/><Relationship Id="rId10" Type="http://schemas.openxmlformats.org/officeDocument/2006/relationships/hyperlink" Target="https://www.moeaea.gov.tw/ECW/populace/news/News.aspx?kind=1&amp;menu_id=41&amp;news_id=33944" TargetMode="External"/><Relationship Id="rId11" Type="http://schemas.openxmlformats.org/officeDocument/2006/relationships/hyperlink" Target="https://www.ey.gov.tw/File/E343CA7C57B0DA3D?A=C" TargetMode="External"/><Relationship Id="rId12" Type="http://schemas.openxmlformats.org/officeDocument/2006/relationships/hyperlink" Target="https://law.moea.gov.tw/LawContent.aspx?id=GL001904" TargetMode="External"/><Relationship Id="rId13" Type="http://schemas.openxmlformats.org/officeDocument/2006/relationships/hyperlink" Target="https://www.taipower.com.tw/media/tr5fv522/%E9%AB%98%E5%A3%93%E6%99%82%E9%96%93%E9%9B%BB%E5%83%B9.pdf" TargetMode="External"/><Relationship Id="rId14" Type="http://schemas.openxmlformats.org/officeDocument/2006/relationships/hyperlink" Target="https://mag.nfa.gov.tw/article.php?id=4084" TargetMode="External"/><Relationship Id="rId15" Type="http://schemas.openxmlformats.org/officeDocument/2006/relationships/hyperlink" Target="https://gazette2.nat.gov.tw/EG_FileManager/eguploadpub/eg027048/ch04/type3/gov31/num6/Eg.htm" TargetMode="External"/><Relationship Id="rId16" Type="http://schemas.openxmlformats.org/officeDocument/2006/relationships/image" Target="media/image1.png"/><Relationship Id="rId17" Type="http://schemas.openxmlformats.org/officeDocument/2006/relationships/hyperlink" Target="https://www.trec.org.tw/faq?tag=%E7%B6%A0%E9%9B%BB%E6%86%91%E8%AD%89%E4%BA%A4%E6%98%93%28%E9%9B%BB%E8%AD%89%E5%90%88%E4%B8%80%29" TargetMode="External"/><Relationship Id="rId18" Type="http://schemas.openxmlformats.org/officeDocument/2006/relationships/hyperlink" Target="https://www.ul.com/services/ul-9540a-test-meth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