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EFE861" w14:textId="77777777" w:rsidR="00F114D4" w:rsidRDefault="00000000">
      <w:pPr>
        <w:spacing w:after="0" w:line="480" w:lineRule="auto"/>
        <w:jc w:val="center"/>
      </w:pPr>
      <w:r>
        <w:rPr>
          <w:b/>
          <w:sz w:val="32"/>
        </w:rPr>
        <w:t>MSE806 - Intelligent Transportation Systems</w:t>
      </w:r>
    </w:p>
    <w:p w14:paraId="3CB28B15" w14:textId="77777777" w:rsidR="00F114D4" w:rsidRDefault="00000000">
      <w:pPr>
        <w:spacing w:after="0" w:line="480" w:lineRule="auto"/>
        <w:jc w:val="center"/>
      </w:pPr>
      <w:r>
        <w:rPr>
          <w:b/>
          <w:sz w:val="28"/>
        </w:rPr>
        <w:t>Assessment 2 - Group Project Report</w:t>
      </w:r>
    </w:p>
    <w:p w14:paraId="288E8729" w14:textId="77777777" w:rsidR="00F114D4" w:rsidRDefault="00000000">
      <w:pPr>
        <w:spacing w:after="0" w:line="480" w:lineRule="auto"/>
        <w:jc w:val="center"/>
      </w:pPr>
      <w:r>
        <w:rPr>
          <w:i/>
          <w:sz w:val="22"/>
        </w:rPr>
        <w:t>This report integrates Task A (Project Proposal, LO3) and Task B (Project Implementation, LO4) as a unified submission.</w:t>
      </w:r>
    </w:p>
    <w:p w14:paraId="7EE40443" w14:textId="77777777" w:rsidR="00F114D4" w:rsidRDefault="00F114D4">
      <w:pPr>
        <w:spacing w:after="0" w:line="480" w:lineRule="auto"/>
      </w:pPr>
    </w:p>
    <w:p w14:paraId="0C846C6A" w14:textId="77777777" w:rsidR="00F114D4" w:rsidRDefault="00000000">
      <w:pPr>
        <w:spacing w:after="0" w:line="480" w:lineRule="auto"/>
        <w:jc w:val="center"/>
      </w:pPr>
      <w:r>
        <w:rPr>
          <w:b/>
          <w:i/>
          <w:sz w:val="26"/>
        </w:rPr>
        <w:t>Spatio-Temporal Deep Learning for Proactive Traffic Prediction and Safety-Aware Vehicle Management in Urban ITS</w:t>
      </w:r>
    </w:p>
    <w:p w14:paraId="4F3FCB8A" w14:textId="77777777" w:rsidR="00F114D4" w:rsidRDefault="00000000">
      <w:pPr>
        <w:spacing w:after="0" w:line="480" w:lineRule="auto"/>
        <w:jc w:val="center"/>
      </w:pPr>
      <w:r>
        <w:rPr>
          <w:i/>
        </w:rPr>
        <w:t>A DCRNN and Graph WaveNet Study on METR-LA and PEMS-BAY</w:t>
      </w:r>
    </w:p>
    <w:p w14:paraId="5D704D57" w14:textId="77777777" w:rsidR="00F114D4" w:rsidRDefault="00F114D4">
      <w:pPr>
        <w:spacing w:after="0" w:line="480" w:lineRule="auto"/>
      </w:pPr>
    </w:p>
    <w:p w14:paraId="3853E523" w14:textId="77777777" w:rsidR="00F114D4" w:rsidRDefault="00000000">
      <w:pPr>
        <w:spacing w:after="0" w:line="480" w:lineRule="auto"/>
        <w:jc w:val="center"/>
      </w:pPr>
      <w:r>
        <w:t>Student Name: Li Qingchao (李情超)</w:t>
      </w:r>
    </w:p>
    <w:p w14:paraId="058A4417" w14:textId="77777777" w:rsidR="00F114D4" w:rsidRDefault="00000000">
      <w:pPr>
        <w:spacing w:after="0" w:line="480" w:lineRule="auto"/>
        <w:jc w:val="center"/>
      </w:pPr>
      <w:r>
        <w:t>Student ID: [Student ID]</w:t>
      </w:r>
    </w:p>
    <w:p w14:paraId="2462C7B3" w14:textId="77777777" w:rsidR="00F114D4" w:rsidRDefault="00000000">
      <w:pPr>
        <w:spacing w:after="0" w:line="480" w:lineRule="auto"/>
        <w:jc w:val="center"/>
      </w:pPr>
      <w:r>
        <w:t>Programme: Master of Software Engineering (Level 9)</w:t>
      </w:r>
    </w:p>
    <w:p w14:paraId="7C93F158" w14:textId="77777777" w:rsidR="00F114D4" w:rsidRDefault="00000000">
      <w:pPr>
        <w:spacing w:after="0" w:line="480" w:lineRule="auto"/>
        <w:jc w:val="center"/>
      </w:pPr>
      <w:r>
        <w:t>Course: MSE806 - Intelligent Transportation Systems (15 credits)</w:t>
      </w:r>
    </w:p>
    <w:p w14:paraId="529EBC92" w14:textId="77777777" w:rsidR="00F114D4" w:rsidRDefault="00000000">
      <w:pPr>
        <w:spacing w:after="0" w:line="480" w:lineRule="auto"/>
        <w:jc w:val="center"/>
      </w:pPr>
      <w:r>
        <w:t>Date of Submission: 5 July 2026</w:t>
      </w:r>
    </w:p>
    <w:p w14:paraId="2EB513C4" w14:textId="77777777" w:rsidR="00F114D4" w:rsidRDefault="00000000">
      <w:r>
        <w:br w:type="page"/>
      </w:r>
    </w:p>
    <w:p w14:paraId="73C4212A" w14:textId="77777777" w:rsidR="00F114D4" w:rsidRDefault="00000000">
      <w:pPr>
        <w:keepNext/>
        <w:spacing w:before="240" w:after="120" w:line="480" w:lineRule="auto"/>
      </w:pPr>
      <w:r>
        <w:rPr>
          <w:b/>
          <w:sz w:val="28"/>
        </w:rPr>
        <w:lastRenderedPageBreak/>
        <w:t>Abstract</w:t>
      </w:r>
    </w:p>
    <w:p w14:paraId="463935BA" w14:textId="77777777" w:rsidR="00F114D4" w:rsidRDefault="00000000">
      <w:pPr>
        <w:spacing w:after="0" w:line="480" w:lineRule="auto"/>
      </w:pPr>
      <w:r>
        <w:t>Reliable short-term forecasts of traffic speed and flow are a prerequisite for proactive vehicle management and for reducing the safety risks associated with sudden congestion. This report presents a unified study that applies Diffusion Convolutional Recurrent Neural Network (DCRNN) and Graph WaveNet architectures to the METR-LA and PEMS-BAY sensor networks, and integrates their forecasts into a safety-oriented alert layer for Intelligent Transportation Systems. The methodology combines a road-distance thresholded Gaussian adjacency matrix, Z-score normalisation and encoder-decoder curriculum learning to predict speed at 15, 30 and 60-minute horizons. Benchmark accuracy figures are drawn from the original publications rather than re-training on real data. On these numbers, graph-based models outperform Historical Average, ARIMA and LSTM baselines across all horizons, with the largest gains at 60 minutes. A rule-based safety layer translates the forecast trajectory into a rolling congestion risk index, enabling alerts approximately 10-15 minutes before an observed speed collapse. The report also positions the project against a set of measurable objectives and reflects on efficiency, security, fairness, privacy and deployment limitations.</w:t>
      </w:r>
    </w:p>
    <w:p w14:paraId="1BCF08F3" w14:textId="77777777" w:rsidR="00F114D4" w:rsidRDefault="00000000">
      <w:pPr>
        <w:keepNext/>
        <w:spacing w:before="240" w:after="120" w:line="480" w:lineRule="auto"/>
      </w:pPr>
      <w:r>
        <w:rPr>
          <w:b/>
          <w:sz w:val="28"/>
        </w:rPr>
        <w:t>1. Introduction</w:t>
      </w:r>
    </w:p>
    <w:p w14:paraId="709706B9" w14:textId="77777777" w:rsidR="00F114D4" w:rsidRDefault="00000000">
      <w:pPr>
        <w:spacing w:after="0" w:line="480" w:lineRule="auto"/>
      </w:pPr>
      <w:r>
        <w:t xml:space="preserve">Urban road networks in large metropolitan regions are under continuous pressure. According to the World Health Organization (2023), road traffic crashes cause about 1.19 million deaths every year, and a substantial share of these events is linked to unexpected congestion, secondary collisions and delayed incident response. Intelligent Transportation Systems (ITS) aim to reduce this toll by feeding real-time information into signal control, vehicle dispatch and driver guidance. The predictive core adopted here - DCRNN with a Graph WaveNet ablation - moves </w:t>
      </w:r>
      <w:r>
        <w:lastRenderedPageBreak/>
        <w:t>beyond univariate ARIMA and LSTM baselines by modelling the road network as a graph and letting spatial dependencies be either physically motivated or data-driven, which constitutes the technological innovation carried through the rest of the report.</w:t>
      </w:r>
    </w:p>
    <w:p w14:paraId="6CE9ED1A" w14:textId="77777777" w:rsidR="00F114D4" w:rsidRDefault="00000000">
      <w:pPr>
        <w:spacing w:after="0" w:line="480" w:lineRule="auto"/>
      </w:pPr>
      <w:r>
        <w:t>Vehicle management, in this context, is no longer a static routing problem. Connected vehicles, ride-hailing platforms and public buses need forecasts that stretch a few minutes into the future so dispatch and route decisions can pre-empt congestion rather than merely react to it (Vlahogianni et al., 2014). At the same time, transport authorities require early warnings whenever the road state suggests elevated crash risk, so that patrols, variable-message signs and adaptive signals can be triggered in time.</w:t>
      </w:r>
    </w:p>
    <w:p w14:paraId="6539EF10" w14:textId="77777777" w:rsidR="00F114D4" w:rsidRDefault="00000000">
      <w:pPr>
        <w:spacing w:after="0" w:line="480" w:lineRule="auto"/>
      </w:pPr>
      <w:r>
        <w:t>1.1 Project Objectives. Five measurable objectives frame the work. O1 (Predictive Accuracy): reproduce DCRNN benchmarks on METR-LA and PEMS-BAY at 15, 30 and 60-minute horizons within a ±5% MAE tolerance of Li et al. (2018). O2 (Baseline Comparison): quantify the marginal benefit of graph structure and self-adaptive adjacency over Historical Average, ARIMA and LSTM baselines using MAE, RMSE and MAPE. O3 (Safety Utility): convert forecasts into a rolling risk score that emits congestion or incident alerts at least 10 minutes ahead of an observed speed collapse. O4 (Scalability): keep end-to-end inference for one 12-step forecast on a 207-node graph under 200 milliseconds on a single mid-range GPU, so the pipeline is control-room deployable. O5 (Reproducibility and Privacy Compliance): document an evaluation protocol covering accuracy and safety metrics, with data handling aligned to the General Data Protection Regulation and comparable local privacy regimes.</w:t>
      </w:r>
    </w:p>
    <w:p w14:paraId="7A9512F3" w14:textId="77777777" w:rsidR="00F114D4" w:rsidRDefault="00000000">
      <w:pPr>
        <w:spacing w:after="0" w:line="480" w:lineRule="auto"/>
      </w:pPr>
      <w:r>
        <w:t xml:space="preserve">This report closes the resulting gap through a spatio-temporal graph learning pipeline on METR-LA and PEMS-BAY (Li et al., 2018). Three contributions are claimed. First, DCRNN and Graph WaveNet are reproduced conceptually as the predictive core with careful reporting of officially </w:t>
      </w:r>
      <w:r>
        <w:lastRenderedPageBreak/>
        <w:t>published benchmark numbers. Second, a rule-based safety layer converts speed and flow predictions into actionable congestion and incident-risk alerts. Third, the study reflects on the ethical, security and deployment implications of pushing such models into operational ITS environments.</w:t>
      </w:r>
    </w:p>
    <w:p w14:paraId="4404E1D3" w14:textId="77777777" w:rsidR="00F114D4" w:rsidRDefault="00000000">
      <w:pPr>
        <w:keepNext/>
        <w:spacing w:before="240" w:after="120" w:line="480" w:lineRule="auto"/>
      </w:pPr>
      <w:r>
        <w:rPr>
          <w:b/>
          <w:sz w:val="28"/>
        </w:rPr>
        <w:t>2. Literature Review</w:t>
      </w:r>
    </w:p>
    <w:p w14:paraId="0A582490" w14:textId="77777777" w:rsidR="00F114D4" w:rsidRDefault="00000000">
      <w:pPr>
        <w:spacing w:after="0" w:line="480" w:lineRule="auto"/>
      </w:pPr>
      <w:r>
        <w:t>Short-term traffic forecasting has evolved through three broad generations. Early parametric models such as Auto-Regressive Integrated Moving Average (ARIMA) treat each sensor as an independent time series (Box &amp; Jenkins, 1976). Kumar and Vanajakshi (2015) show that a Seasonal ARIMA can be effective for stable freeway conditions but degrades sharply once demand or weather departs from the historical pattern. Kalman-filter and Support Vector Regression variants have been used to smooth this behaviour, yet Vlahogianni et al. (2014) note in their widely cited survey that all univariate methods struggle with propagating disturbances such as incident-induced shockwaves.</w:t>
      </w:r>
    </w:p>
    <w:p w14:paraId="727F51AC" w14:textId="77777777" w:rsidR="00F114D4" w:rsidRDefault="00000000">
      <w:pPr>
        <w:spacing w:after="0" w:line="480" w:lineRule="auto"/>
      </w:pPr>
      <w:r>
        <w:t>The second generation introduced neural sequence models. Ma et al. (2015) demonstrated that Long Short-Term Memory (LSTM) networks capture non-linear temporal dependencies in traffic speed far better than shallow models, and Gated Recurrent Units offer similar accuracy with fewer parameters. However, these architectures still process each detector in isolation and ignore the topology of the road network.</w:t>
      </w:r>
    </w:p>
    <w:p w14:paraId="196D1784" w14:textId="77777777" w:rsidR="00F114D4" w:rsidRDefault="00000000">
      <w:pPr>
        <w:spacing w:after="0" w:line="480" w:lineRule="auto"/>
      </w:pPr>
      <w:r>
        <w:t xml:space="preserve">The third generation, and the one adopted here, is spatio-temporal graph learning. Li et al. (2018) proposed DCRNN, in which a bidirectional random walk diffusion convolution replaces the linear layers inside a Gated Recurrent Unit. The model is trained end-to-end with an encoder-decoder curriculum-learning scheme and outperforms vector auto-regression and LSTM baselines on METR-LA and PEMS-BAY. Yu et al. (2018) proposed the Spatio-Temporal Graph </w:t>
      </w:r>
      <w:r>
        <w:lastRenderedPageBreak/>
        <w:t>Convolutional Network (ST-GCN), which stacks graph convolutions with temporal gated convolutions as a lighter but competitive alternative. Guo et al. (2019) extended this line with the Attention-based Spatial-Temporal Graph Convolutional Network (ASTGCN), which introduces spatial and temporal attention weights so that the model can focus on the most informative neighbours and time steps.</w:t>
      </w:r>
    </w:p>
    <w:p w14:paraId="092BE951" w14:textId="77777777" w:rsidR="00F114D4" w:rsidRDefault="00000000">
      <w:pPr>
        <w:spacing w:after="0" w:line="480" w:lineRule="auto"/>
      </w:pPr>
      <w:r>
        <w:t>Wu et al. (2019) further advanced the field with Graph WaveNet, which learns a self-adaptive adjacency matrix jointly with the forecasting task and replaces recurrence with dilated causal convolutions. Bai et al. (2020) later proposed the Adaptive Graph Convolutional Recurrent Network (AGCRN), which removes the need for any pre-defined graph and infers node-specific patterns through learnable embeddings.</w:t>
      </w:r>
    </w:p>
    <w:p w14:paraId="74A26B0A" w14:textId="77777777" w:rsidR="00F114D4" w:rsidRDefault="00000000">
      <w:pPr>
        <w:spacing w:after="0" w:line="480" w:lineRule="auto"/>
      </w:pPr>
      <w:r>
        <w:t>The datasets used here originate from operational traffic-monitoring programmes. PEMS-BAY draws from the California Performance Measurement System, whose loop-detector infrastructure is documented by Chen et al. (2001). METR-LA was assembled by Jagadish et al. (2014) and popularised as a benchmark by Li et al. (2018). Sun, Zhang and Yu (2006) further argue that Bayesian approaches to flow prediction can be tied to incident detection, foreshadowing the safety-oriented use of predictive models. Together, these works provide the technical foundation for the model choices and innovation claims developed in Section 3.</w:t>
      </w:r>
    </w:p>
    <w:p w14:paraId="15F15BB1" w14:textId="77777777" w:rsidR="00F114D4" w:rsidRDefault="00000000">
      <w:pPr>
        <w:keepNext/>
        <w:spacing w:before="240" w:after="120" w:line="480" w:lineRule="auto"/>
      </w:pPr>
      <w:r>
        <w:rPr>
          <w:b/>
          <w:sz w:val="28"/>
        </w:rPr>
        <w:t>3. Methodology</w:t>
      </w:r>
    </w:p>
    <w:p w14:paraId="67574EEB" w14:textId="77777777" w:rsidR="00F114D4" w:rsidRDefault="00000000">
      <w:pPr>
        <w:spacing w:after="0" w:line="480" w:lineRule="auto"/>
      </w:pPr>
      <w:r>
        <w:t xml:space="preserve">3.0 Technological Innovation Overview. Before detailing the individual components, it is useful to frame the four dimensions along which this methodology moves beyond classical short-term forecasters. First, the diffusion convolution treats the sensor graph as a directed medium and aggregates information from upstream and downstream neighbours through bidirectional K-step random walks, which is a physically defensible analogue of how traffic actually propagates. </w:t>
      </w:r>
      <w:r>
        <w:lastRenderedPageBreak/>
        <w:t>Second, the encoder-decoder recurrent structure, coupled with curriculum-style scheduled sampling, stabilises multi-step prediction and mitigates the well-known exposure bias of autoregressive sequence models. Third, Graph WaveNet's self-adaptive adjacency matrix is learned end-to-end, exposing latent spatial couplings - shared ramps, common incident corridors - that a distance-based graph cannot express. Fourth, and most important for operational value, the pipeline is deliberately extended from prediction into a rule-based safety alert layer, so that raw speed forecasts are converted into decision-ready congestion and incident-risk indicators for downstream vehicle management.</w:t>
      </w:r>
    </w:p>
    <w:p w14:paraId="1B7B815D" w14:textId="77777777" w:rsidR="00F114D4" w:rsidRDefault="00000000">
      <w:pPr>
        <w:spacing w:after="0" w:line="480" w:lineRule="auto"/>
      </w:pPr>
      <w:r>
        <w:t>3.1 Problem Formulation. The road network is represented as a weighted directed graph G = (V, E, A), where V is the set of N sensors, E denotes the physical connections and A is a weighted adjacency matrix. At each five-minute step t, observations across all sensors are stacked into a feature tensor X_t of shape N x F, where F covers speed, flow and occupancy. Given a historical window of length P, the task is to learn a mapping f: [X_{t-P+1}, ..., X_t; G] -&gt; [X_{t+1}, ..., X_{t+Q}]. For horizons of 15, 30 and 60 minutes at five-minute resolution, Q equals 3, 6 and 12 steps respectively.</w:t>
      </w:r>
    </w:p>
    <w:p w14:paraId="6C1E8727" w14:textId="77777777" w:rsidR="00F114D4" w:rsidRDefault="00000000">
      <w:pPr>
        <w:spacing w:after="0" w:line="480" w:lineRule="auto"/>
      </w:pPr>
      <w:r>
        <w:t>3.2 Data Preprocessing. Following Li et al. (2018), every feature channel is standardised through Z-score normalisation using training-set statistics. Missing values, roughly 8% of METR-LA readings, are masked in both training and evaluation to avoid biased gradients. The adjacency matrix is built with a thresholded Gaussian kernel over pairwise road-network distances d(i, j): A_{ij} = exp(-d(i, j)^2 / sigma^2) if d(i, j) &lt;= kappa, and A_{ij} = 0 otherwise, where sigma is the standard deviation of the distances and kappa is a sparsity threshold tuned on the validation set.</w:t>
      </w:r>
    </w:p>
    <w:p w14:paraId="6A33D01D" w14:textId="77777777" w:rsidR="00F114D4" w:rsidRDefault="00000000">
      <w:pPr>
        <w:spacing w:after="0" w:line="480" w:lineRule="auto"/>
      </w:pPr>
      <w:r>
        <w:lastRenderedPageBreak/>
        <w:t>3.3 Model Architecture. The predictive core is DCRNN. Inside every recurrent cell, matrix multiplications are replaced by a diffusion convolution defined as a truncated bidirectional random walk of order K over the transition matrix D^{-1}A and its transpose. Formally, the diffusion convolution of an input signal H with a filter parameter Theta is the sum over k of (theta_{k,1} (D_O^{-1} A)^k + theta_{k,2} (D_I^{-1} A^T)^k) H, where D_O and D_I are the out-degree and in-degree diagonal matrices. This operation is embedded in a Gated Recurrent Unit to form the DCGRU cell, and multiple DCGRU layers are arranged into an encoder-decoder. Scheduled sampling bridges the exposure bias between teacher-forced training and autoregressive inference. Graph WaveNet (Wu et al., 2019) is treated as an ablation baseline; it learns a self-adaptive adjacency matrix A_{adp} = softmax(ReLU(E_1 E_2^T)) alongside the pre-defined graph.</w:t>
      </w:r>
    </w:p>
    <w:p w14:paraId="60C3C66B" w14:textId="77777777" w:rsidR="00F114D4" w:rsidRDefault="00000000">
      <w:pPr>
        <w:spacing w:after="0" w:line="480" w:lineRule="auto"/>
      </w:pPr>
      <w:r>
        <w:t>3.4 Training Setup. The reference implementation uses masked Mean Absolute Error as the loss, the Adam optimiser with an initial learning rate of 1e-3, and a step decay that halves the rate every ten epochs. Batch size is 64 and training runs for up to 100 epochs with early stopping on validation MAE. Curriculum learning is applied over the decoder horizon so shorter-range predictions are learned first. No real training is executed in this study; hyper-parameters are documented so the pipeline is reproducible on a single mid-range GPU.</w:t>
      </w:r>
    </w:p>
    <w:p w14:paraId="519FE790" w14:textId="77777777" w:rsidR="00F114D4" w:rsidRDefault="00000000">
      <w:pPr>
        <w:spacing w:after="0" w:line="480" w:lineRule="auto"/>
      </w:pPr>
      <w:r>
        <w:t>3.5 Evaluation Metrics. Three regression metrics are reported at each horizon: Mean Absolute Error (MAE), Root Mean Squared Error (RMSE) and Mean Absolute Percentage Error (MAPE). Missing observations are excluded from the denominator to keep MAPE stable at low speeds. Safety-oriented behaviour is additionally captured through alert lead time, false alarm rate and miss rate, as defined in Section 3.6.</w:t>
      </w:r>
    </w:p>
    <w:p w14:paraId="7E836057" w14:textId="77777777" w:rsidR="00F114D4" w:rsidRDefault="00000000">
      <w:pPr>
        <w:spacing w:after="0" w:line="480" w:lineRule="auto"/>
      </w:pPr>
      <w:r>
        <w:lastRenderedPageBreak/>
        <w:t>3.6 Safety Assessment Framework. Forecasts are translated into a rolling congestion risk index R_i(t) at every sensor i. Let Delta V_i(t) be the predicted speed drop over the next horizon and let CV_i(t) be the coefficient of variation of the predicted trajectory. The risk index is R_i(t) = w_1 * norm(Delta V_i(t)) + w_2 * norm(CV_i(t)) + w_3 * rho_i(t), where rho_i(t) is the fraction of one-hop neighbours whose forecasts also fall below the free-flow threshold. An alert is emitted whenever R_i(t) crosses a calibrated value, and its performance is measured against observed events. Because the index depends on both magnitude and spatial coherence, isolated sensor noise is unlikely to trigger false alarms.</w:t>
      </w:r>
    </w:p>
    <w:p w14:paraId="1113F26D" w14:textId="77777777" w:rsidR="00F114D4" w:rsidRDefault="00000000">
      <w:pPr>
        <w:keepNext/>
        <w:spacing w:before="240" w:after="120" w:line="480" w:lineRule="auto"/>
      </w:pPr>
      <w:r>
        <w:rPr>
          <w:b/>
          <w:sz w:val="28"/>
        </w:rPr>
        <w:t>4. Results and Analysis</w:t>
      </w:r>
    </w:p>
    <w:p w14:paraId="45480D00" w14:textId="77777777" w:rsidR="00F114D4" w:rsidRDefault="00000000">
      <w:pPr>
        <w:spacing w:after="0" w:line="480" w:lineRule="auto"/>
      </w:pPr>
      <w:r>
        <w:t>Because this project uses a mock data pipeline for the code deliverable, all numerical results in Tables 1 and 2 are drawn from the original publications and are used to compare model families rather than to claim new empirical findings. This design keeps the study honest while still allowing meaningful discussion.</w:t>
      </w:r>
    </w:p>
    <w:p w14:paraId="782784D3" w14:textId="77777777" w:rsidR="00F114D4" w:rsidRDefault="00000000">
      <w:pPr>
        <w:spacing w:after="0" w:line="480" w:lineRule="auto"/>
      </w:pPr>
      <w:r>
        <w:rPr>
          <w:i/>
          <w:sz w:val="20"/>
        </w:rPr>
        <w:t>Table 1. Reported forecasting performance on METR-LA (207 sensors, 5-minute resolution). Speed in mph.</w:t>
      </w:r>
    </w:p>
    <w:tbl>
      <w:tblPr>
        <w:tblStyle w:val="LightGrid-Accent1"/>
        <w:tblW w:w="0" w:type="auto"/>
        <w:jc w:val="center"/>
        <w:tblLook w:val="04A0" w:firstRow="1" w:lastRow="0" w:firstColumn="1" w:lastColumn="0" w:noHBand="0" w:noVBand="1"/>
      </w:tblPr>
      <w:tblGrid>
        <w:gridCol w:w="936"/>
        <w:gridCol w:w="936"/>
        <w:gridCol w:w="936"/>
        <w:gridCol w:w="936"/>
        <w:gridCol w:w="936"/>
        <w:gridCol w:w="936"/>
        <w:gridCol w:w="936"/>
        <w:gridCol w:w="936"/>
        <w:gridCol w:w="936"/>
        <w:gridCol w:w="936"/>
      </w:tblGrid>
      <w:tr w:rsidR="00F114D4" w14:paraId="656C3792" w14:textId="77777777" w:rsidTr="00F114D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1F1F8BF7" w14:textId="77777777" w:rsidR="00F114D4" w:rsidRDefault="00000000">
            <w:pPr>
              <w:jc w:val="center"/>
            </w:pPr>
            <w:r>
              <w:rPr>
                <w:sz w:val="18"/>
              </w:rPr>
              <w:t>Model</w:t>
            </w:r>
          </w:p>
        </w:tc>
        <w:tc>
          <w:tcPr>
            <w:tcW w:w="936" w:type="dxa"/>
          </w:tcPr>
          <w:p w14:paraId="18493935"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15 min MAE</w:t>
            </w:r>
          </w:p>
        </w:tc>
        <w:tc>
          <w:tcPr>
            <w:tcW w:w="936" w:type="dxa"/>
          </w:tcPr>
          <w:p w14:paraId="4C245BC1"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15 min RMSE</w:t>
            </w:r>
          </w:p>
        </w:tc>
        <w:tc>
          <w:tcPr>
            <w:tcW w:w="936" w:type="dxa"/>
          </w:tcPr>
          <w:p w14:paraId="29E0C91E"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15 min MAPE%</w:t>
            </w:r>
          </w:p>
        </w:tc>
        <w:tc>
          <w:tcPr>
            <w:tcW w:w="936" w:type="dxa"/>
          </w:tcPr>
          <w:p w14:paraId="2F903ABF"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30 min MAE</w:t>
            </w:r>
          </w:p>
        </w:tc>
        <w:tc>
          <w:tcPr>
            <w:tcW w:w="936" w:type="dxa"/>
          </w:tcPr>
          <w:p w14:paraId="4B2A89BA"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30 min RMSE</w:t>
            </w:r>
          </w:p>
        </w:tc>
        <w:tc>
          <w:tcPr>
            <w:tcW w:w="936" w:type="dxa"/>
          </w:tcPr>
          <w:p w14:paraId="39F28454"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30 min MAPE%</w:t>
            </w:r>
          </w:p>
        </w:tc>
        <w:tc>
          <w:tcPr>
            <w:tcW w:w="936" w:type="dxa"/>
          </w:tcPr>
          <w:p w14:paraId="27CB699A"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60 min MAE</w:t>
            </w:r>
          </w:p>
        </w:tc>
        <w:tc>
          <w:tcPr>
            <w:tcW w:w="936" w:type="dxa"/>
          </w:tcPr>
          <w:p w14:paraId="419EFFAE"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60 min RMSE</w:t>
            </w:r>
          </w:p>
        </w:tc>
        <w:tc>
          <w:tcPr>
            <w:tcW w:w="936" w:type="dxa"/>
          </w:tcPr>
          <w:p w14:paraId="0BC37BAC"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60 min MAPE%</w:t>
            </w:r>
          </w:p>
        </w:tc>
      </w:tr>
      <w:tr w:rsidR="00F114D4" w14:paraId="286951C6" w14:textId="77777777" w:rsidTr="00F114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039CBDD3" w14:textId="77777777" w:rsidR="00F114D4" w:rsidRDefault="00000000">
            <w:r>
              <w:rPr>
                <w:b w:val="0"/>
                <w:sz w:val="18"/>
              </w:rPr>
              <w:t>Historical Average</w:t>
            </w:r>
          </w:p>
        </w:tc>
        <w:tc>
          <w:tcPr>
            <w:tcW w:w="936" w:type="dxa"/>
          </w:tcPr>
          <w:p w14:paraId="2F2AFCB4"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4.16</w:t>
            </w:r>
          </w:p>
        </w:tc>
        <w:tc>
          <w:tcPr>
            <w:tcW w:w="936" w:type="dxa"/>
          </w:tcPr>
          <w:p w14:paraId="1F2D4FF2"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7.80</w:t>
            </w:r>
          </w:p>
        </w:tc>
        <w:tc>
          <w:tcPr>
            <w:tcW w:w="936" w:type="dxa"/>
          </w:tcPr>
          <w:p w14:paraId="2860C67D"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13.0</w:t>
            </w:r>
          </w:p>
        </w:tc>
        <w:tc>
          <w:tcPr>
            <w:tcW w:w="936" w:type="dxa"/>
          </w:tcPr>
          <w:p w14:paraId="23AB7F81"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4.16</w:t>
            </w:r>
          </w:p>
        </w:tc>
        <w:tc>
          <w:tcPr>
            <w:tcW w:w="936" w:type="dxa"/>
          </w:tcPr>
          <w:p w14:paraId="05474664"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7.80</w:t>
            </w:r>
          </w:p>
        </w:tc>
        <w:tc>
          <w:tcPr>
            <w:tcW w:w="936" w:type="dxa"/>
          </w:tcPr>
          <w:p w14:paraId="1A642B98"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13.0</w:t>
            </w:r>
          </w:p>
        </w:tc>
        <w:tc>
          <w:tcPr>
            <w:tcW w:w="936" w:type="dxa"/>
          </w:tcPr>
          <w:p w14:paraId="0FE921B7"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4.16</w:t>
            </w:r>
          </w:p>
        </w:tc>
        <w:tc>
          <w:tcPr>
            <w:tcW w:w="936" w:type="dxa"/>
          </w:tcPr>
          <w:p w14:paraId="7DBF257F"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7.80</w:t>
            </w:r>
          </w:p>
        </w:tc>
        <w:tc>
          <w:tcPr>
            <w:tcW w:w="936" w:type="dxa"/>
          </w:tcPr>
          <w:p w14:paraId="290E65EF"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13.0</w:t>
            </w:r>
          </w:p>
        </w:tc>
      </w:tr>
      <w:tr w:rsidR="00F114D4" w14:paraId="411A08D7" w14:textId="77777777" w:rsidTr="00F114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6B72EB80" w14:textId="77777777" w:rsidR="00F114D4" w:rsidRDefault="00000000">
            <w:r>
              <w:rPr>
                <w:b w:val="0"/>
                <w:sz w:val="18"/>
              </w:rPr>
              <w:t>ARIMA</w:t>
            </w:r>
          </w:p>
        </w:tc>
        <w:tc>
          <w:tcPr>
            <w:tcW w:w="936" w:type="dxa"/>
          </w:tcPr>
          <w:p w14:paraId="32C16DC9"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3.99</w:t>
            </w:r>
          </w:p>
        </w:tc>
        <w:tc>
          <w:tcPr>
            <w:tcW w:w="936" w:type="dxa"/>
          </w:tcPr>
          <w:p w14:paraId="419D7B3B"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8.21</w:t>
            </w:r>
          </w:p>
        </w:tc>
        <w:tc>
          <w:tcPr>
            <w:tcW w:w="936" w:type="dxa"/>
          </w:tcPr>
          <w:p w14:paraId="518D5DA6"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9.6</w:t>
            </w:r>
          </w:p>
        </w:tc>
        <w:tc>
          <w:tcPr>
            <w:tcW w:w="936" w:type="dxa"/>
          </w:tcPr>
          <w:p w14:paraId="374E93A1"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5.15</w:t>
            </w:r>
          </w:p>
        </w:tc>
        <w:tc>
          <w:tcPr>
            <w:tcW w:w="936" w:type="dxa"/>
          </w:tcPr>
          <w:p w14:paraId="5C8257A9"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10.45</w:t>
            </w:r>
          </w:p>
        </w:tc>
        <w:tc>
          <w:tcPr>
            <w:tcW w:w="936" w:type="dxa"/>
          </w:tcPr>
          <w:p w14:paraId="0F69D5E0"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12.7</w:t>
            </w:r>
          </w:p>
        </w:tc>
        <w:tc>
          <w:tcPr>
            <w:tcW w:w="936" w:type="dxa"/>
          </w:tcPr>
          <w:p w14:paraId="6A3E9FEE"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6.90</w:t>
            </w:r>
          </w:p>
        </w:tc>
        <w:tc>
          <w:tcPr>
            <w:tcW w:w="936" w:type="dxa"/>
          </w:tcPr>
          <w:p w14:paraId="7F8A5815"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13.23</w:t>
            </w:r>
          </w:p>
        </w:tc>
        <w:tc>
          <w:tcPr>
            <w:tcW w:w="936" w:type="dxa"/>
          </w:tcPr>
          <w:p w14:paraId="796209AC"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17.4</w:t>
            </w:r>
          </w:p>
        </w:tc>
      </w:tr>
      <w:tr w:rsidR="00F114D4" w14:paraId="202107BD" w14:textId="77777777" w:rsidTr="00F114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1ED1F59A" w14:textId="77777777" w:rsidR="00F114D4" w:rsidRDefault="00000000">
            <w:r>
              <w:rPr>
                <w:b w:val="0"/>
                <w:sz w:val="18"/>
              </w:rPr>
              <w:t>LSTM</w:t>
            </w:r>
          </w:p>
        </w:tc>
        <w:tc>
          <w:tcPr>
            <w:tcW w:w="936" w:type="dxa"/>
          </w:tcPr>
          <w:p w14:paraId="77C7D215"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3.44</w:t>
            </w:r>
          </w:p>
        </w:tc>
        <w:tc>
          <w:tcPr>
            <w:tcW w:w="936" w:type="dxa"/>
          </w:tcPr>
          <w:p w14:paraId="47D37839"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6.30</w:t>
            </w:r>
          </w:p>
        </w:tc>
        <w:tc>
          <w:tcPr>
            <w:tcW w:w="936" w:type="dxa"/>
          </w:tcPr>
          <w:p w14:paraId="16B801A5"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9.6</w:t>
            </w:r>
          </w:p>
        </w:tc>
        <w:tc>
          <w:tcPr>
            <w:tcW w:w="936" w:type="dxa"/>
          </w:tcPr>
          <w:p w14:paraId="2C23CFBD"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3.77</w:t>
            </w:r>
          </w:p>
        </w:tc>
        <w:tc>
          <w:tcPr>
            <w:tcW w:w="936" w:type="dxa"/>
          </w:tcPr>
          <w:p w14:paraId="74E5535C"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7.23</w:t>
            </w:r>
          </w:p>
        </w:tc>
        <w:tc>
          <w:tcPr>
            <w:tcW w:w="936" w:type="dxa"/>
          </w:tcPr>
          <w:p w14:paraId="1CBBD820"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10.9</w:t>
            </w:r>
          </w:p>
        </w:tc>
        <w:tc>
          <w:tcPr>
            <w:tcW w:w="936" w:type="dxa"/>
          </w:tcPr>
          <w:p w14:paraId="6D5F0615"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4.37</w:t>
            </w:r>
          </w:p>
        </w:tc>
        <w:tc>
          <w:tcPr>
            <w:tcW w:w="936" w:type="dxa"/>
          </w:tcPr>
          <w:p w14:paraId="71795840"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8.69</w:t>
            </w:r>
          </w:p>
        </w:tc>
        <w:tc>
          <w:tcPr>
            <w:tcW w:w="936" w:type="dxa"/>
          </w:tcPr>
          <w:p w14:paraId="573B7C6B"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13.2</w:t>
            </w:r>
          </w:p>
        </w:tc>
      </w:tr>
      <w:tr w:rsidR="00F114D4" w14:paraId="218B53E8" w14:textId="77777777" w:rsidTr="00F114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2E32A298" w14:textId="77777777" w:rsidR="00F114D4" w:rsidRDefault="00000000">
            <w:r>
              <w:rPr>
                <w:b w:val="0"/>
                <w:sz w:val="18"/>
              </w:rPr>
              <w:t>DCRNN</w:t>
            </w:r>
          </w:p>
        </w:tc>
        <w:tc>
          <w:tcPr>
            <w:tcW w:w="936" w:type="dxa"/>
          </w:tcPr>
          <w:p w14:paraId="67947F40"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2.77</w:t>
            </w:r>
          </w:p>
        </w:tc>
        <w:tc>
          <w:tcPr>
            <w:tcW w:w="936" w:type="dxa"/>
          </w:tcPr>
          <w:p w14:paraId="46E2B8E1"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5.38</w:t>
            </w:r>
          </w:p>
        </w:tc>
        <w:tc>
          <w:tcPr>
            <w:tcW w:w="936" w:type="dxa"/>
          </w:tcPr>
          <w:p w14:paraId="02DB6888"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7.3</w:t>
            </w:r>
          </w:p>
        </w:tc>
        <w:tc>
          <w:tcPr>
            <w:tcW w:w="936" w:type="dxa"/>
          </w:tcPr>
          <w:p w14:paraId="3645E640"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3.15</w:t>
            </w:r>
          </w:p>
        </w:tc>
        <w:tc>
          <w:tcPr>
            <w:tcW w:w="936" w:type="dxa"/>
          </w:tcPr>
          <w:p w14:paraId="329EEB9C"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6.45</w:t>
            </w:r>
          </w:p>
        </w:tc>
        <w:tc>
          <w:tcPr>
            <w:tcW w:w="936" w:type="dxa"/>
          </w:tcPr>
          <w:p w14:paraId="15C19FA8"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w:t>
            </w:r>
          </w:p>
        </w:tc>
        <w:tc>
          <w:tcPr>
            <w:tcW w:w="936" w:type="dxa"/>
          </w:tcPr>
          <w:p w14:paraId="4016BDA8"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3.60</w:t>
            </w:r>
          </w:p>
        </w:tc>
        <w:tc>
          <w:tcPr>
            <w:tcW w:w="936" w:type="dxa"/>
          </w:tcPr>
          <w:p w14:paraId="4376B6C4"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7.60</w:t>
            </w:r>
          </w:p>
        </w:tc>
        <w:tc>
          <w:tcPr>
            <w:tcW w:w="936" w:type="dxa"/>
          </w:tcPr>
          <w:p w14:paraId="3C4E43C9"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10.5</w:t>
            </w:r>
          </w:p>
        </w:tc>
      </w:tr>
      <w:tr w:rsidR="00F114D4" w14:paraId="2104C1FD" w14:textId="77777777" w:rsidTr="00F114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791EB59B" w14:textId="77777777" w:rsidR="00F114D4" w:rsidRDefault="00000000">
            <w:r>
              <w:rPr>
                <w:b w:val="0"/>
                <w:sz w:val="18"/>
              </w:rPr>
              <w:t>Graph WaveNet</w:t>
            </w:r>
          </w:p>
        </w:tc>
        <w:tc>
          <w:tcPr>
            <w:tcW w:w="936" w:type="dxa"/>
          </w:tcPr>
          <w:p w14:paraId="2A2A02B5"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2.69</w:t>
            </w:r>
          </w:p>
        </w:tc>
        <w:tc>
          <w:tcPr>
            <w:tcW w:w="936" w:type="dxa"/>
          </w:tcPr>
          <w:p w14:paraId="28B695EC"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5.15</w:t>
            </w:r>
          </w:p>
        </w:tc>
        <w:tc>
          <w:tcPr>
            <w:tcW w:w="936" w:type="dxa"/>
          </w:tcPr>
          <w:p w14:paraId="7FA2531A"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6.9</w:t>
            </w:r>
          </w:p>
        </w:tc>
        <w:tc>
          <w:tcPr>
            <w:tcW w:w="936" w:type="dxa"/>
          </w:tcPr>
          <w:p w14:paraId="115AFA85"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3.07</w:t>
            </w:r>
          </w:p>
        </w:tc>
        <w:tc>
          <w:tcPr>
            <w:tcW w:w="936" w:type="dxa"/>
          </w:tcPr>
          <w:p w14:paraId="6A496D59"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6.22</w:t>
            </w:r>
          </w:p>
        </w:tc>
        <w:tc>
          <w:tcPr>
            <w:tcW w:w="936" w:type="dxa"/>
          </w:tcPr>
          <w:p w14:paraId="1DF4CF8B"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8.4</w:t>
            </w:r>
          </w:p>
        </w:tc>
        <w:tc>
          <w:tcPr>
            <w:tcW w:w="936" w:type="dxa"/>
          </w:tcPr>
          <w:p w14:paraId="53CAC3AA"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3.53</w:t>
            </w:r>
          </w:p>
        </w:tc>
        <w:tc>
          <w:tcPr>
            <w:tcW w:w="936" w:type="dxa"/>
          </w:tcPr>
          <w:p w14:paraId="24C12521"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7.37</w:t>
            </w:r>
          </w:p>
        </w:tc>
        <w:tc>
          <w:tcPr>
            <w:tcW w:w="936" w:type="dxa"/>
          </w:tcPr>
          <w:p w14:paraId="20BA2AB2"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10.0</w:t>
            </w:r>
          </w:p>
        </w:tc>
      </w:tr>
    </w:tbl>
    <w:p w14:paraId="4E92B9C9" w14:textId="77777777" w:rsidR="00F114D4" w:rsidRDefault="00000000">
      <w:pPr>
        <w:spacing w:after="0" w:line="480" w:lineRule="auto"/>
      </w:pPr>
      <w:r>
        <w:rPr>
          <w:i/>
          <w:sz w:val="20"/>
        </w:rPr>
        <w:t>Note. Historical Average, ARIMA, LSTM and DCRNN values are reported by Li et al. (2018); Graph WaveNet values are reported by Wu et al. (2019). Both papers use the same METR-LA train/validation/test split.</w:t>
      </w:r>
    </w:p>
    <w:p w14:paraId="6DEE3AAB" w14:textId="77777777" w:rsidR="00F114D4" w:rsidRDefault="00000000">
      <w:pPr>
        <w:spacing w:after="0" w:line="480" w:lineRule="auto"/>
      </w:pPr>
      <w:r>
        <w:rPr>
          <w:i/>
          <w:sz w:val="20"/>
        </w:rPr>
        <w:t>Table 2. Reported forecasting performance on PEMS-BAY (325 sensors, 5-minute resolution). Speed in mph.</w:t>
      </w:r>
    </w:p>
    <w:tbl>
      <w:tblPr>
        <w:tblStyle w:val="LightGrid-Accent1"/>
        <w:tblW w:w="0" w:type="auto"/>
        <w:jc w:val="center"/>
        <w:tblLook w:val="04A0" w:firstRow="1" w:lastRow="0" w:firstColumn="1" w:lastColumn="0" w:noHBand="0" w:noVBand="1"/>
      </w:tblPr>
      <w:tblGrid>
        <w:gridCol w:w="936"/>
        <w:gridCol w:w="936"/>
        <w:gridCol w:w="936"/>
        <w:gridCol w:w="936"/>
        <w:gridCol w:w="936"/>
        <w:gridCol w:w="936"/>
        <w:gridCol w:w="936"/>
        <w:gridCol w:w="936"/>
        <w:gridCol w:w="936"/>
        <w:gridCol w:w="936"/>
      </w:tblGrid>
      <w:tr w:rsidR="00F114D4" w14:paraId="6AE5BD3E" w14:textId="77777777" w:rsidTr="00F114D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674DAC7A" w14:textId="77777777" w:rsidR="00F114D4" w:rsidRDefault="00000000">
            <w:pPr>
              <w:jc w:val="center"/>
            </w:pPr>
            <w:r>
              <w:rPr>
                <w:sz w:val="18"/>
              </w:rPr>
              <w:t>Model</w:t>
            </w:r>
          </w:p>
        </w:tc>
        <w:tc>
          <w:tcPr>
            <w:tcW w:w="936" w:type="dxa"/>
          </w:tcPr>
          <w:p w14:paraId="29DEB5FD"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15 min MAE</w:t>
            </w:r>
          </w:p>
        </w:tc>
        <w:tc>
          <w:tcPr>
            <w:tcW w:w="936" w:type="dxa"/>
          </w:tcPr>
          <w:p w14:paraId="5FF87370"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15 min RMSE</w:t>
            </w:r>
          </w:p>
        </w:tc>
        <w:tc>
          <w:tcPr>
            <w:tcW w:w="936" w:type="dxa"/>
          </w:tcPr>
          <w:p w14:paraId="5971894B"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15 min MAPE%</w:t>
            </w:r>
          </w:p>
        </w:tc>
        <w:tc>
          <w:tcPr>
            <w:tcW w:w="936" w:type="dxa"/>
          </w:tcPr>
          <w:p w14:paraId="73ACFAE1"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30 min MAE</w:t>
            </w:r>
          </w:p>
        </w:tc>
        <w:tc>
          <w:tcPr>
            <w:tcW w:w="936" w:type="dxa"/>
          </w:tcPr>
          <w:p w14:paraId="4E217483"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30 min RMSE</w:t>
            </w:r>
          </w:p>
        </w:tc>
        <w:tc>
          <w:tcPr>
            <w:tcW w:w="936" w:type="dxa"/>
          </w:tcPr>
          <w:p w14:paraId="747F9948"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30 min MAPE%</w:t>
            </w:r>
          </w:p>
        </w:tc>
        <w:tc>
          <w:tcPr>
            <w:tcW w:w="936" w:type="dxa"/>
          </w:tcPr>
          <w:p w14:paraId="5E285B3C"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60 min MAE</w:t>
            </w:r>
          </w:p>
        </w:tc>
        <w:tc>
          <w:tcPr>
            <w:tcW w:w="936" w:type="dxa"/>
          </w:tcPr>
          <w:p w14:paraId="4D410535"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60 min RMSE</w:t>
            </w:r>
          </w:p>
        </w:tc>
        <w:tc>
          <w:tcPr>
            <w:tcW w:w="936" w:type="dxa"/>
          </w:tcPr>
          <w:p w14:paraId="5271981F" w14:textId="77777777" w:rsidR="00F114D4" w:rsidRDefault="00000000">
            <w:pPr>
              <w:jc w:val="center"/>
              <w:cnfStyle w:val="100000000000" w:firstRow="1" w:lastRow="0" w:firstColumn="0" w:lastColumn="0" w:oddVBand="0" w:evenVBand="0" w:oddHBand="0" w:evenHBand="0" w:firstRowFirstColumn="0" w:firstRowLastColumn="0" w:lastRowFirstColumn="0" w:lastRowLastColumn="0"/>
            </w:pPr>
            <w:r>
              <w:rPr>
                <w:sz w:val="18"/>
              </w:rPr>
              <w:t>60 min MAPE%</w:t>
            </w:r>
          </w:p>
        </w:tc>
      </w:tr>
      <w:tr w:rsidR="00F114D4" w14:paraId="0EE02421" w14:textId="77777777" w:rsidTr="00F114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0A99E784" w14:textId="77777777" w:rsidR="00F114D4" w:rsidRDefault="00000000">
            <w:r>
              <w:rPr>
                <w:b w:val="0"/>
                <w:sz w:val="18"/>
              </w:rPr>
              <w:t>Historical Average</w:t>
            </w:r>
          </w:p>
        </w:tc>
        <w:tc>
          <w:tcPr>
            <w:tcW w:w="936" w:type="dxa"/>
          </w:tcPr>
          <w:p w14:paraId="4D536D52"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2.88</w:t>
            </w:r>
          </w:p>
        </w:tc>
        <w:tc>
          <w:tcPr>
            <w:tcW w:w="936" w:type="dxa"/>
          </w:tcPr>
          <w:p w14:paraId="1495CFBD"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5.59</w:t>
            </w:r>
          </w:p>
        </w:tc>
        <w:tc>
          <w:tcPr>
            <w:tcW w:w="936" w:type="dxa"/>
          </w:tcPr>
          <w:p w14:paraId="524F3D2E"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6.8</w:t>
            </w:r>
          </w:p>
        </w:tc>
        <w:tc>
          <w:tcPr>
            <w:tcW w:w="936" w:type="dxa"/>
          </w:tcPr>
          <w:p w14:paraId="44EAFE67"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2.88</w:t>
            </w:r>
          </w:p>
        </w:tc>
        <w:tc>
          <w:tcPr>
            <w:tcW w:w="936" w:type="dxa"/>
          </w:tcPr>
          <w:p w14:paraId="062E9674"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5.59</w:t>
            </w:r>
          </w:p>
        </w:tc>
        <w:tc>
          <w:tcPr>
            <w:tcW w:w="936" w:type="dxa"/>
          </w:tcPr>
          <w:p w14:paraId="444E9C3C"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6.8</w:t>
            </w:r>
          </w:p>
        </w:tc>
        <w:tc>
          <w:tcPr>
            <w:tcW w:w="936" w:type="dxa"/>
          </w:tcPr>
          <w:p w14:paraId="16CC7733"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2.88</w:t>
            </w:r>
          </w:p>
        </w:tc>
        <w:tc>
          <w:tcPr>
            <w:tcW w:w="936" w:type="dxa"/>
          </w:tcPr>
          <w:p w14:paraId="3D05AB5B"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5.59</w:t>
            </w:r>
          </w:p>
        </w:tc>
        <w:tc>
          <w:tcPr>
            <w:tcW w:w="936" w:type="dxa"/>
          </w:tcPr>
          <w:p w14:paraId="1D8B9502"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6.8</w:t>
            </w:r>
          </w:p>
        </w:tc>
      </w:tr>
      <w:tr w:rsidR="00F114D4" w14:paraId="3A2F3F1C" w14:textId="77777777" w:rsidTr="00F114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47D6B485" w14:textId="77777777" w:rsidR="00F114D4" w:rsidRDefault="00000000">
            <w:r>
              <w:rPr>
                <w:b w:val="0"/>
                <w:sz w:val="18"/>
              </w:rPr>
              <w:t>ARIMA</w:t>
            </w:r>
          </w:p>
        </w:tc>
        <w:tc>
          <w:tcPr>
            <w:tcW w:w="936" w:type="dxa"/>
          </w:tcPr>
          <w:p w14:paraId="12D82471"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1.62</w:t>
            </w:r>
          </w:p>
        </w:tc>
        <w:tc>
          <w:tcPr>
            <w:tcW w:w="936" w:type="dxa"/>
          </w:tcPr>
          <w:p w14:paraId="08FAB987"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3.30</w:t>
            </w:r>
          </w:p>
        </w:tc>
        <w:tc>
          <w:tcPr>
            <w:tcW w:w="936" w:type="dxa"/>
          </w:tcPr>
          <w:p w14:paraId="15AC258B"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3.5</w:t>
            </w:r>
          </w:p>
        </w:tc>
        <w:tc>
          <w:tcPr>
            <w:tcW w:w="936" w:type="dxa"/>
          </w:tcPr>
          <w:p w14:paraId="08291380"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2.33</w:t>
            </w:r>
          </w:p>
        </w:tc>
        <w:tc>
          <w:tcPr>
            <w:tcW w:w="936" w:type="dxa"/>
          </w:tcPr>
          <w:p w14:paraId="2ADDCC59"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4.76</w:t>
            </w:r>
          </w:p>
        </w:tc>
        <w:tc>
          <w:tcPr>
            <w:tcW w:w="936" w:type="dxa"/>
          </w:tcPr>
          <w:p w14:paraId="19F54AAD"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5.4</w:t>
            </w:r>
          </w:p>
        </w:tc>
        <w:tc>
          <w:tcPr>
            <w:tcW w:w="936" w:type="dxa"/>
          </w:tcPr>
          <w:p w14:paraId="723E883D"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3.38</w:t>
            </w:r>
          </w:p>
        </w:tc>
        <w:tc>
          <w:tcPr>
            <w:tcW w:w="936" w:type="dxa"/>
          </w:tcPr>
          <w:p w14:paraId="63FD919B"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6.50</w:t>
            </w:r>
          </w:p>
        </w:tc>
        <w:tc>
          <w:tcPr>
            <w:tcW w:w="936" w:type="dxa"/>
          </w:tcPr>
          <w:p w14:paraId="11C7D47B"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8.3</w:t>
            </w:r>
          </w:p>
        </w:tc>
      </w:tr>
      <w:tr w:rsidR="00F114D4" w14:paraId="2075D8EE" w14:textId="77777777" w:rsidTr="00F114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4194F980" w14:textId="77777777" w:rsidR="00F114D4" w:rsidRDefault="00000000">
            <w:r>
              <w:rPr>
                <w:b w:val="0"/>
                <w:sz w:val="18"/>
              </w:rPr>
              <w:t>LSTM</w:t>
            </w:r>
          </w:p>
        </w:tc>
        <w:tc>
          <w:tcPr>
            <w:tcW w:w="936" w:type="dxa"/>
          </w:tcPr>
          <w:p w14:paraId="0B3485A9"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1.30</w:t>
            </w:r>
          </w:p>
        </w:tc>
        <w:tc>
          <w:tcPr>
            <w:tcW w:w="936" w:type="dxa"/>
          </w:tcPr>
          <w:p w14:paraId="78F855EB"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2.66</w:t>
            </w:r>
          </w:p>
        </w:tc>
        <w:tc>
          <w:tcPr>
            <w:tcW w:w="936" w:type="dxa"/>
          </w:tcPr>
          <w:p w14:paraId="6A051B0B"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2.8</w:t>
            </w:r>
          </w:p>
        </w:tc>
        <w:tc>
          <w:tcPr>
            <w:tcW w:w="936" w:type="dxa"/>
          </w:tcPr>
          <w:p w14:paraId="60EB6CCE"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1.71</w:t>
            </w:r>
          </w:p>
        </w:tc>
        <w:tc>
          <w:tcPr>
            <w:tcW w:w="936" w:type="dxa"/>
          </w:tcPr>
          <w:p w14:paraId="42BA05AF"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3.87</w:t>
            </w:r>
          </w:p>
        </w:tc>
        <w:tc>
          <w:tcPr>
            <w:tcW w:w="936" w:type="dxa"/>
          </w:tcPr>
          <w:p w14:paraId="7578E529"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3.9</w:t>
            </w:r>
          </w:p>
        </w:tc>
        <w:tc>
          <w:tcPr>
            <w:tcW w:w="936" w:type="dxa"/>
          </w:tcPr>
          <w:p w14:paraId="39FC46E3"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2.20</w:t>
            </w:r>
          </w:p>
        </w:tc>
        <w:tc>
          <w:tcPr>
            <w:tcW w:w="936" w:type="dxa"/>
          </w:tcPr>
          <w:p w14:paraId="1E384902"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5.03</w:t>
            </w:r>
          </w:p>
        </w:tc>
        <w:tc>
          <w:tcPr>
            <w:tcW w:w="936" w:type="dxa"/>
          </w:tcPr>
          <w:p w14:paraId="7055A3B2"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5.3</w:t>
            </w:r>
          </w:p>
        </w:tc>
      </w:tr>
      <w:tr w:rsidR="00F114D4" w14:paraId="469CC346" w14:textId="77777777" w:rsidTr="00F114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640FE046" w14:textId="77777777" w:rsidR="00F114D4" w:rsidRDefault="00000000">
            <w:r>
              <w:rPr>
                <w:b w:val="0"/>
                <w:sz w:val="18"/>
              </w:rPr>
              <w:lastRenderedPageBreak/>
              <w:t>DCRNN</w:t>
            </w:r>
          </w:p>
        </w:tc>
        <w:tc>
          <w:tcPr>
            <w:tcW w:w="936" w:type="dxa"/>
          </w:tcPr>
          <w:p w14:paraId="501BD803"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1.38</w:t>
            </w:r>
          </w:p>
        </w:tc>
        <w:tc>
          <w:tcPr>
            <w:tcW w:w="936" w:type="dxa"/>
          </w:tcPr>
          <w:p w14:paraId="573ACB39"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2.95</w:t>
            </w:r>
          </w:p>
        </w:tc>
        <w:tc>
          <w:tcPr>
            <w:tcW w:w="936" w:type="dxa"/>
          </w:tcPr>
          <w:p w14:paraId="05932546"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2.9</w:t>
            </w:r>
          </w:p>
        </w:tc>
        <w:tc>
          <w:tcPr>
            <w:tcW w:w="936" w:type="dxa"/>
          </w:tcPr>
          <w:p w14:paraId="7909A08E"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1.74</w:t>
            </w:r>
          </w:p>
        </w:tc>
        <w:tc>
          <w:tcPr>
            <w:tcW w:w="936" w:type="dxa"/>
          </w:tcPr>
          <w:p w14:paraId="01615549"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3.97</w:t>
            </w:r>
          </w:p>
        </w:tc>
        <w:tc>
          <w:tcPr>
            <w:tcW w:w="936" w:type="dxa"/>
          </w:tcPr>
          <w:p w14:paraId="0E118200"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3.9</w:t>
            </w:r>
          </w:p>
        </w:tc>
        <w:tc>
          <w:tcPr>
            <w:tcW w:w="936" w:type="dxa"/>
          </w:tcPr>
          <w:p w14:paraId="50B5017B"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2.07</w:t>
            </w:r>
          </w:p>
        </w:tc>
        <w:tc>
          <w:tcPr>
            <w:tcW w:w="936" w:type="dxa"/>
          </w:tcPr>
          <w:p w14:paraId="4B06BBF7"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4.74</w:t>
            </w:r>
          </w:p>
        </w:tc>
        <w:tc>
          <w:tcPr>
            <w:tcW w:w="936" w:type="dxa"/>
          </w:tcPr>
          <w:p w14:paraId="5C65C0A8" w14:textId="77777777" w:rsidR="00F114D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4.9</w:t>
            </w:r>
          </w:p>
        </w:tc>
      </w:tr>
      <w:tr w:rsidR="00F114D4" w14:paraId="3D0FAF82" w14:textId="77777777" w:rsidTr="00F114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06FC30E5" w14:textId="77777777" w:rsidR="00F114D4" w:rsidRDefault="00000000">
            <w:r>
              <w:rPr>
                <w:b w:val="0"/>
                <w:sz w:val="18"/>
              </w:rPr>
              <w:t>Graph WaveNet</w:t>
            </w:r>
          </w:p>
        </w:tc>
        <w:tc>
          <w:tcPr>
            <w:tcW w:w="936" w:type="dxa"/>
          </w:tcPr>
          <w:p w14:paraId="13EC7A37"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1.30</w:t>
            </w:r>
          </w:p>
        </w:tc>
        <w:tc>
          <w:tcPr>
            <w:tcW w:w="936" w:type="dxa"/>
          </w:tcPr>
          <w:p w14:paraId="72194C38"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2.74</w:t>
            </w:r>
          </w:p>
        </w:tc>
        <w:tc>
          <w:tcPr>
            <w:tcW w:w="936" w:type="dxa"/>
          </w:tcPr>
          <w:p w14:paraId="4F8E020B"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2.7</w:t>
            </w:r>
          </w:p>
        </w:tc>
        <w:tc>
          <w:tcPr>
            <w:tcW w:w="936" w:type="dxa"/>
          </w:tcPr>
          <w:p w14:paraId="15F14A06"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1.63</w:t>
            </w:r>
          </w:p>
        </w:tc>
        <w:tc>
          <w:tcPr>
            <w:tcW w:w="936" w:type="dxa"/>
          </w:tcPr>
          <w:p w14:paraId="64B17C7A"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3.70</w:t>
            </w:r>
          </w:p>
        </w:tc>
        <w:tc>
          <w:tcPr>
            <w:tcW w:w="936" w:type="dxa"/>
          </w:tcPr>
          <w:p w14:paraId="08014C49"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3.7</w:t>
            </w:r>
          </w:p>
        </w:tc>
        <w:tc>
          <w:tcPr>
            <w:tcW w:w="936" w:type="dxa"/>
          </w:tcPr>
          <w:p w14:paraId="34D83894"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1.95</w:t>
            </w:r>
          </w:p>
        </w:tc>
        <w:tc>
          <w:tcPr>
            <w:tcW w:w="936" w:type="dxa"/>
          </w:tcPr>
          <w:p w14:paraId="65FF581C"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4.52</w:t>
            </w:r>
          </w:p>
        </w:tc>
        <w:tc>
          <w:tcPr>
            <w:tcW w:w="936" w:type="dxa"/>
          </w:tcPr>
          <w:p w14:paraId="0FE41BEB" w14:textId="77777777" w:rsidR="00F114D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4.6</w:t>
            </w:r>
          </w:p>
        </w:tc>
      </w:tr>
    </w:tbl>
    <w:p w14:paraId="1DCCDD5A" w14:textId="77777777" w:rsidR="00F114D4" w:rsidRDefault="00000000">
      <w:pPr>
        <w:spacing w:after="0" w:line="480" w:lineRule="auto"/>
      </w:pPr>
      <w:r>
        <w:rPr>
          <w:i/>
          <w:sz w:val="20"/>
        </w:rPr>
        <w:t>Note. Historical Average, ARIMA, LSTM and DCRNN values are reported by Li et al. (2018); Graph WaveNet values are reported by Wu et al. (2019).</w:t>
      </w:r>
    </w:p>
    <w:p w14:paraId="57549857" w14:textId="77777777" w:rsidR="00F114D4" w:rsidRDefault="00000000">
      <w:pPr>
        <w:spacing w:after="0" w:line="480" w:lineRule="auto"/>
      </w:pPr>
      <w:r>
        <w:t>Three patterns stand out. First, graph-based models widen their advantage as the horizon grows. On METR-LA, DCRNN reduces the 60-minute MAE by about 18% relative to LSTM, while gains at 15 minutes are more modest. Second, Graph WaveNet consistently matches or slightly outperforms DCRNN, and the gap is largest on the sparser PEMS-BAY graph, which is consistent with the intuition that the self-adaptive adjacency matrix can recover dependencies the road-distance graph does not capture. Third, ARIMA remains reasonable at 15 minutes on the well-behaved PEMS-BAY corridors but degrades quickly at longer horizons, confirming its unsuitability for proactive management on volatile arterials.</w:t>
      </w:r>
    </w:p>
    <w:p w14:paraId="636528DB" w14:textId="77777777" w:rsidR="00F114D4" w:rsidRDefault="00000000">
      <w:pPr>
        <w:spacing w:after="0" w:line="480" w:lineRule="auto"/>
      </w:pPr>
      <w:r>
        <w:t>From a safety perspective, the alert layer described in Section 3.6 was analysed on a synthetic case study drawn from the mock pipeline. A single sensor whose observed speed drops from 55 mph to 15 mph produces a predicted trajectory whose one-hop neighbours also decline sharply. Under the calibrated threshold, an alert is emitted approximately 15 minutes before the observed collapse. A qualitative sensitivity check on the risk weights suggests that decreasing w_3 (the neighbour term) increases the false alarm rate on isolated sensors, whereas increasing it stabilises alerts at the cost of a shorter lead time. Because no real events are used, these numbers are treated as illustrative and reported as directional evidence only.</w:t>
      </w:r>
    </w:p>
    <w:p w14:paraId="3ADD3EF0" w14:textId="77777777" w:rsidR="00F114D4" w:rsidRDefault="00000000">
      <w:pPr>
        <w:keepNext/>
        <w:spacing w:before="240" w:after="120" w:line="480" w:lineRule="auto"/>
      </w:pPr>
      <w:r>
        <w:rPr>
          <w:b/>
          <w:sz w:val="28"/>
        </w:rPr>
        <w:t>5. Discussion</w:t>
      </w:r>
    </w:p>
    <w:p w14:paraId="54C44DCF" w14:textId="77777777" w:rsidR="00F114D4" w:rsidRDefault="00000000">
      <w:pPr>
        <w:spacing w:after="0" w:line="480" w:lineRule="auto"/>
      </w:pPr>
      <w:r>
        <w:t>5.1 Efficiency Analysis. Deployability inside an ITS control room depends on inference latency, memory footprint and stability under drift. Li et al. (2018) report that a single DCRNN forward pass on the METR-LA graph takes tens of milliseconds on a single GPU, well below the five-</w:t>
      </w:r>
      <w:r>
        <w:lastRenderedPageBreak/>
        <w:t>minute sampling interval and therefore compatible with real-time use. Graph WaveNet, with its dilated causal convolutions, further reduces sequential depth and is a natural choice when latency budgets are tighter, for instance on edge devices near the roadside cabinet. An operational deployment would batch multiple corridors through the same GPU and refresh forecasts every five minutes, leaving headroom for the safety layer to run downstream.</w:t>
      </w:r>
    </w:p>
    <w:p w14:paraId="09E9E920" w14:textId="77777777" w:rsidR="00F114D4" w:rsidRDefault="00000000">
      <w:pPr>
        <w:spacing w:after="0" w:line="480" w:lineRule="auto"/>
      </w:pPr>
      <w:r>
        <w:t>5.2 Security and Reliability. The predictive layer contributes to system security and reliability in three ways. It enables early rerouting for public fleets, reducing exposure to secondary crashes in a growing queue. It gives variable-message-sign operators a defensible basis for cautionary displays, aligned with LO4's requirement to enhance both operational security and passenger safety. It also underpins anomaly-detection dashboards that flag sensor tampering: if an observation drifts far from what neighbours' forecasts suggest, an integrity check is raised, which is a lightweight countermeasure against adversarial data injection. Together, these mechanisms build a chain of causation from higher predictive quality, through more proactive management, to measurable reductions in incident escalation.</w:t>
      </w:r>
    </w:p>
    <w:p w14:paraId="6DA12BD1" w14:textId="77777777" w:rsidR="00F114D4" w:rsidRDefault="00000000">
      <w:pPr>
        <w:spacing w:after="0" w:line="480" w:lineRule="auto"/>
      </w:pPr>
      <w:r>
        <w:t>5.3 Limitations. Several limitations must be acknowledged. Because the code deliverable relies on a mock data loader, no live retraining is performed and the reported numbers depend on the assumptions of the original papers. METR-LA and PEMS-BAY are geographically restricted to Los Angeles and the San Francisco Bay Area, so transferability to networks with different sensor densities and driving cultures is unproven. Extreme weather, large sporting events and evacuations remain out-of-distribution scenarios that graph learning alone cannot cover; a hybrid model combining physics-based simulation with the learned component is a promising extension. Finally, the safety layer relies on rule-based thresholds; a fully learned risk model with calibrated uncertainty is a natural next step.</w:t>
      </w:r>
    </w:p>
    <w:p w14:paraId="5B1ADDCC" w14:textId="77777777" w:rsidR="00F114D4" w:rsidRDefault="00000000">
      <w:pPr>
        <w:keepNext/>
        <w:spacing w:before="240" w:after="120" w:line="480" w:lineRule="auto"/>
      </w:pPr>
      <w:r>
        <w:rPr>
          <w:b/>
          <w:sz w:val="28"/>
        </w:rPr>
        <w:lastRenderedPageBreak/>
        <w:t>6. Ethical Considerations</w:t>
      </w:r>
    </w:p>
    <w:p w14:paraId="30BBB21A" w14:textId="77777777" w:rsidR="00F114D4" w:rsidRDefault="00000000">
      <w:pPr>
        <w:spacing w:after="0" w:line="480" w:lineRule="auto"/>
      </w:pPr>
      <w:r>
        <w:t>Deploying predictive analytics on urban mobility data raises four intertwined ethical concerns that this project treats as first-class design requirements rather than post-hoc caveats.</w:t>
      </w:r>
    </w:p>
    <w:p w14:paraId="2BAC64DD" w14:textId="77777777" w:rsidR="00F114D4" w:rsidRDefault="00000000">
      <w:pPr>
        <w:spacing w:after="0" w:line="480" w:lineRule="auto"/>
      </w:pPr>
      <w:r>
        <w:t>Privacy. Although METR-LA and PEMS-BAY are aggregated loop-detector feeds with no personally identifiable trajectories, a realistic deployment would ingest floating-car and roadside-camera streams. Such extensions follow a privacy-by-design pattern: sensitive fields are stripped at the edge, k-anonymity is enforced on origin-destination pairs and on-device aggregation runs before samples reach the model. Data handling is aligned with the General Data Protection Regulation (European Parliament and Council of the European Union, 2016) and comparable local statutes, so residents retain meaningful control over how their movements are used.</w:t>
      </w:r>
    </w:p>
    <w:p w14:paraId="0FA64ED3" w14:textId="77777777" w:rsidR="00F114D4" w:rsidRDefault="00000000">
      <w:pPr>
        <w:spacing w:after="0" w:line="480" w:lineRule="auto"/>
      </w:pPr>
      <w:r>
        <w:t>Algorithmic Fairness. Sensor coverage is markedly denser along freeways than on arterials serving lower-income suburbs, which can bias a naive model toward wealthier corridors and lengthen alert delays elsewhere. The evaluation protocol therefore reports MAE and MAPE per sub-region and flags a fairness gap threshold beyond which the model must be reweighted or withheld from live dispatch, so that public-bus and demand-responsive services do not systematically disadvantage the periphery.</w:t>
      </w:r>
    </w:p>
    <w:p w14:paraId="7A2AB4A3" w14:textId="77777777" w:rsidR="00F114D4" w:rsidRDefault="00000000">
      <w:pPr>
        <w:spacing w:after="0" w:line="480" w:lineRule="auto"/>
      </w:pPr>
      <w:r>
        <w:t>Safety Responsibility. Because forecasts feed into dispatch and warning decisions, false negatives can prolong exposure to a genuine hazard while false positives waste patrol capacity and erode operator trust. Every alert carries a calibrated confidence band, and human operators - not the model - retain final authority. A clear chain of responsibility is drawn between the developer, the operator and the transport authority, so that ethical accountability and eventual legal liability for an incorrect decision can be attributed unambiguously.</w:t>
      </w:r>
    </w:p>
    <w:p w14:paraId="5360D610" w14:textId="77777777" w:rsidR="00F114D4" w:rsidRDefault="00000000">
      <w:pPr>
        <w:spacing w:after="0" w:line="480" w:lineRule="auto"/>
      </w:pPr>
      <w:r>
        <w:lastRenderedPageBreak/>
        <w:t>Data Governance and Transparency. Model versions, input snapshots and downstream actions are recorded in an immutable audit log; salient inputs are surfaced through feature-importance summaries; and public-facing documentation explains in plain language what the system does and does not decide. This layered stance on explainability follows IEEE (2019) on human-centred design of autonomous and intelligent systems.</w:t>
      </w:r>
    </w:p>
    <w:p w14:paraId="4500FF9A" w14:textId="77777777" w:rsidR="00F114D4" w:rsidRDefault="00000000">
      <w:pPr>
        <w:keepNext/>
        <w:spacing w:before="240" w:after="120" w:line="480" w:lineRule="auto"/>
      </w:pPr>
      <w:r>
        <w:rPr>
          <w:b/>
          <w:sz w:val="28"/>
        </w:rPr>
        <w:t>7. Conclusion and Self-Reflection</w:t>
      </w:r>
    </w:p>
    <w:p w14:paraId="525A7DFA" w14:textId="77777777" w:rsidR="00F114D4" w:rsidRDefault="00000000">
      <w:pPr>
        <w:spacing w:after="0" w:line="480" w:lineRule="auto"/>
      </w:pPr>
      <w:r>
        <w:t>This report has presented a unified study of spatio-temporal deep learning for proactive traffic prediction and safety-aware vehicle management. Using DCRNN and Graph WaveNet as the predictive core, and treating the METR-LA and PEMS-BAY benchmarks as the empirical anchor, the work demonstrated how forecasts can be translated into an operational alert layer with quantifiable lead time, subject to the objectives and ethical constraints set out earlier.</w:t>
      </w:r>
    </w:p>
    <w:p w14:paraId="749FC126" w14:textId="77777777" w:rsidR="00F114D4" w:rsidRDefault="00000000">
      <w:pPr>
        <w:spacing w:after="0" w:line="480" w:lineRule="auto"/>
      </w:pPr>
      <w:r>
        <w:t>As the sole contributor to the group project, I planned the deliverable in the role of team lead. I designed the overall architecture, drafted the problem formulation and the safety framework, engineered the reference implementation with a mock data loader, curated the benchmark tables and produced the accompanying presentation. In a live team setting these tasks would ordinarily be split between a modelling lead, a data engineer and an evaluation lead, and reflecting on this distribution has helped me understand the collaboration and code-review discipline that a production ITS pipeline would demand.</w:t>
      </w:r>
    </w:p>
    <w:p w14:paraId="2FC1CD23" w14:textId="77777777" w:rsidR="00F114D4" w:rsidRDefault="00000000">
      <w:pPr>
        <w:spacing w:after="0" w:line="480" w:lineRule="auto"/>
      </w:pPr>
      <w:r>
        <w:t>The most valuable lesson from this project has been the shift from optimising a single accuracy metric to designing a system in which prediction, safety scoring and operational deployment reinforce each other. Future work will focus on live retraining on freshly downloaded METR-LA and PEMS-BAY splits, on extending the study to European datasets and on incorporating uncertainty-aware alerting for higher-stakes safety decisions.</w:t>
      </w:r>
    </w:p>
    <w:p w14:paraId="38E774A2" w14:textId="77777777" w:rsidR="00F114D4" w:rsidRDefault="00000000">
      <w:pPr>
        <w:keepNext/>
        <w:spacing w:before="240" w:after="120" w:line="480" w:lineRule="auto"/>
      </w:pPr>
      <w:r>
        <w:rPr>
          <w:b/>
          <w:sz w:val="28"/>
        </w:rPr>
        <w:lastRenderedPageBreak/>
        <w:t>References</w:t>
      </w:r>
    </w:p>
    <w:p w14:paraId="2272382E" w14:textId="77777777" w:rsidR="00F114D4" w:rsidRDefault="00000000" w:rsidP="00C377D4">
      <w:pPr>
        <w:spacing w:after="0" w:line="480" w:lineRule="auto"/>
        <w:ind w:left="720" w:hanging="720"/>
      </w:pPr>
      <w:r>
        <w:t>Bai, L., Yao, L., Li, C., Wang, X., &amp; Wang, C. (2020). Adaptive graph convolutional recurrent network for traffic forecasting. In Advances in Neural Information Processing Systems (Vol. 33, pp. 17804-17815). Curran Associates.</w:t>
      </w:r>
    </w:p>
    <w:p w14:paraId="12E20193" w14:textId="77777777" w:rsidR="00F114D4" w:rsidRDefault="00000000" w:rsidP="00C377D4">
      <w:pPr>
        <w:spacing w:after="0" w:line="480" w:lineRule="auto"/>
        <w:ind w:left="720" w:hanging="720"/>
      </w:pPr>
      <w:r>
        <w:t>Box, G. E. P., &amp; Jenkins, G. M. (1976). Time series analysis: Forecasting and control (Rev. ed.). Holden-Day.</w:t>
      </w:r>
    </w:p>
    <w:p w14:paraId="0363151C" w14:textId="77777777" w:rsidR="00F114D4" w:rsidRDefault="00000000" w:rsidP="00C377D4">
      <w:pPr>
        <w:spacing w:after="0" w:line="480" w:lineRule="auto"/>
        <w:ind w:left="720" w:hanging="720"/>
      </w:pPr>
      <w:r>
        <w:t>Chen, C., Petty, K., Skabardonis, A., Varaiya, P., &amp; Jia, Z. (2001). Freeway performance measurement system: Mining loop detector data. Transportation Research Record, 1748(1), 96-102. https://doi.org/10.3141/1748-12</w:t>
      </w:r>
    </w:p>
    <w:p w14:paraId="0B2D8933" w14:textId="77777777" w:rsidR="00F114D4" w:rsidRDefault="00000000" w:rsidP="00C377D4">
      <w:pPr>
        <w:spacing w:after="0" w:line="480" w:lineRule="auto"/>
        <w:ind w:left="720" w:hanging="720"/>
      </w:pPr>
      <w:r>
        <w:t>European Parliament and Council of the European Union. (2016). Regulation (EU) 2016/679 of the European Parliament and of the Council on the protection of natural persons with regard to the processing of personal data (General Data Protection Regulation). Official Journal of the European Union, L119, 1-88.</w:t>
      </w:r>
    </w:p>
    <w:p w14:paraId="6CF51B94" w14:textId="77777777" w:rsidR="00F114D4" w:rsidRDefault="00000000" w:rsidP="00C377D4">
      <w:pPr>
        <w:spacing w:after="0" w:line="480" w:lineRule="auto"/>
        <w:ind w:left="720" w:hanging="720"/>
      </w:pPr>
      <w:r>
        <w:t>Guo, S., Lin, Y., Feng, N., Song, C., &amp; Wan, H. (2019). Attention based spatial-temporal graph convolutional networks for traffic flow forecasting. Proceedings of the AAAI Conference on Artificial Intelligence, 33(1), 922-929. https://doi.org/10.1609/aaai.v33i01.3301922</w:t>
      </w:r>
    </w:p>
    <w:p w14:paraId="122FE37F" w14:textId="77777777" w:rsidR="00F114D4" w:rsidRDefault="00000000" w:rsidP="00C377D4">
      <w:pPr>
        <w:spacing w:after="0" w:line="480" w:lineRule="auto"/>
        <w:ind w:left="720" w:hanging="720"/>
      </w:pPr>
      <w:r>
        <w:t>IEEE. (2019). Ethically aligned design: A vision for prioritizing human well-being with autonomous and intelligent systems (1st ed.). IEEE Standards Association.</w:t>
      </w:r>
    </w:p>
    <w:p w14:paraId="523733CF" w14:textId="77777777" w:rsidR="00F114D4" w:rsidRDefault="00000000" w:rsidP="00C377D4">
      <w:pPr>
        <w:spacing w:after="0" w:line="480" w:lineRule="auto"/>
        <w:ind w:left="720" w:hanging="720"/>
      </w:pPr>
      <w:r>
        <w:t>Jagadish, H. V., Gehrke, J., Labrinidis, A., Papakonstantinou, Y., Patel, J. M., Ramakrishnan, R., &amp; Shahabi, C. (2014). Big data and its technical challenges. Communications of the ACM, 57(7), 86-94. https://doi.org/10.1145/2611567</w:t>
      </w:r>
    </w:p>
    <w:p w14:paraId="2ACB80A4" w14:textId="77777777" w:rsidR="00F114D4" w:rsidRDefault="00000000">
      <w:pPr>
        <w:spacing w:after="0" w:line="480" w:lineRule="auto"/>
        <w:ind w:left="720" w:hanging="720"/>
      </w:pPr>
      <w:r>
        <w:lastRenderedPageBreak/>
        <w:t>Kumar, S. V., &amp; Vanajakshi, L. (2015). Short-term traffic flow prediction using seasonal ARIMA model with limited input data. European Transport Research Review, 7(3), Article 21. https://doi.org/10.1007/s12544-015-0170-8</w:t>
      </w:r>
    </w:p>
    <w:p w14:paraId="5C12D165" w14:textId="77777777" w:rsidR="00F114D4" w:rsidRDefault="00000000">
      <w:pPr>
        <w:spacing w:after="0" w:line="480" w:lineRule="auto"/>
        <w:ind w:left="720" w:hanging="720"/>
      </w:pPr>
      <w:r>
        <w:t>Li, Y., Yu, R., Shahabi, C., &amp; Liu, Y. (2018). Diffusion convolutional recurrent neural network: Data-driven traffic forecasting. In Proceedings of the International Conference on Learning Representations. https://openreview.net/forum?id=SJiHXGWAZ</w:t>
      </w:r>
    </w:p>
    <w:p w14:paraId="58F7E3E9" w14:textId="77777777" w:rsidR="00F114D4" w:rsidRDefault="00000000">
      <w:pPr>
        <w:spacing w:after="0" w:line="480" w:lineRule="auto"/>
        <w:ind w:left="720" w:hanging="720"/>
      </w:pPr>
      <w:r>
        <w:t>Ma, X., Tao, Z., Wang, Y., Yu, H., &amp; Wang, Y. (2015). Long short-term memory neural network for traffic speed prediction using remote microwave sensor data. Transportation Research Part C: Emerging Technologies, 54, 187-197. https://doi.org/10.1016/j.trc.2015.03.014</w:t>
      </w:r>
    </w:p>
    <w:p w14:paraId="38EF41C7" w14:textId="77777777" w:rsidR="00F114D4" w:rsidRDefault="00000000">
      <w:pPr>
        <w:spacing w:after="0" w:line="480" w:lineRule="auto"/>
        <w:ind w:left="720" w:hanging="720"/>
      </w:pPr>
      <w:r>
        <w:t>Sun, S., Zhang, C., &amp; Yu, G. (2006). A Bayesian network approach to traffic flow forecasting. IEEE Transactions on Intelligent Transportation Systems, 7(1), 124-132. https://doi.org/10.1109/TITS.2006.869623</w:t>
      </w:r>
    </w:p>
    <w:p w14:paraId="4DBB4ADB" w14:textId="77777777" w:rsidR="00F114D4" w:rsidRDefault="00000000">
      <w:pPr>
        <w:spacing w:after="0" w:line="480" w:lineRule="auto"/>
        <w:ind w:left="720" w:hanging="720"/>
      </w:pPr>
      <w:r>
        <w:t>Vlahogianni, E. I., Karlaftis, M. G., &amp; Golias, J. C. (2014). Short-term traffic forecasting: Where we are and where we're going. Transportation Research Part C: Emerging Technologies, 43, 3-19. https://doi.org/10.1016/j.trc.2014.01.005</w:t>
      </w:r>
    </w:p>
    <w:p w14:paraId="25338C0D" w14:textId="77777777" w:rsidR="00F114D4" w:rsidRDefault="00000000">
      <w:pPr>
        <w:spacing w:after="0" w:line="480" w:lineRule="auto"/>
        <w:ind w:left="720" w:hanging="720"/>
      </w:pPr>
      <w:r>
        <w:t>World Health Organization. (2023). Global status report on road safety 2023. WHO Press.</w:t>
      </w:r>
    </w:p>
    <w:p w14:paraId="4590960E" w14:textId="77777777" w:rsidR="00F114D4" w:rsidRDefault="00000000">
      <w:pPr>
        <w:spacing w:after="0" w:line="480" w:lineRule="auto"/>
        <w:ind w:left="720" w:hanging="720"/>
      </w:pPr>
      <w:r>
        <w:t>Wu, Z., Pan, S., Long, G., Jiang, J., &amp; Zhang, C. (2019). Graph WaveNet for deep spatial-temporal graph modeling. In Proceedings of the 28th International Joint Conference on Artificial Intelligence (pp. 1907-1913). https://doi.org/10.24963/ijcai.2019/264</w:t>
      </w:r>
    </w:p>
    <w:p w14:paraId="56D96DED" w14:textId="77777777" w:rsidR="00F114D4" w:rsidRDefault="00000000">
      <w:pPr>
        <w:spacing w:after="0" w:line="480" w:lineRule="auto"/>
        <w:ind w:left="720" w:hanging="720"/>
      </w:pPr>
      <w:r>
        <w:t>Yu, B., Yin, H., &amp; Zhu, Z. (2018). Spatio-temporal graph convolutional networks: A deep learning framework for traffic forecasting. In Proceedings of the 27th International Joint Conference on Artificial Intelligence (pp. 3634-3640). https://doi.org/10.24963/ijcai.2018/505</w:t>
      </w:r>
    </w:p>
    <w:p w14:paraId="6E5B0AF1" w14:textId="77777777" w:rsidR="00F114D4" w:rsidRDefault="00F114D4">
      <w:pPr>
        <w:spacing w:after="0" w:line="480" w:lineRule="auto"/>
      </w:pPr>
    </w:p>
    <w:p w14:paraId="35BFA455" w14:textId="77777777" w:rsidR="00F114D4" w:rsidRDefault="00000000">
      <w:pPr>
        <w:spacing w:after="0" w:line="480" w:lineRule="auto"/>
        <w:jc w:val="center"/>
      </w:pPr>
      <w:r>
        <w:rPr>
          <w:i/>
          <w:sz w:val="22"/>
        </w:rPr>
        <w:t>--- End of report ---</w:t>
      </w:r>
    </w:p>
    <w:p w14:paraId="14101032" w14:textId="77777777" w:rsidR="00F114D4" w:rsidRDefault="00000000">
      <w:pPr>
        <w:spacing w:after="0" w:line="480" w:lineRule="auto"/>
        <w:jc w:val="center"/>
      </w:pPr>
      <w:r>
        <w:rPr>
          <w:i/>
          <w:sz w:val="22"/>
        </w:rPr>
        <w:t>Main body word count (Abstract and Sections 1-7, excluding cover page, tables, notes and references): approximately 2,907 words.</w:t>
      </w:r>
    </w:p>
    <w:sectPr w:rsidR="00F114D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809838">
    <w:abstractNumId w:val="8"/>
  </w:num>
  <w:num w:numId="2" w16cid:durableId="255287629">
    <w:abstractNumId w:val="6"/>
  </w:num>
  <w:num w:numId="3" w16cid:durableId="370225747">
    <w:abstractNumId w:val="5"/>
  </w:num>
  <w:num w:numId="4" w16cid:durableId="429542706">
    <w:abstractNumId w:val="4"/>
  </w:num>
  <w:num w:numId="5" w16cid:durableId="2033454535">
    <w:abstractNumId w:val="7"/>
  </w:num>
  <w:num w:numId="6" w16cid:durableId="464005597">
    <w:abstractNumId w:val="3"/>
  </w:num>
  <w:num w:numId="7" w16cid:durableId="1338001422">
    <w:abstractNumId w:val="2"/>
  </w:num>
  <w:num w:numId="8" w16cid:durableId="674454121">
    <w:abstractNumId w:val="1"/>
  </w:num>
  <w:num w:numId="9" w16cid:durableId="4132824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154E"/>
    <w:rsid w:val="00B47730"/>
    <w:rsid w:val="00C377D4"/>
    <w:rsid w:val="00C434B5"/>
    <w:rsid w:val="00CB0664"/>
    <w:rsid w:val="00F114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D664B"/>
  <w14:defaultImageDpi w14:val="300"/>
  <w15:docId w15:val="{E957A20E-4E89-BD4E-ACF8-E631BB6A5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3792</Words>
  <Characters>21618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Qingchao Li</cp:lastModifiedBy>
  <cp:revision>3</cp:revision>
  <dcterms:created xsi:type="dcterms:W3CDTF">2013-12-23T23:15:00Z</dcterms:created>
  <dcterms:modified xsi:type="dcterms:W3CDTF">2026-07-14T08:50:00Z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2026-07-14T08:50:32Z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752598ad-fd8f-4342-9ff6-fe3d67015298</vt:lpwstr>
  </property>
  <property fmtid="{D5CDD505-2E9C-101B-9397-08002B2CF9AE}" pid="8" name="MSIP_Label_c96ed6d7-747c-41fd-b042-ff14484edc24_ContentBits">
    <vt:lpwstr>0</vt:lpwstr>
  </property>
  <property fmtid="{D5CDD505-2E9C-101B-9397-08002B2CF9AE}" pid="9" name="MSIP_Label_c96ed6d7-747c-41fd-b042-ff14484edc24_Tag">
    <vt:lpwstr>50, 3, 0, 1</vt:lpwstr>
  </property>
</Properties>
</file>