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Project Proposal – MSE806 Assessment 2 (Task A)</w:t>
      </w:r>
    </w:p>
    <w:p>
      <w:pPr>
        <w:spacing w:after="80"/>
        <w:jc w:val="center"/>
      </w:pPr>
      <w:r>
        <w:rPr>
          <w:sz w:val="22"/>
          <w:szCs w:val="22"/>
        </w:rPr>
        <w:t xml:space="preserve">Course: MSE806 – Intelligent Transportation Systems (15 credits)</w:t>
      </w:r>
    </w:p>
    <w:p>
      <w:pPr>
        <w:spacing w:after="80"/>
        <w:jc w:val="center"/>
      </w:pPr>
      <w:r>
        <w:rPr>
          <w:sz w:val="22"/>
          <w:szCs w:val="22"/>
        </w:rPr>
        <w:t xml:space="preserve">Student: Li Qingchao (李情超)   |   Student ID: [Student ID]</w:t>
      </w:r>
    </w:p>
    <w:p>
      <w:pPr>
        <w:spacing w:after="240"/>
        <w:jc w:val="center"/>
      </w:pPr>
      <w:r>
        <w:rPr>
          <w:sz w:val="22"/>
          <w:szCs w:val="22"/>
        </w:rPr>
        <w:t xml:space="preserve">Date: 5 July 2026</w:t>
      </w:r>
    </w:p>
    <w:p>
      <w:pPr>
        <w:pStyle w:val="Heading1"/>
        <w:spacing w:after="120" w:before="240"/>
      </w:pPr>
      <w:r>
        <w:rPr>
          <w:b/>
          <w:bCs/>
          <w:sz w:val="28"/>
          <w:szCs w:val="28"/>
        </w:rPr>
        <w:t xml:space="preserve">1. Project Title Proposal</w:t>
      </w:r>
    </w:p>
    <w:p>
      <w:pPr>
        <w:spacing w:after="100" w:before="100" w:line="360"/>
        <w:jc w:val="both"/>
      </w:pPr>
      <w:r>
        <w:t xml:space="preserve">Spatio-Temporal Deep Learning for Proactive Traffic Prediction and Safety-Aware Vehicle Management in Urban ITS: A DCRNN and Graph WaveNet Study on the METR-LA and PEMS-BAY Networks.</w:t>
      </w:r>
    </w:p>
    <w:p>
      <w:pPr>
        <w:spacing w:after="100" w:before="100" w:line="360"/>
        <w:jc w:val="both"/>
      </w:pPr>
      <w:r>
        <w:t xml:space="preserve">The proposed project sits at the intersection of graph-based deep learning, short-term traffic forecasting and safety-oriented vehicle management. Rather than treating speed prediction as a stand-alone regression problem, we frame it as an operational input for proactive Intelligent Transportation System (ITS) decisions – congestion alerts, incident risk scoring and dispatch adjustment for connected vehicles and public fleets.</w:t>
      </w:r>
    </w:p>
    <w:p>
      <w:pPr>
        <w:pStyle w:val="Heading1"/>
        <w:spacing w:after="120" w:before="240"/>
      </w:pPr>
      <w:r>
        <w:rPr>
          <w:b/>
          <w:bCs/>
          <w:sz w:val="28"/>
          <w:szCs w:val="28"/>
        </w:rPr>
        <w:t xml:space="preserve">2. Objectives</w:t>
      </w:r>
    </w:p>
    <w:p>
      <w:pPr>
        <w:spacing w:after="100" w:before="100" w:line="360"/>
        <w:jc w:val="both"/>
      </w:pPr>
      <w:r>
        <w:t xml:space="preserve">The project pursues five measurable objectives that jointly cover predictive accuracy, safety utility and system feasibility:</w:t>
      </w:r>
    </w:p>
    <w:p>
      <w:pPr>
        <w:pStyle w:val="ListParagraph"/>
        <w:numPr>
          <w:ilvl w:val="0"/>
          <w:numId w:val="2"/>
        </w:numPr>
        <w:spacing w:after="40" w:before="40" w:line="360"/>
      </w:pPr>
      <w:r>
        <w:t xml:space="preserve">O1 – Reproduce a Diffusion Convolutional Recurrent Neural Network (DCRNN) benchmark on METR-LA and PEMS-BAY at 15, 30 and 60-minute horizons and target Mean Absolute Error (MAE) within ±5% of the numbers reported by Li, Yu, Shahabi and Liu (2018).</w:t>
      </w:r>
    </w:p>
    <w:p>
      <w:pPr>
        <w:pStyle w:val="ListParagraph"/>
        <w:numPr>
          <w:ilvl w:val="0"/>
          <w:numId w:val="2"/>
        </w:numPr>
        <w:spacing w:after="40" w:before="40" w:line="360"/>
      </w:pPr>
      <w:r>
        <w:t xml:space="preserve">O2 – Compare DCRNN against a Graph WaveNet baseline (Wu et al., 2019), a Historical Average and a plain LSTM to quantify the marginal benefit of graph structure and self-adaptive adjacency.</w:t>
      </w:r>
    </w:p>
    <w:p>
      <w:pPr>
        <w:pStyle w:val="ListParagraph"/>
        <w:numPr>
          <w:ilvl w:val="0"/>
          <w:numId w:val="2"/>
        </w:numPr>
        <w:spacing w:after="40" w:before="40" w:line="360"/>
      </w:pPr>
      <w:r>
        <w:t xml:space="preserve">O3 – Translate speed and flow forecasts into a safety-oriented alert layer that emits a congestion or incident risk score at least 10 minutes ahead of a measured speed drop, and expose it as a REST-style service for downstream vehicle management.</w:t>
      </w:r>
    </w:p>
    <w:p>
      <w:pPr>
        <w:pStyle w:val="ListParagraph"/>
        <w:numPr>
          <w:ilvl w:val="0"/>
          <w:numId w:val="2"/>
        </w:numPr>
        <w:spacing w:after="40" w:before="40" w:line="360"/>
      </w:pPr>
      <w:r>
        <w:t xml:space="preserve">O4 – Deliver a reference implementation whose end-to-end inference for one 12-step forecast on a 207-node graph fits inside 200 milliseconds on a single mid-range GPU, so the pipeline is deployable in a live control-room setting.</w:t>
      </w:r>
    </w:p>
    <w:p>
      <w:pPr>
        <w:pStyle w:val="ListParagraph"/>
        <w:numPr>
          <w:ilvl w:val="0"/>
          <w:numId w:val="2"/>
        </w:numPr>
        <w:spacing w:after="40" w:before="40" w:line="360"/>
      </w:pPr>
      <w:r>
        <w:t xml:space="preserve">O5 – Document a repeatable evaluation protocol covering MAE, Root Mean Squared Error (RMSE) and Mean Absolute Percentage Error (MAPE), plus safety-oriented metrics such as false alarm rate and lead time, so future teams can extend the study to other cities without re-designing the benchmark.</w:t>
      </w:r>
    </w:p>
    <w:p>
      <w:pPr>
        <w:pStyle w:val="Heading1"/>
        <w:spacing w:after="120" w:before="240"/>
      </w:pPr>
      <w:r>
        <w:rPr>
          <w:b/>
          <w:bCs/>
          <w:sz w:val="28"/>
          <w:szCs w:val="28"/>
        </w:rPr>
        <w:t xml:space="preserve">3. Technological Innovation</w:t>
      </w:r>
    </w:p>
    <w:p>
      <w:pPr>
        <w:spacing w:after="100" w:before="100" w:line="360"/>
        <w:jc w:val="both"/>
      </w:pPr>
      <w:r>
        <w:t xml:space="preserve">Classical short-term forecasters – ARIMA, Kalman filters and Support Vector Regression – handle each sensor as an isolated time series and struggle when disturbances propagate along the road network. Vanilla Long Short-Term Memory (LSTM) networks add non-linear temporal memory but still ignore spatial coupling between sensors. The project moves beyond both families by adopting a spatio-temporal graph learning stack.</w:t>
      </w:r>
    </w:p>
    <w:p>
      <w:pPr>
        <w:spacing w:after="100" w:before="100" w:line="360"/>
        <w:jc w:val="both"/>
      </w:pPr>
      <w:r>
        <w:t xml:space="preserve">DCRNN treats the sensor network as a directed graph and replaces the linear operations inside a Gated Recurrent Unit with a bidirectional diffusion convolution. In effect, information from upstream and downstream neighbours is aggregated through K-step random walks, which is a physically meaningful analogue of how traffic actually propagates. The encoder–decoder structure with curriculum learning further stabilises multi-horizon prediction, addressing the well-known error compounding problem in sequence-to-sequence traffic models.</w:t>
      </w:r>
    </w:p>
    <w:p>
      <w:pPr>
        <w:spacing w:after="100" w:before="100" w:line="360"/>
        <w:jc w:val="both"/>
      </w:pPr>
      <w:r>
        <w:t xml:space="preserve">Graph WaveNet contributes two complementary ideas. First, a self-adaptive adjacency matrix is learned end-to-end, so hidden spatial dependencies that the road-distance graph misses – such as a common upstream ramp or a shared incident corridor – become explicit. Second, dilated causal convolutions replace recurrence for the temporal channel, giving a much wider receptive field with fewer sequential steps and enabling faster GPU inference. Together, these architectures represent the current family of state-of-the-art models for urban speed forecasting and provide a rigorous baseline for the safety layer built on top.</w:t>
      </w:r>
    </w:p>
    <w:p>
      <w:pPr>
        <w:spacing w:after="100" w:before="100" w:line="360"/>
        <w:jc w:val="both"/>
      </w:pPr>
      <w:r>
        <w:t xml:space="preserve">The novelty of the present study is therefore less in inventing a new backbone and more in engineering a coherent path from graph-based prediction to actionable safety alerts and vehicle-management decisions. Predicted speed trajectories are converted into a rolling risk score that combines the magnitude of the forecast drop, its coefficient of variation and the density of affected neighbouring sensors. This layer is what turns an academic benchmark into an ITS-ready tool.</w:t>
      </w:r>
    </w:p>
    <w:p>
      <w:pPr>
        <w:pStyle w:val="Heading1"/>
        <w:spacing w:after="120" w:before="240"/>
      </w:pPr>
      <w:r>
        <w:rPr>
          <w:b/>
          <w:bCs/>
          <w:sz w:val="28"/>
          <w:szCs w:val="28"/>
        </w:rPr>
        <w:t xml:space="preserve">4. Ethical Considerations</w:t>
      </w:r>
    </w:p>
    <w:p>
      <w:pPr>
        <w:spacing w:after="100" w:before="100" w:line="360"/>
        <w:jc w:val="both"/>
      </w:pPr>
      <w:r>
        <w:t xml:space="preserve">Deploying predictive analytics on urban mobility data raises four intertwined ethical concerns that the project explicitly addresses.</w:t>
      </w:r>
    </w:p>
    <w:p>
      <w:pPr>
        <w:spacing w:after="100" w:before="100" w:line="360"/>
        <w:jc w:val="both"/>
      </w:pPr>
      <w:r>
        <w:t xml:space="preserve">Privacy. METR-LA and PEMS-BAY are aggregated loop-detector feeds, yet real deployments often ingest floating-car and camera data. All personally identifiable trajectories will be excluded, and any extension to probe data will follow a privacy-by-design pattern with k-anonymity on origin-destination pairs and on-device aggregation before any model receives the samples.</w:t>
      </w:r>
    </w:p>
    <w:p>
      <w:pPr>
        <w:spacing w:after="100" w:before="100" w:line="360"/>
        <w:jc w:val="both"/>
      </w:pPr>
      <w:r>
        <w:t xml:space="preserve">Fairness. Sensor coverage in Los Angeles and the Bay Area is denser along freeways than on arterials that serve lower-income neighbourhoods. A model trained naively on such data risks systematically under-serving those areas with weaker predictions and delayed alerts. The evaluation protocol therefore reports MAE and MAPE per sub-region and flags a fairness gap threshold beyond which the model must be retrained or its outputs held from live use.</w:t>
      </w:r>
    </w:p>
    <w:p>
      <w:pPr>
        <w:spacing w:after="100" w:before="100" w:line="360"/>
        <w:jc w:val="both"/>
      </w:pPr>
      <w:r>
        <w:t xml:space="preserve">Safety and accountability. Because forecasts feed into dispatch and warning decisions, false negatives can prolong exposure to a real hazard while false positives can trigger unnecessary rerouting. The alert layer will therefore surface a calibrated confidence band alongside every warning, and human operators retain the final decision authority. A clear audit trail records inputs, model version and downstream action, so responsibility for any incorrect decision can be attributed unambiguously between the model developer, the operator and the transport authority.</w:t>
      </w:r>
    </w:p>
    <w:p>
      <w:pPr>
        <w:spacing w:after="100" w:before="100" w:line="360"/>
        <w:jc w:val="both"/>
      </w:pPr>
      <w:r>
        <w:t xml:space="preserve">Environmental and societal impact. Training large graph neural networks consumes non-trivial electricity. The project commits to reporting energy footprint per experiment and to preferring lighter fine-tuning where a full retraining is not required, keeping the environmental cost proportional to the operational benefit.</w:t>
      </w:r>
    </w:p>
    <w:p>
      <w:pPr>
        <w:spacing w:after="100" w:before="100" w:line="360"/>
        <w:jc w:val="both"/>
      </w:pPr>
      <w:r>
        <w:t xml:space="preserve"/>
      </w:r>
    </w:p>
    <w:p>
      <w:pPr>
        <w:spacing w:before="200"/>
        <w:jc w:val="left"/>
      </w:pPr>
      <w:r>
        <w:rPr>
          <w:i/>
          <w:iCs/>
          <w:sz w:val="20"/>
          <w:szCs w:val="20"/>
        </w:rPr>
        <w:t xml:space="preserve">Approximate length: ~1,050 words.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MSE806 Assessment 2 - Task A Proposal</dc:title>
  <dc:creator>Li Qingchao</dc:creator>
  <cp:lastModifiedBy>Un-named</cp:lastModifiedBy>
  <cp:revision>1</cp:revision>
  <dcterms:created xsi:type="dcterms:W3CDTF">2026-07-04T20:42:23.837Z</dcterms:created>
  <dcterms:modified xsi:type="dcterms:W3CDTF">2026-07-04T20:42:23.839Z</dcterms:modified>
</cp:coreProperties>
</file>

<file path=docProps/custom.xml><?xml version="1.0" encoding="utf-8"?>
<Properties xmlns="http://schemas.openxmlformats.org/officeDocument/2006/custom-properties" xmlns:vt="http://schemas.openxmlformats.org/officeDocument/2006/docPropsVTypes"/>
</file>