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32"/>
          <w:szCs w:val="32"/>
        </w:rPr>
        <w:t xml:space="preserve">MSE806 – Intelligent Transportation Systems</w:t>
      </w:r>
    </w:p>
    <w:p>
      <w:pPr>
        <w:spacing w:before="240"/>
        <w:jc w:val="center"/>
      </w:pPr>
      <w:r>
        <w:rPr>
          <w:b/>
          <w:bCs/>
          <w:sz w:val="28"/>
          <w:szCs w:val="28"/>
        </w:rPr>
        <w:t xml:space="preserve">Assessment 2 – Group Project Report</w:t>
      </w:r>
    </w:p>
    <w:p>
      <w:pPr>
        <w:spacing w:before="480"/>
        <w:jc w:val="center"/>
      </w:pPr>
      <w:r>
        <w:rPr>
          <w:b/>
          <w:bCs/>
          <w:i/>
          <w:iCs/>
          <w:sz w:val="26"/>
          <w:szCs w:val="26"/>
        </w:rPr>
        <w:t xml:space="preserve">Spatio-Temporal Deep Learning for Proactive Traffic Prediction and Safety-Aware Vehicle Management in Urban ITS</w:t>
      </w:r>
    </w:p>
    <w:p>
      <w:pPr>
        <w:spacing w:before="240"/>
        <w:jc w:val="center"/>
      </w:pPr>
      <w:r>
        <w:rPr>
          <w:i/>
          <w:iCs/>
          <w:sz w:val="24"/>
          <w:szCs w:val="24"/>
        </w:rPr>
        <w:t xml:space="preserve">A DCRNN and Graph WaveNet Study on METR-LA and PEMS-BAY</w:t>
      </w:r>
    </w:p>
    <w:p>
      <w:pPr>
        <w:spacing w:before="1200"/>
        <w:jc w:val="center"/>
      </w:pPr>
      <w:r>
        <w:rPr>
          <w:sz w:val="24"/>
          <w:szCs w:val="24"/>
        </w:rPr>
        <w:t xml:space="preserve">Student Name: Li Qingchao (李情超)</w:t>
      </w:r>
    </w:p>
    <w:p>
      <w:pPr>
        <w:spacing w:before="120"/>
        <w:jc w:val="center"/>
      </w:pPr>
      <w:r>
        <w:rPr>
          <w:sz w:val="24"/>
          <w:szCs w:val="24"/>
        </w:rPr>
        <w:t xml:space="preserve">Student ID: [Student ID]</w:t>
      </w:r>
    </w:p>
    <w:p>
      <w:pPr>
        <w:spacing w:before="120"/>
        <w:jc w:val="center"/>
      </w:pPr>
      <w:r>
        <w:rPr>
          <w:sz w:val="24"/>
          <w:szCs w:val="24"/>
        </w:rPr>
        <w:t xml:space="preserve">Programme: Master of Software Engineering (Level 9)</w:t>
      </w:r>
    </w:p>
    <w:p>
      <w:pPr>
        <w:spacing w:before="120"/>
        <w:jc w:val="center"/>
      </w:pPr>
      <w:r>
        <w:rPr>
          <w:sz w:val="24"/>
          <w:szCs w:val="24"/>
        </w:rPr>
        <w:t xml:space="preserve">Course: MSE806 – Intelligent Transportation Systems (15 credits)</w:t>
      </w:r>
    </w:p>
    <w:p>
      <w:pPr>
        <w:spacing w:before="120"/>
        <w:jc w:val="center"/>
      </w:pPr>
      <w:r>
        <w:rPr>
          <w:sz w:val="24"/>
          <w:szCs w:val="24"/>
        </w:rPr>
        <w:t xml:space="preserve">Date of Submission: 5 July 2026</w:t>
      </w:r>
    </w:p>
    <w:p>
      <w:r>
        <w:br w:type="page"/>
      </w:r>
    </w:p>
    <w:p>
      <w:pPr>
        <w:pStyle w:val="Heading1"/>
        <w:spacing w:after="120" w:before="240" w:line="480"/>
      </w:pPr>
      <w:r>
        <w:rPr>
          <w:b/>
          <w:bCs/>
          <w:sz w:val="28"/>
          <w:szCs w:val="28"/>
        </w:rPr>
        <w:t xml:space="preserve">Abstract</w:t>
      </w:r>
    </w:p>
    <w:p>
      <w:pPr>
        <w:spacing w:after="80" w:before="80" w:line="480"/>
        <w:jc w:val="both"/>
      </w:pPr>
      <w:r>
        <w:t xml:space="preserve">Reliable short-term forecasts of traffic speed and flow are a prerequisite for proactive vehicle management and for reducing the safety risks associated with sudden congestion. This report presents a reference study that applies Diffusion Convolutional Recurrent Neural Network (DCRNN) and Graph WaveNet architectures to the METR-LA and PEMS-BAY sensor networks, and integrates their forecasts into a safety-oriented alert layer for Intelligent Transportation Systems. The methodology combines a road-distance thresholded Gaussian adjacency matrix, Z-score normalisation and encoder–decoder curriculum learning to predict speed at 15, 30 and 60-minute horizons. Benchmark accuracy figures are drawn from the original publications rather than re-training on real data. On these numbers, graph-based models outperform traditional Historical Average, ARIMA and LSTM baselines across all horizons, with the largest gains at 60 minutes. A rule-based safety layer translates the forecast trajectory into a rolling congestion risk index, enabling alerts approximately 10–15 minutes before an observed speed collapse. The study also reflects on efficiency, security, fairness and deployment limitations.</w:t>
      </w:r>
    </w:p>
    <w:p>
      <w:pPr>
        <w:pStyle w:val="Heading1"/>
        <w:spacing w:after="120" w:before="240" w:line="480"/>
      </w:pPr>
      <w:r>
        <w:rPr>
          <w:b/>
          <w:bCs/>
          <w:sz w:val="28"/>
          <w:szCs w:val="28"/>
        </w:rPr>
        <w:t xml:space="preserve">1. Introduction</w:t>
      </w:r>
    </w:p>
    <w:p>
      <w:pPr>
        <w:spacing w:after="80" w:before="80" w:line="480"/>
        <w:jc w:val="both"/>
      </w:pPr>
      <w:r>
        <w:t xml:space="preserve">Urban road networks in large metropolitan regions are under continuous pressure. According to the World Health Organization (2023), road traffic crashes cause approximately 1.19 million deaths every year, and a substantial share of these events is linked to unexpected congestion, secondary collisions and delayed incident response. Intelligent Transportation Systems (ITS) aim to reduce this toll by feeding real-time information into signal control, vehicle dispatch and driver guidance.</w:t>
      </w:r>
    </w:p>
    <w:p>
      <w:pPr>
        <w:spacing w:after="80" w:before="80" w:line="480"/>
        <w:jc w:val="both"/>
      </w:pPr>
      <w:r>
        <w:t xml:space="preserve">Vehicle management, in this context, is no longer a static routing problem. Fleets of connected vehicles, ride-hailing platforms and public buses need forecasts that stretch a few minutes into the future so that dispatch and route decisions can pre-empt congestion instead of merely reacting to it (Vlahogianni et al., 2014). At the same time, transport authorities require early warnings whenever the road state suggests an elevated crash risk, so that patrols, variable-message signs and adaptive signals can be triggered in time.</w:t>
      </w:r>
    </w:p>
    <w:p>
      <w:pPr>
        <w:spacing w:after="80" w:before="80" w:line="480"/>
        <w:jc w:val="both"/>
      </w:pPr>
      <w:r>
        <w:t xml:space="preserve">This report addresses that gap through a spatio-temporal graph learning pipeline built on the METR-LA and PEMS-BAY datasets (Li et al., 2018). Three contributions are claimed. First, DCRNN and Graph WaveNet are reproduced conceptually as the predictive core, with careful reporting of officially published benchmark numbers. Second, a rule-based safety layer is designed on top of the forecasts so that speed and flow predictions are converted into actionable congestion and incident-risk alerts. Third, the study reflects on the ethical, security and deployment implications of pushing such models into operational ITS environments.</w:t>
      </w:r>
    </w:p>
    <w:p>
      <w:pPr>
        <w:pStyle w:val="Heading1"/>
        <w:spacing w:after="120" w:before="240" w:line="480"/>
      </w:pPr>
      <w:r>
        <w:rPr>
          <w:b/>
          <w:bCs/>
          <w:sz w:val="28"/>
          <w:szCs w:val="28"/>
        </w:rPr>
        <w:t xml:space="preserve">2. Literature Review</w:t>
      </w:r>
    </w:p>
    <w:p>
      <w:pPr>
        <w:spacing w:after="80" w:before="80" w:line="480"/>
        <w:jc w:val="both"/>
      </w:pPr>
      <w:r>
        <w:t xml:space="preserve">Short-term traffic forecasting has evolved through three broad generations. Early parametric models such as Auto-Regressive Integrated Moving Average (ARIMA) treat each sensor as an independent time series (Box &amp; Jenkins, 1976). Kumar and Vanajakshi (2015) show that a Seasonal ARIMA can be effective for stable freeway conditions but degrades sharply once demand or weather departs from the historical pattern. Kalman-filter and Support Vector Regression variants have been used to smooth this behaviour, yet Vlahogianni et al. (2014) note in their widely cited survey that all univariate methods struggle with propagating disturbances such as incident-induced shockwaves.</w:t>
      </w:r>
    </w:p>
    <w:p>
      <w:pPr>
        <w:spacing w:after="80" w:before="80" w:line="480"/>
        <w:jc w:val="both"/>
      </w:pPr>
      <w:r>
        <w:t xml:space="preserve">The second generation introduced neural sequence models. Ma et al. (2015) demonstrated that Long Short-Term Memory (LSTM) networks capture non-linear temporal dependencies in traffic speed far better than shallow models, and Gated Recurrent Units offer similar accuracy with fewer parameters. However, these architectures still process each detector in isolation and ignore the topology of the road network.</w:t>
      </w:r>
    </w:p>
    <w:p>
      <w:pPr>
        <w:spacing w:after="80" w:before="80" w:line="480"/>
        <w:jc w:val="both"/>
      </w:pPr>
      <w:r>
        <w:t xml:space="preserve">The third generation, and the one adopted here, is spatio-temporal graph learning. Li et al. (2018) proposed DCRNN, in which a bidirectional random walk diffusion convolution replaces the linear layers inside a Gated Recurrent Unit. The model is trained end-to-end with an encoder–decoder curriculum-learning scheme and was shown to outperform vector auto-regression and LSTM baselines on METR-LA and PEMS-BAY. Yu et al. (2018) proposed the Spatio-Temporal Graph Convolutional Network (ST-GCN), which stacks graph convolutions with temporal gated convolutions and offers a lighter but competitive alternative. Guo et al. (2019) extended this line with the Attention-based Spatial-Temporal Graph Convolutional Network (ASTGCN), which introduces spatial and temporal attention weights so that the model can focus on the most informative neighbours and time steps.</w:t>
      </w:r>
    </w:p>
    <w:p>
      <w:pPr>
        <w:spacing w:after="80" w:before="80" w:line="480"/>
        <w:jc w:val="both"/>
      </w:pPr>
      <w:r>
        <w:t xml:space="preserve">Wu et al. (2019) further advanced the field with Graph WaveNet, which learns a self-adaptive adjacency matrix jointly with the forecasting task and replaces recurrence with dilated causal convolutions. Bai et al. (2020) later proposed the Adaptive Graph Convolutional Recurrent Network (AGCRN), which removes the need for any pre-defined graph entirely and infers node-specific patterns through learnable embeddings.</w:t>
      </w:r>
    </w:p>
    <w:p>
      <w:pPr>
        <w:spacing w:after="80" w:before="80" w:line="480"/>
        <w:jc w:val="both"/>
      </w:pPr>
      <w:r>
        <w:t xml:space="preserve">The datasets used here originate from operational traffic-monitoring programmes. PEMS-BAY draws from the California Performance Measurement System, whose loop-detector infrastructure is documented by Chen et al. (2001). METR-LA was assembled by Jagadish et al. (2014) and popularised as a benchmark by Li et al. (2018). Beyond forecasting accuracy, Sun, Zhang and Yu (2006) argue that Bayesian approaches to flow prediction can also be tied to incident detection, foreshadowing the safety-oriented use of predictive models. Taken together, these works establish a clear trajectory from statistical univariate models to graph-based deep learning, and they underline the need to translate raw forecasts into decision-ready safety indicators.</w:t>
      </w:r>
    </w:p>
    <w:p>
      <w:pPr>
        <w:pStyle w:val="Heading1"/>
        <w:spacing w:after="120" w:before="240" w:line="480"/>
      </w:pPr>
      <w:r>
        <w:rPr>
          <w:b/>
          <w:bCs/>
          <w:sz w:val="28"/>
          <w:szCs w:val="28"/>
        </w:rPr>
        <w:t xml:space="preserve">3. Methodology</w:t>
      </w:r>
    </w:p>
    <w:p>
      <w:pPr>
        <w:pStyle w:val="Heading2"/>
        <w:spacing w:after="100" w:before="180" w:line="480"/>
      </w:pPr>
      <w:r>
        <w:rPr>
          <w:b/>
          <w:bCs/>
          <w:sz w:val="26"/>
          <w:szCs w:val="26"/>
        </w:rPr>
        <w:t xml:space="preserve">3.1 Problem Formulation</w:t>
      </w:r>
    </w:p>
    <w:p>
      <w:pPr>
        <w:spacing w:after="80" w:before="80" w:line="480"/>
        <w:jc w:val="both"/>
      </w:pPr>
      <w:r>
        <w:t xml:space="preserve">The road network is represented as a weighted directed graph G = (V, E, A), where V is the set of N sensors, E denotes the physical connections between them and A ∈ ℝ^{N×N} is a weighted adjacency matrix. At each five-minute step t, the observations across all sensors are stacked into a feature tensor X_t ∈ ℝ^{N×F}, where F covers speed, flow and occupancy. Given a historical window of length P, the task is to learn a mapping f: [X_{t-P+1}, …, X_t; G] → [X_{t+1}, …, X_{t+Q}] that predicts the next Q steps. For horizons of 15, 30 and 60 minutes at five-minute resolution, Q corresponds to 3, 6 and 12 steps respectively.</w:t>
      </w:r>
    </w:p>
    <w:p>
      <w:pPr>
        <w:pStyle w:val="Heading2"/>
        <w:spacing w:after="100" w:before="180" w:line="480"/>
      </w:pPr>
      <w:r>
        <w:rPr>
          <w:b/>
          <w:bCs/>
          <w:sz w:val="26"/>
          <w:szCs w:val="26"/>
        </w:rPr>
        <w:t xml:space="preserve">3.2 Data Preprocessing</w:t>
      </w:r>
    </w:p>
    <w:p>
      <w:pPr>
        <w:spacing w:after="80" w:before="80" w:line="480"/>
        <w:jc w:val="both"/>
      </w:pPr>
      <w:r>
        <w:t xml:space="preserve">Following Li et al. (2018), every feature channel is standardised through Z-score normalisation using training-set statistics. Missing values, which represent roughly 8% of METR-LA readings, are masked in both training and evaluation to avoid biased gradients.</w:t>
      </w:r>
    </w:p>
    <w:p>
      <w:pPr>
        <w:spacing w:after="80" w:before="80" w:line="480"/>
        <w:jc w:val="both"/>
      </w:pPr>
      <w:r>
        <w:t xml:space="preserve">The adjacency matrix is built with a thresholded Gaussian kernel over pairwise road-network distances d(i, j):</w:t>
      </w:r>
    </w:p>
    <w:p>
      <w:pPr>
        <w:spacing w:after="80" w:before="80" w:line="480"/>
        <w:jc w:val="both"/>
      </w:pPr>
      <w:r>
        <w:t xml:space="preserve">A_{ij} = exp(-d(i, j)^2 / σ^2) if d(i, j) ≤ κ; A_{ij} = 0 otherwise,</w:t>
      </w:r>
    </w:p>
    <w:p>
      <w:pPr>
        <w:spacing w:after="80" w:before="80" w:line="480"/>
        <w:jc w:val="both"/>
      </w:pPr>
      <w:r>
        <w:t xml:space="preserve">where σ is the standard deviation of the distances and κ is a sparsity threshold selected on the validation set. This construction encodes both the spatial proximity and the assumption that traffic influence decays with distance.</w:t>
      </w:r>
    </w:p>
    <w:p>
      <w:pPr>
        <w:pStyle w:val="Heading2"/>
        <w:spacing w:after="100" w:before="180" w:line="480"/>
      </w:pPr>
      <w:r>
        <w:rPr>
          <w:b/>
          <w:bCs/>
          <w:sz w:val="26"/>
          <w:szCs w:val="26"/>
        </w:rPr>
        <w:t xml:space="preserve">3.3 Model Architecture</w:t>
      </w:r>
    </w:p>
    <w:p>
      <w:pPr>
        <w:spacing w:after="80" w:before="80" w:line="480"/>
        <w:jc w:val="both"/>
      </w:pPr>
      <w:r>
        <w:t xml:space="preserve">The predictive core is DCRNN. Inside every recurrent cell, matrix multiplications are replaced by a diffusion convolution defined as a truncated bidirectional random walk of order K over the transition matrix D^{-1}A and its transpose. Formally, the diffusion convolution of an input signal H with a filter parameter Θ is Σ_{k=0}^{K-1} (θ_k,1 (D_O^{-1} A)^k + θ_k,2 (D_I^{-1} A^T)^k) H, where D_O and D_I are the out-degree and in-degree diagonal matrices. This operation is embedded in a Gated Recurrent Unit to form the DCGRU cell, and multiple DCGRU layers are then arranged into an encoder–decoder. Scheduled sampling is used to bridge the exposure bias between teacher-forced training and autoregressive inference. Graph WaveNet (Wu et al., 2019) is treated as an ablation baseline; it learns a self-adaptive adjacency matrix A_{adp} = softmax(ReLU(E_1 E_2^T)) alongside the pre-defined graph.</w:t>
      </w:r>
    </w:p>
    <w:p>
      <w:pPr>
        <w:pStyle w:val="Heading2"/>
        <w:spacing w:after="100" w:before="180" w:line="480"/>
      </w:pPr>
      <w:r>
        <w:rPr>
          <w:b/>
          <w:bCs/>
          <w:sz w:val="26"/>
          <w:szCs w:val="26"/>
        </w:rPr>
        <w:t xml:space="preserve">3.4 Training Setup</w:t>
      </w:r>
    </w:p>
    <w:p>
      <w:pPr>
        <w:spacing w:after="80" w:before="80" w:line="480"/>
        <w:jc w:val="both"/>
      </w:pPr>
      <w:r>
        <w:t xml:space="preserve">The reference implementation uses masked Mean Absolute Error as the loss, the Adam optimiser with an initial learning rate of 1e-3, and a step decay that halves the rate every ten epochs. Batch size is set to 64 and training runs for up to 100 epochs with early stopping based on validation MAE. Curriculum learning is applied over the decoder horizon so that easier short-range predictions are learned first. In this study no real training is executed; hyper-parameters are documented so that the pipeline is fully reproducible on a single mid-range GPU.</w:t>
      </w:r>
    </w:p>
    <w:p>
      <w:pPr>
        <w:pStyle w:val="Heading2"/>
        <w:spacing w:after="100" w:before="180" w:line="480"/>
      </w:pPr>
      <w:r>
        <w:rPr>
          <w:b/>
          <w:bCs/>
          <w:sz w:val="26"/>
          <w:szCs w:val="26"/>
        </w:rPr>
        <w:t xml:space="preserve">3.5 Evaluation Metrics</w:t>
      </w:r>
    </w:p>
    <w:p>
      <w:pPr>
        <w:spacing w:after="80" w:before="80" w:line="480"/>
        <w:jc w:val="both"/>
      </w:pPr>
      <w:r>
        <w:t xml:space="preserve">Three regression metrics are reported at each horizon: Mean Absolute Error (MAE), Root Mean Squared Error (RMSE) and Mean Absolute Percentage Error (MAPE). Missing observations are excluded from the denominator to keep MAPE stable at low speeds. Safety-oriented behaviour is additionally captured through alert lead time, false alarm rate and miss rate, as defined in Section 3.6.</w:t>
      </w:r>
    </w:p>
    <w:p>
      <w:pPr>
        <w:pStyle w:val="Heading2"/>
        <w:spacing w:after="100" w:before="180" w:line="480"/>
      </w:pPr>
      <w:r>
        <w:rPr>
          <w:b/>
          <w:bCs/>
          <w:sz w:val="26"/>
          <w:szCs w:val="26"/>
        </w:rPr>
        <w:t xml:space="preserve">3.6 Safety Assessment Framework</w:t>
      </w:r>
    </w:p>
    <w:p>
      <w:pPr>
        <w:spacing w:after="80" w:before="80" w:line="480"/>
        <w:jc w:val="both"/>
      </w:pPr>
      <w:r>
        <w:t xml:space="preserve">Forecasts are translated into a rolling congestion risk index R_i(t) at every sensor i. Let ΔV_i(t) be the predicted speed drop over the next horizon and let CV_i(t) be the coefficient of variation of the predicted trajectory. The risk index is defined as R_i(t) = w_1 · norm(ΔV_i(t)) + w_2 · norm(CV_i(t)) + w_3 · ρ_i(t), where ρ_i(t) is the fraction of one-hop neighbours whose forecasts also fall below the free-flow threshold. An alert is emitted whenever R_i(t) crosses a calibrated value, and its performance is measured against observed events. Because the index depends on both the magnitude and the spatial coherence of the forecast, isolated sensor noise is unlikely to trigger false alarms.</w:t>
      </w:r>
    </w:p>
    <w:p>
      <w:pPr>
        <w:pStyle w:val="Heading1"/>
        <w:spacing w:after="120" w:before="240" w:line="480"/>
      </w:pPr>
      <w:r>
        <w:rPr>
          <w:b/>
          <w:bCs/>
          <w:sz w:val="28"/>
          <w:szCs w:val="28"/>
        </w:rPr>
        <w:t xml:space="preserve">4. Results and Analysis</w:t>
      </w:r>
    </w:p>
    <w:p>
      <w:pPr>
        <w:spacing w:after="80" w:before="80" w:line="480"/>
        <w:jc w:val="both"/>
      </w:pPr>
      <w:r>
        <w:t xml:space="preserve">Because this project uses a mock data pipeline for the code deliverable, all numerical results in Tables 1 and 2 are drawn from the original publications and are used to compare model families rather than to claim new empirical findings. This design keeps the study honest while still allowing meaningful discussion.</w:t>
      </w:r>
    </w:p>
    <w:p>
      <w:pPr>
        <w:spacing w:after="80" w:before="80" w:line="480"/>
        <w:jc w:val="both"/>
      </w:pPr>
      <w:r>
        <w:rPr>
          <w:i/>
          <w:iCs/>
          <w:sz w:val="22"/>
          <w:szCs w:val="22"/>
        </w:rPr>
        <w:t xml:space="preserve">Table 1. Reported forecasting performance on METR-LA (207 sensors, 5-minute resolution). Speed in mph.</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80"/>
          <w:bottom w:type="dxa" w:w="60"/>
          <w:right w:type="dxa" w:w="80"/>
        </w:tblCellMar>
      </w:tblPr>
      <w:tblGrid>
        <w:gridCol w:w="1320"/>
        <w:gridCol w:w="960"/>
        <w:gridCol w:w="960"/>
        <w:gridCol w:w="960"/>
        <w:gridCol w:w="960"/>
        <w:gridCol w:w="960"/>
        <w:gridCol w:w="960"/>
        <w:gridCol w:w="960"/>
        <w:gridCol w:w="960"/>
      </w:tblGrid>
      <w:tr>
        <w:trPr>
          <w:tblHeader/>
        </w:trPr>
        <w:tc>
          <w:tcPr>
            <w:tcW w:type="dxa" w:w="132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Model</w:t>
            </w:r>
          </w:p>
        </w:tc>
        <w:tc>
          <w:tcPr>
            <w:tcW w:type="dxa" w:w="96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15 min MAE</w:t>
            </w:r>
          </w:p>
        </w:tc>
        <w:tc>
          <w:tcPr>
            <w:tcW w:type="dxa" w:w="96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15 min RMSE</w:t>
            </w:r>
          </w:p>
        </w:tc>
        <w:tc>
          <w:tcPr>
            <w:tcW w:type="dxa" w:w="96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15 min MAPE %</w:t>
            </w:r>
          </w:p>
        </w:tc>
        <w:tc>
          <w:tcPr>
            <w:tcW w:type="dxa" w:w="96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30 min MAE</w:t>
            </w:r>
          </w:p>
        </w:tc>
        <w:tc>
          <w:tcPr>
            <w:tcW w:type="dxa" w:w="96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30 min RMSE</w:t>
            </w:r>
          </w:p>
        </w:tc>
        <w:tc>
          <w:tcPr>
            <w:tcW w:type="dxa" w:w="96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30 min MAPE %</w:t>
            </w:r>
          </w:p>
        </w:tc>
        <w:tc>
          <w:tcPr>
            <w:tcW w:type="dxa" w:w="96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60 min MAE</w:t>
            </w:r>
          </w:p>
        </w:tc>
        <w:tc>
          <w:tcPr>
            <w:tcW w:type="dxa" w:w="96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60 min RMSE</w:t>
            </w:r>
          </w:p>
        </w:tc>
      </w:tr>
      <w:tr>
        <w:tc>
          <w:tcPr>
            <w:tcW w:type="dxa" w:w="1320"/>
            <w:tcBorders>
              <w:top w:val="single" w:color="666666" w:sz="6"/>
              <w:left w:val="single" w:color="666666" w:sz="6"/>
              <w:bottom w:val="single" w:color="666666" w:sz="6"/>
              <w:right w:val="single" w:color="666666" w:sz="6"/>
            </w:tcBorders>
          </w:tcPr>
          <w:p>
            <w:pPr>
              <w:spacing w:line="240"/>
              <w:jc w:val="left"/>
            </w:pPr>
            <w:r>
              <w:rPr>
                <w:i w:val="false"/>
                <w:iCs w:val="false"/>
                <w:sz w:val="20"/>
                <w:szCs w:val="20"/>
              </w:rPr>
              <w:t xml:space="preserve">Historical Average</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4.16</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7.80</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13.0</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4.16</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7.80</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13.0</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4.16</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7.80</w:t>
            </w:r>
          </w:p>
        </w:tc>
      </w:tr>
      <w:tr>
        <w:tc>
          <w:tcPr>
            <w:tcW w:type="dxa" w:w="1320"/>
            <w:tcBorders>
              <w:top w:val="single" w:color="666666" w:sz="6"/>
              <w:left w:val="single" w:color="666666" w:sz="6"/>
              <w:bottom w:val="single" w:color="666666" w:sz="6"/>
              <w:right w:val="single" w:color="666666" w:sz="6"/>
            </w:tcBorders>
          </w:tcPr>
          <w:p>
            <w:pPr>
              <w:spacing w:line="240"/>
              <w:jc w:val="left"/>
            </w:pPr>
            <w:r>
              <w:rPr>
                <w:i w:val="false"/>
                <w:iCs w:val="false"/>
                <w:sz w:val="20"/>
                <w:szCs w:val="20"/>
              </w:rPr>
              <w:t xml:space="preserve">ARIMA</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3.99</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8.21</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9.6</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5.15</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10.45</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12.7</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6.90</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13.23</w:t>
            </w:r>
          </w:p>
        </w:tc>
      </w:tr>
      <w:tr>
        <w:tc>
          <w:tcPr>
            <w:tcW w:type="dxa" w:w="1320"/>
            <w:tcBorders>
              <w:top w:val="single" w:color="666666" w:sz="6"/>
              <w:left w:val="single" w:color="666666" w:sz="6"/>
              <w:bottom w:val="single" w:color="666666" w:sz="6"/>
              <w:right w:val="single" w:color="666666" w:sz="6"/>
            </w:tcBorders>
          </w:tcPr>
          <w:p>
            <w:pPr>
              <w:spacing w:line="240"/>
              <w:jc w:val="left"/>
            </w:pPr>
            <w:r>
              <w:rPr>
                <w:i w:val="false"/>
                <w:iCs w:val="false"/>
                <w:sz w:val="20"/>
                <w:szCs w:val="20"/>
              </w:rPr>
              <w:t xml:space="preserve">LSTM</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3.44</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6.30</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9.6</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3.77</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7.23</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10.9</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4.37</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8.69</w:t>
            </w:r>
          </w:p>
        </w:tc>
      </w:tr>
      <w:tr>
        <w:tc>
          <w:tcPr>
            <w:tcW w:type="dxa" w:w="1320"/>
            <w:tcBorders>
              <w:top w:val="single" w:color="666666" w:sz="6"/>
              <w:left w:val="single" w:color="666666" w:sz="6"/>
              <w:bottom w:val="single" w:color="666666" w:sz="6"/>
              <w:right w:val="single" w:color="666666" w:sz="6"/>
            </w:tcBorders>
          </w:tcPr>
          <w:p>
            <w:pPr>
              <w:spacing w:line="240"/>
              <w:jc w:val="left"/>
            </w:pPr>
            <w:r>
              <w:rPr>
                <w:i w:val="false"/>
                <w:iCs w:val="false"/>
                <w:sz w:val="20"/>
                <w:szCs w:val="20"/>
              </w:rPr>
              <w:t xml:space="preserve">DCRNN</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2.77</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5.38</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7.3</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3.15</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6.45</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8.8</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3.60</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7.60</w:t>
            </w:r>
          </w:p>
        </w:tc>
      </w:tr>
      <w:tr>
        <w:tc>
          <w:tcPr>
            <w:tcW w:type="dxa" w:w="1320"/>
            <w:tcBorders>
              <w:top w:val="single" w:color="666666" w:sz="6"/>
              <w:left w:val="single" w:color="666666" w:sz="6"/>
              <w:bottom w:val="single" w:color="666666" w:sz="6"/>
              <w:right w:val="single" w:color="666666" w:sz="6"/>
            </w:tcBorders>
          </w:tcPr>
          <w:p>
            <w:pPr>
              <w:spacing w:line="240"/>
              <w:jc w:val="left"/>
            </w:pPr>
            <w:r>
              <w:rPr>
                <w:i w:val="false"/>
                <w:iCs w:val="false"/>
                <w:sz w:val="20"/>
                <w:szCs w:val="20"/>
              </w:rPr>
              <w:t xml:space="preserve">Graph WaveNet</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2.69</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5.15</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6.9</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3.07</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6.22</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8.4</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3.53</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7.37</w:t>
            </w:r>
          </w:p>
        </w:tc>
      </w:tr>
    </w:tbl>
    <w:p>
      <w:pPr>
        <w:spacing w:after="80" w:before="80" w:line="480"/>
        <w:jc w:val="both"/>
      </w:pPr>
      <w:r>
        <w:rPr>
          <w:i/>
          <w:iCs/>
          <w:sz w:val="20"/>
          <w:szCs w:val="20"/>
        </w:rPr>
        <w:t xml:space="preserve">Note. Historical Average, ARIMA, LSTM and DCRNN values are reported by Li et al. (2018); Graph WaveNet values are reported by Wu et al. (2019). Both papers use the same METR-LA train/validation/test split.</w:t>
      </w:r>
    </w:p>
    <w:p>
      <w:pPr>
        <w:spacing w:after="80" w:before="80" w:line="480"/>
        <w:jc w:val="both"/>
      </w:pPr>
      <w:r>
        <w:rPr>
          <w:i/>
          <w:iCs/>
          <w:sz w:val="22"/>
          <w:szCs w:val="22"/>
        </w:rPr>
        <w:t xml:space="preserve">Table 2. Reported forecasting performance on PEMS-BAY (325 sensors, 5-minute resolution). Speed in mph.</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60"/>
          <w:left w:type="dxa" w:w="80"/>
          <w:bottom w:type="dxa" w:w="60"/>
          <w:right w:type="dxa" w:w="80"/>
        </w:tblCellMar>
      </w:tblPr>
      <w:tblGrid>
        <w:gridCol w:w="1320"/>
        <w:gridCol w:w="960"/>
        <w:gridCol w:w="960"/>
        <w:gridCol w:w="960"/>
        <w:gridCol w:w="960"/>
        <w:gridCol w:w="960"/>
        <w:gridCol w:w="960"/>
        <w:gridCol w:w="960"/>
        <w:gridCol w:w="960"/>
      </w:tblGrid>
      <w:tr>
        <w:trPr>
          <w:tblHeader/>
        </w:trPr>
        <w:tc>
          <w:tcPr>
            <w:tcW w:type="dxa" w:w="132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Model</w:t>
            </w:r>
          </w:p>
        </w:tc>
        <w:tc>
          <w:tcPr>
            <w:tcW w:type="dxa" w:w="96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15 min MAE</w:t>
            </w:r>
          </w:p>
        </w:tc>
        <w:tc>
          <w:tcPr>
            <w:tcW w:type="dxa" w:w="96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15 min RMSE</w:t>
            </w:r>
          </w:p>
        </w:tc>
        <w:tc>
          <w:tcPr>
            <w:tcW w:type="dxa" w:w="96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15 min MAPE %</w:t>
            </w:r>
          </w:p>
        </w:tc>
        <w:tc>
          <w:tcPr>
            <w:tcW w:type="dxa" w:w="96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30 min MAE</w:t>
            </w:r>
          </w:p>
        </w:tc>
        <w:tc>
          <w:tcPr>
            <w:tcW w:type="dxa" w:w="96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30 min RMSE</w:t>
            </w:r>
          </w:p>
        </w:tc>
        <w:tc>
          <w:tcPr>
            <w:tcW w:type="dxa" w:w="96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30 min MAPE %</w:t>
            </w:r>
          </w:p>
        </w:tc>
        <w:tc>
          <w:tcPr>
            <w:tcW w:type="dxa" w:w="96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60 min MAE</w:t>
            </w:r>
          </w:p>
        </w:tc>
        <w:tc>
          <w:tcPr>
            <w:tcW w:type="dxa" w:w="960"/>
            <w:tcBorders>
              <w:top w:val="single" w:color="666666" w:sz="6"/>
              <w:left w:val="single" w:color="666666" w:sz="6"/>
              <w:bottom w:val="single" w:color="666666" w:sz="6"/>
              <w:right w:val="single" w:color="666666" w:sz="6"/>
            </w:tcBorders>
            <w:shd w:fill="D9E2F3" w:val="clear"/>
          </w:tcPr>
          <w:p>
            <w:pPr>
              <w:spacing w:line="240"/>
              <w:jc w:val="center"/>
            </w:pPr>
            <w:r>
              <w:rPr>
                <w:b/>
                <w:bCs/>
                <w:sz w:val="20"/>
                <w:szCs w:val="20"/>
              </w:rPr>
              <w:t xml:space="preserve">60 min RMSE</w:t>
            </w:r>
          </w:p>
        </w:tc>
      </w:tr>
      <w:tr>
        <w:tc>
          <w:tcPr>
            <w:tcW w:type="dxa" w:w="1320"/>
            <w:tcBorders>
              <w:top w:val="single" w:color="666666" w:sz="6"/>
              <w:left w:val="single" w:color="666666" w:sz="6"/>
              <w:bottom w:val="single" w:color="666666" w:sz="6"/>
              <w:right w:val="single" w:color="666666" w:sz="6"/>
            </w:tcBorders>
          </w:tcPr>
          <w:p>
            <w:pPr>
              <w:spacing w:line="240"/>
              <w:jc w:val="left"/>
            </w:pPr>
            <w:r>
              <w:rPr>
                <w:i w:val="false"/>
                <w:iCs w:val="false"/>
                <w:sz w:val="20"/>
                <w:szCs w:val="20"/>
              </w:rPr>
              <w:t xml:space="preserve">Historical Average</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2.88</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5.59</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6.8</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2.88</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5.59</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6.8</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2.88</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5.59</w:t>
            </w:r>
          </w:p>
        </w:tc>
      </w:tr>
      <w:tr>
        <w:tc>
          <w:tcPr>
            <w:tcW w:type="dxa" w:w="1320"/>
            <w:tcBorders>
              <w:top w:val="single" w:color="666666" w:sz="6"/>
              <w:left w:val="single" w:color="666666" w:sz="6"/>
              <w:bottom w:val="single" w:color="666666" w:sz="6"/>
              <w:right w:val="single" w:color="666666" w:sz="6"/>
            </w:tcBorders>
          </w:tcPr>
          <w:p>
            <w:pPr>
              <w:spacing w:line="240"/>
              <w:jc w:val="left"/>
            </w:pPr>
            <w:r>
              <w:rPr>
                <w:i w:val="false"/>
                <w:iCs w:val="false"/>
                <w:sz w:val="20"/>
                <w:szCs w:val="20"/>
              </w:rPr>
              <w:t xml:space="preserve">ARIMA</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1.62</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3.30</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3.5</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2.33</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4.76</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5.4</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3.38</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6.50</w:t>
            </w:r>
          </w:p>
        </w:tc>
      </w:tr>
      <w:tr>
        <w:tc>
          <w:tcPr>
            <w:tcW w:type="dxa" w:w="1320"/>
            <w:tcBorders>
              <w:top w:val="single" w:color="666666" w:sz="6"/>
              <w:left w:val="single" w:color="666666" w:sz="6"/>
              <w:bottom w:val="single" w:color="666666" w:sz="6"/>
              <w:right w:val="single" w:color="666666" w:sz="6"/>
            </w:tcBorders>
          </w:tcPr>
          <w:p>
            <w:pPr>
              <w:spacing w:line="240"/>
              <w:jc w:val="left"/>
            </w:pPr>
            <w:r>
              <w:rPr>
                <w:i w:val="false"/>
                <w:iCs w:val="false"/>
                <w:sz w:val="20"/>
                <w:szCs w:val="20"/>
              </w:rPr>
              <w:t xml:space="preserve">LSTM</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1.30</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2.66</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2.8</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1.71</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3.87</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3.9</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2.20</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5.03</w:t>
            </w:r>
          </w:p>
        </w:tc>
      </w:tr>
      <w:tr>
        <w:tc>
          <w:tcPr>
            <w:tcW w:type="dxa" w:w="1320"/>
            <w:tcBorders>
              <w:top w:val="single" w:color="666666" w:sz="6"/>
              <w:left w:val="single" w:color="666666" w:sz="6"/>
              <w:bottom w:val="single" w:color="666666" w:sz="6"/>
              <w:right w:val="single" w:color="666666" w:sz="6"/>
            </w:tcBorders>
          </w:tcPr>
          <w:p>
            <w:pPr>
              <w:spacing w:line="240"/>
              <w:jc w:val="left"/>
            </w:pPr>
            <w:r>
              <w:rPr>
                <w:i w:val="false"/>
                <w:iCs w:val="false"/>
                <w:sz w:val="20"/>
                <w:szCs w:val="20"/>
              </w:rPr>
              <w:t xml:space="preserve">DCRNN</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1.38</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2.95</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2.9</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1.74</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3.97</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3.9</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2.07</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4.74</w:t>
            </w:r>
          </w:p>
        </w:tc>
      </w:tr>
      <w:tr>
        <w:tc>
          <w:tcPr>
            <w:tcW w:type="dxa" w:w="1320"/>
            <w:tcBorders>
              <w:top w:val="single" w:color="666666" w:sz="6"/>
              <w:left w:val="single" w:color="666666" w:sz="6"/>
              <w:bottom w:val="single" w:color="666666" w:sz="6"/>
              <w:right w:val="single" w:color="666666" w:sz="6"/>
            </w:tcBorders>
          </w:tcPr>
          <w:p>
            <w:pPr>
              <w:spacing w:line="240"/>
              <w:jc w:val="left"/>
            </w:pPr>
            <w:r>
              <w:rPr>
                <w:i w:val="false"/>
                <w:iCs w:val="false"/>
                <w:sz w:val="20"/>
                <w:szCs w:val="20"/>
              </w:rPr>
              <w:t xml:space="preserve">Graph WaveNet</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1.30</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2.74</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2.7</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1.63</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3.70</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3.7</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1.95</w:t>
            </w:r>
          </w:p>
        </w:tc>
        <w:tc>
          <w:tcPr>
            <w:tcW w:type="dxa" w:w="960"/>
            <w:tcBorders>
              <w:top w:val="single" w:color="666666" w:sz="6"/>
              <w:left w:val="single" w:color="666666" w:sz="6"/>
              <w:bottom w:val="single" w:color="666666" w:sz="6"/>
              <w:right w:val="single" w:color="666666" w:sz="6"/>
            </w:tcBorders>
          </w:tcPr>
          <w:p>
            <w:pPr>
              <w:spacing w:line="240"/>
              <w:jc w:val="center"/>
            </w:pPr>
            <w:r>
              <w:rPr>
                <w:i w:val="false"/>
                <w:iCs w:val="false"/>
                <w:sz w:val="20"/>
                <w:szCs w:val="20"/>
              </w:rPr>
              <w:t xml:space="preserve">4.52</w:t>
            </w:r>
          </w:p>
        </w:tc>
      </w:tr>
    </w:tbl>
    <w:p>
      <w:pPr>
        <w:spacing w:after="80" w:before="80" w:line="480"/>
        <w:jc w:val="both"/>
      </w:pPr>
      <w:r>
        <w:rPr>
          <w:i/>
          <w:iCs/>
          <w:sz w:val="20"/>
          <w:szCs w:val="20"/>
        </w:rPr>
        <w:t xml:space="preserve">Note. Historical Average, ARIMA, LSTM and DCRNN values are reported by Li et al. (2018); Graph WaveNet values are reported by Wu et al. (2019).</w:t>
      </w:r>
    </w:p>
    <w:p>
      <w:pPr>
        <w:spacing w:after="80" w:before="80" w:line="480"/>
        <w:jc w:val="both"/>
      </w:pPr>
      <w:r>
        <w:t xml:space="preserve">Three patterns stand out. First, graph-based models widen their advantage as the horizon grows. On METR-LA, DCRNN reduces the 60-minute MAE by about 18% relative to LSTM, while gains at 15 minutes are more modest. Second, Graph WaveNet consistently matches or slightly outperforms DCRNN, and the gap is largest on the sparser PEMS-BAY graph, which is consistent with the intuition that the self-adaptive adjacency matrix can recover dependencies that the road-distance graph does not capture. Third, ARIMA remains reasonable at 15 minutes on the well-behaved PEMS-BAY corridors but degrades quickly at longer horizons, confirming its unsuitability for proactive management on volatile arterials.</w:t>
      </w:r>
    </w:p>
    <w:p>
      <w:pPr>
        <w:spacing w:after="80" w:before="80" w:line="480"/>
        <w:jc w:val="both"/>
      </w:pPr>
      <w:r>
        <w:t xml:space="preserve">From a safety perspective, the alert layer described in Section 3.6 was analysed on a synthetic case study drawn from the mock pipeline. A single sensor whose observed speed drops from 55 mph to 15 mph produces a predicted trajectory whose one-hop neighbours also decline sharply. Under the calibrated threshold, an alert is emitted approximately 15 minutes before the observed collapse. A qualitative sensitivity check on the risk weights suggests that decreasing w_3 (the neighbour term) increases the false alarm rate on isolated sensors, whereas increasing it stabilises alerts at the cost of a shorter lead time. Because no real events are used, these numbers are treated as illustrative and are reported as directional evidence only.</w:t>
      </w:r>
    </w:p>
    <w:p>
      <w:pPr>
        <w:pStyle w:val="Heading1"/>
        <w:spacing w:after="120" w:before="240" w:line="480"/>
      </w:pPr>
      <w:r>
        <w:rPr>
          <w:b/>
          <w:bCs/>
          <w:sz w:val="28"/>
          <w:szCs w:val="28"/>
        </w:rPr>
        <w:t xml:space="preserve">5. Discussion</w:t>
      </w:r>
    </w:p>
    <w:p>
      <w:pPr>
        <w:pStyle w:val="Heading2"/>
        <w:spacing w:after="100" w:before="180" w:line="480"/>
      </w:pPr>
      <w:r>
        <w:rPr>
          <w:b/>
          <w:bCs/>
          <w:sz w:val="26"/>
          <w:szCs w:val="26"/>
        </w:rPr>
        <w:t xml:space="preserve">5.1 Efficiency Analysis</w:t>
      </w:r>
    </w:p>
    <w:p>
      <w:pPr>
        <w:spacing w:after="80" w:before="80" w:line="480"/>
        <w:jc w:val="both"/>
      </w:pPr>
      <w:r>
        <w:t xml:space="preserve">Deployability inside an ITS control room depends on inference latency, memory footprint and stability under drift. Li et al. (2018) report that a single DCRNN forward pass on the METR-LA graph takes on the order of tens of milliseconds on a single GPU, which is well below the five-minute sampling interval and therefore compatible with real-time use. Graph WaveNet, with its dilated causal convolutions, further reduces sequential depth and is a natural choice when latency budgets are tighter, for instance on edge devices near the roadside cabinet. In practice, an operational deployment would batch multiple corridors through the same GPU and refresh forecasts every five minutes, leaving generous headroom for the safety layer to run downstream.</w:t>
      </w:r>
    </w:p>
    <w:p>
      <w:pPr>
        <w:pStyle w:val="Heading2"/>
        <w:spacing w:after="100" w:before="180" w:line="480"/>
      </w:pPr>
      <w:r>
        <w:rPr>
          <w:b/>
          <w:bCs/>
          <w:sz w:val="26"/>
          <w:szCs w:val="26"/>
        </w:rPr>
        <w:t xml:space="preserve">5.2 Security and Reliability</w:t>
      </w:r>
    </w:p>
    <w:p>
      <w:pPr>
        <w:spacing w:after="80" w:before="80" w:line="480"/>
        <w:jc w:val="both"/>
      </w:pPr>
      <w:r>
        <w:t xml:space="preserve">The predictive layer contributes to system security and reliability in three ways. It enables early rerouting for public fleets, which reduces exposure to secondary crashes in a growing queue. It provides variable-message-sign operators with a defensible basis for cautionary displays, which is aligned with LO4's requirement to enhance both operational security and passenger safety. It also underpins anomaly-detection dashboards that can flag sensor tampering – if a sensor's observation drifts far from what its neighbours' forecasts suggest, an integrity check can be raised, which is a lightweight but effective countermeasure against adversarial data injection. Together, these mechanisms build a chain of causation from higher predictive quality, through more proactive management, to a measurable reduction in incident escalation.</w:t>
      </w:r>
    </w:p>
    <w:p>
      <w:pPr>
        <w:pStyle w:val="Heading2"/>
        <w:spacing w:after="100" w:before="180" w:line="480"/>
      </w:pPr>
      <w:r>
        <w:rPr>
          <w:b/>
          <w:bCs/>
          <w:sz w:val="26"/>
          <w:szCs w:val="26"/>
        </w:rPr>
        <w:t xml:space="preserve">5.3 Limitations</w:t>
      </w:r>
    </w:p>
    <w:p>
      <w:pPr>
        <w:spacing w:after="80" w:before="80" w:line="480"/>
        <w:jc w:val="both"/>
      </w:pPr>
      <w:r>
        <w:t xml:space="preserve">Several limitations must be acknowledged. Because the code deliverable relies on a mock data loader, no live retraining is performed and the reported numbers depend on the assumptions of the original papers. METR-LA and PEMS-BAY are geographically restricted to Los Angeles and the San Francisco Bay Area, so the transferability to networks with different sensor densities and driving cultures is unproven. Extreme weather, large sporting events and evacuations remain out-of-distribution scenarios that graph learning alone cannot cover; a hybrid model combining physics-based simulation with the learned component is a promising future extension. Finally, the safety layer relies on rule-based thresholds; a fully learned risk model with calibrated uncertainty would be a natural next step.</w:t>
      </w:r>
    </w:p>
    <w:p>
      <w:pPr>
        <w:pStyle w:val="Heading1"/>
        <w:spacing w:after="120" w:before="240" w:line="480"/>
      </w:pPr>
      <w:r>
        <w:rPr>
          <w:b/>
          <w:bCs/>
          <w:sz w:val="28"/>
          <w:szCs w:val="28"/>
        </w:rPr>
        <w:t xml:space="preserve">6. Conclusion and Self-Reflection</w:t>
      </w:r>
    </w:p>
    <w:p>
      <w:pPr>
        <w:spacing w:after="80" w:before="80" w:line="480"/>
        <w:jc w:val="both"/>
      </w:pPr>
      <w:r>
        <w:t xml:space="preserve">This report has presented a reference study of spatio-temporal deep learning for proactive traffic prediction and safety-aware vehicle management. Using DCRNN and Graph WaveNet as the predictive core, and treating the METR-LA and PEMS-BAY benchmarks as the empirical anchor, the work demonstrated how forecasts can be translated into an operational alert layer with quantifiable lead time.</w:t>
      </w:r>
    </w:p>
    <w:p>
      <w:pPr>
        <w:spacing w:after="80" w:before="80" w:line="480"/>
        <w:jc w:val="both"/>
      </w:pPr>
      <w:r>
        <w:t xml:space="preserve">As the sole contributor to the group project, I planned the deliverable in the role of team lead. I designed the overall architecture, drafted the problem formulation and the safety framework, engineered the reference implementation with a mock data loader, curated the benchmark tables and produced the accompanying proposal and presentation. In a live team setting these tasks would ordinarily be split between a modelling lead, a data engineer and an evaluation lead, and reflecting on this distribution has helped me understand the collaboration and code-review discipline that a production ITS pipeline would demand.</w:t>
      </w:r>
    </w:p>
    <w:p>
      <w:pPr>
        <w:spacing w:after="80" w:before="80" w:line="480"/>
        <w:jc w:val="both"/>
      </w:pPr>
      <w:r>
        <w:t xml:space="preserve">The most valuable lesson from this project has been the shift from optimising a single accuracy metric to designing a system in which prediction, safety scoring and operational deployment reinforce each other. Future work will focus on live retraining on freshly downloaded METR-LA and PEMS-BAY splits, on extending the study to European datasets and on incorporating uncertainty-aware alerting for higher-stakes safety decisions.</w:t>
      </w:r>
    </w:p>
    <w:p>
      <w:pPr>
        <w:pStyle w:val="Heading1"/>
        <w:spacing w:after="120" w:before="240" w:line="480"/>
      </w:pPr>
      <w:r>
        <w:rPr>
          <w:b/>
          <w:bCs/>
          <w:sz w:val="28"/>
          <w:szCs w:val="28"/>
        </w:rPr>
        <w:t xml:space="preserve">References</w:t>
      </w:r>
    </w:p>
    <w:p>
      <w:pPr>
        <w:spacing w:after="60" w:before="60" w:line="360"/>
        <w:ind w:left="720" w:hanging="720"/>
        <w:jc w:val="left"/>
      </w:pPr>
      <w:r>
        <w:t xml:space="preserve">Bai, L., Yao, L., Li, C., Wang, X., &amp; Wang, C. (2020). Adaptive graph convolutional recurrent network for traffic forecasting. In Advances in Neural Information Processing Systems (Vol. 33, pp. 17804–17815). Curran Associates.</w:t>
      </w:r>
    </w:p>
    <w:p>
      <w:pPr>
        <w:spacing w:after="60" w:before="60" w:line="360"/>
        <w:ind w:left="720" w:hanging="720"/>
        <w:jc w:val="left"/>
      </w:pPr>
      <w:r>
        <w:t xml:space="preserve">Box, G. E. P., &amp; Jenkins, G. M. (1976). Time series analysis: Forecasting and control (Rev. ed.). Holden-Day.</w:t>
      </w:r>
    </w:p>
    <w:p>
      <w:pPr>
        <w:spacing w:after="60" w:before="60" w:line="360"/>
        <w:ind w:left="720" w:hanging="720"/>
        <w:jc w:val="left"/>
      </w:pPr>
      <w:r>
        <w:t xml:space="preserve">Chen, C., Petty, K., Skabardonis, A., Varaiya, P., &amp; Jia, Z. (2001). Freeway performance measurement system: Mining loop detector data. Transportation Research Record, 1748(1), 96–102. https://doi.org/10.3141/1748-12</w:t>
      </w:r>
    </w:p>
    <w:p>
      <w:pPr>
        <w:spacing w:after="60" w:before="60" w:line="360"/>
        <w:ind w:left="720" w:hanging="720"/>
        <w:jc w:val="left"/>
      </w:pPr>
      <w:r>
        <w:t xml:space="preserve">Guo, S., Lin, Y., Feng, N., Song, C., &amp; Wan, H. (2019). Attention based spatial-temporal graph convolutional networks for traffic flow forecasting. Proceedings of the AAAI Conference on Artificial Intelligence, 33(1), 922–929. https://doi.org/10.1609/aaai.v33i01.3301922</w:t>
      </w:r>
    </w:p>
    <w:p>
      <w:pPr>
        <w:spacing w:after="60" w:before="60" w:line="360"/>
        <w:ind w:left="720" w:hanging="720"/>
        <w:jc w:val="left"/>
      </w:pPr>
      <w:r>
        <w:t xml:space="preserve">Jagadish, H. V., Gehrke, J., Labrinidis, A., Papakonstantinou, Y., Patel, J. M., Ramakrishnan, R., &amp; Shahabi, C. (2014). Big data and its technical challenges. Communications of the ACM, 57(7), 86–94. https://doi.org/10.1145/2611567</w:t>
      </w:r>
    </w:p>
    <w:p>
      <w:pPr>
        <w:spacing w:after="60" w:before="60" w:line="360"/>
        <w:ind w:left="720" w:hanging="720"/>
        <w:jc w:val="left"/>
      </w:pPr>
      <w:r>
        <w:t xml:space="preserve">Kumar, S. V., &amp; Vanajakshi, L. (2015). Short-term traffic flow prediction using seasonal ARIMA model with limited input data. European Transport Research Review, 7(3), Article 21. https://doi.org/10.1007/s12544-015-0170-8</w:t>
      </w:r>
    </w:p>
    <w:p>
      <w:pPr>
        <w:spacing w:after="60" w:before="60" w:line="360"/>
        <w:ind w:left="720" w:hanging="720"/>
        <w:jc w:val="left"/>
      </w:pPr>
      <w:r>
        <w:t xml:space="preserve">Li, Y., Yu, R., Shahabi, C., &amp; Liu, Y. (2018). Diffusion convolutional recurrent neural network: Data-driven traffic forecasting. In Proceedings of the International Conference on Learning Representations. https://openreview.net/forum?id=SJiHXGWAZ</w:t>
      </w:r>
    </w:p>
    <w:p>
      <w:pPr>
        <w:spacing w:after="60" w:before="60" w:line="360"/>
        <w:ind w:left="720" w:hanging="720"/>
        <w:jc w:val="left"/>
      </w:pPr>
      <w:r>
        <w:t xml:space="preserve">Ma, X., Tao, Z., Wang, Y., Yu, H., &amp; Wang, Y. (2015). Long short-term memory neural network for traffic speed prediction using remote microwave sensor data. Transportation Research Part C: Emerging Technologies, 54, 187–197. https://doi.org/10.1016/j.trc.2015.03.014</w:t>
      </w:r>
    </w:p>
    <w:p>
      <w:pPr>
        <w:spacing w:after="60" w:before="60" w:line="360"/>
        <w:ind w:left="720" w:hanging="720"/>
        <w:jc w:val="left"/>
      </w:pPr>
      <w:r>
        <w:t xml:space="preserve">Sun, S., Zhang, C., &amp; Yu, G. (2006). A Bayesian network approach to traffic flow forecasting. IEEE Transactions on Intelligent Transportation Systems, 7(1), 124–132. https://doi.org/10.1109/TITS.2006.869623</w:t>
      </w:r>
    </w:p>
    <w:p>
      <w:pPr>
        <w:spacing w:after="60" w:before="60" w:line="360"/>
        <w:ind w:left="720" w:hanging="720"/>
        <w:jc w:val="left"/>
      </w:pPr>
      <w:r>
        <w:t xml:space="preserve">Vlahogianni, E. I., Karlaftis, M. G., &amp; Golias, J. C. (2014). Short-term traffic forecasting: Where we are and where we're going. Transportation Research Part C: Emerging Technologies, 43, 3–19. https://doi.org/10.1016/j.trc.2014.01.005</w:t>
      </w:r>
    </w:p>
    <w:p>
      <w:pPr>
        <w:spacing w:after="60" w:before="60" w:line="360"/>
        <w:ind w:left="720" w:hanging="720"/>
        <w:jc w:val="left"/>
      </w:pPr>
      <w:r>
        <w:t xml:space="preserve">World Health Organization. (2023). Global status report on road safety 2023. WHO Press.</w:t>
      </w:r>
    </w:p>
    <w:p>
      <w:pPr>
        <w:spacing w:after="60" w:before="60" w:line="360"/>
        <w:ind w:left="720" w:hanging="720"/>
        <w:jc w:val="left"/>
      </w:pPr>
      <w:r>
        <w:t xml:space="preserve">Wu, Z., Pan, S., Long, G., Jiang, J., &amp; Zhang, C. (2019). Graph WaveNet for deep spatial-temporal graph modeling. In Proceedings of the 28th International Joint Conference on Artificial Intelligence (pp. 1907–1913). https://doi.org/10.24963/ijcai.2019/264</w:t>
      </w:r>
    </w:p>
    <w:p>
      <w:pPr>
        <w:spacing w:after="60" w:before="60" w:line="360"/>
        <w:ind w:left="720" w:hanging="720"/>
        <w:jc w:val="left"/>
      </w:pPr>
      <w:r>
        <w:t xml:space="preserve">Yu, B., Yin, H., &amp; Zhu, Z. (2018). Spatio-temporal graph convolutional networks: A deep learning framework for traffic forecasting. In Proceedings of the 27th International Joint Conference on Artificial Intelligence (pp. 3634–3640). https://doi.org/10.24963/ijcai.2018/505</w:t>
      </w:r>
    </w:p>
    <w:p>
      <w:pPr>
        <w:spacing w:after="80" w:before="80" w:line="480"/>
        <w:jc w:val="both"/>
      </w:pPr>
      <w:r>
        <w:t xml:space="preserve"/>
      </w:r>
    </w:p>
    <w:p>
      <w:pPr>
        <w:spacing w:before="240"/>
        <w:jc w:val="left"/>
      </w:pPr>
      <w:r>
        <w:rPr>
          <w:i/>
          <w:iCs/>
          <w:sz w:val="20"/>
          <w:szCs w:val="20"/>
        </w:rPr>
        <w:t xml:space="preserve">— End of report —</w:t>
      </w:r>
    </w:p>
    <w:p>
      <w:pPr>
        <w:spacing w:before="60"/>
        <w:jc w:val="left"/>
      </w:pPr>
      <w:r>
        <w:rPr>
          <w:i/>
          <w:iCs/>
          <w:sz w:val="20"/>
          <w:szCs w:val="20"/>
        </w:rPr>
        <w:t xml:space="preserve">Main body word count (Abstract and Sections 1–6, excluding cover page, tables, notes and references): approximately 2,618 words.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48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00" w:before="180" w:line="48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60" w:before="120" w:line="480"/>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MSE806 Assessment 2 - Full Report</dc:title>
  <dc:creator>Li Qingchao</dc:creator>
  <cp:lastModifiedBy>Un-named</cp:lastModifiedBy>
  <cp:revision>1</cp:revision>
  <dcterms:created xsi:type="dcterms:W3CDTF">2026-07-04T20:45:21.136Z</dcterms:created>
  <dcterms:modified xsi:type="dcterms:W3CDTF">2026-07-04T20:45:21.138Z</dcterms:modified>
</cp:coreProperties>
</file>

<file path=docProps/custom.xml><?xml version="1.0" encoding="utf-8"?>
<Properties xmlns="http://schemas.openxmlformats.org/officeDocument/2006/custom-properties" xmlns:vt="http://schemas.openxmlformats.org/officeDocument/2006/docPropsVTypes"/>
</file>