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000000"/>
          <w:sz w:val="28"/>
        </w:rPr>
        <w:t>UNIVERSITY OF SKILLS TRAINING AND ENTREPRENEURIAL DEVELOPMENT</w:t>
      </w:r>
    </w:p>
    <w:p>
      <w:pPr>
        <w:spacing w:after="0"/>
        <w:jc w:val="center"/>
      </w:pPr>
      <w:r>
        <w:rPr>
          <w:rFonts w:ascii="Times New Roman" w:hAnsi="Times New Roman" w:eastAsia="Times New Roman"/>
          <w:b/>
          <w:color w:val="000000"/>
          <w:sz w:val="24"/>
        </w:rPr>
        <w:t>FACULTY OF APPLIED SCIENCES AND MATHEMATICS EDUCATION</w:t>
      </w:r>
    </w:p>
    <w:p>
      <w:pPr>
        <w:spacing w:after="440"/>
        <w:jc w:val="center"/>
      </w:pPr>
      <w:r>
        <w:rPr>
          <w:rFonts w:ascii="Times New Roman" w:hAnsi="Times New Roman" w:eastAsia="Times New Roman"/>
          <w:b/>
          <w:color w:val="000000"/>
          <w:sz w:val="24"/>
        </w:rPr>
        <w:t>DEPARTMENT OF INFORMATION TECHNOLOGY EDUCATION</w:t>
      </w:r>
    </w:p>
    <w:p>
      <w:pPr>
        <w:spacing w:after="560"/>
        <w:jc w:val="center"/>
      </w:pPr>
      <w:r>
        <w:rPr>
          <w:rFonts w:ascii="Times New Roman" w:hAnsi="Times New Roman" w:eastAsia="Times New Roman"/>
          <w:b/>
          <w:color w:val="000000"/>
          <w:sz w:val="28"/>
        </w:rPr>
        <w:t>DESIGN AND DEVELOPMENT OF A SMART INFORMATION DISSEMINATION SYSTEM FOR ENHANCED STUDENT COMMUNICATION IN HIGHER EDUCATION</w:t>
      </w:r>
    </w:p>
    <w:p>
      <w:pPr>
        <w:spacing w:after="200"/>
        <w:jc w:val="center"/>
      </w:pPr>
      <w:r>
        <w:rPr>
          <w:rFonts w:ascii="Times New Roman" w:hAnsi="Times New Roman" w:eastAsia="Times New Roman"/>
          <w:b/>
          <w:color w:val="000000"/>
          <w:sz w:val="24"/>
        </w:rPr>
        <w:t>BY</w:t>
      </w:r>
    </w:p>
    <w:p>
      <w:pPr>
        <w:spacing w:after="20"/>
        <w:jc w:val="center"/>
      </w:pPr>
      <w:r>
        <w:rPr>
          <w:rFonts w:ascii="Times New Roman" w:hAnsi="Times New Roman" w:eastAsia="Times New Roman"/>
          <w:b w:val="0"/>
          <w:color w:val="000000"/>
          <w:sz w:val="24"/>
        </w:rPr>
        <w:t>BADU ADWOA NTIRIWAA - 5221040008</w:t>
      </w:r>
    </w:p>
    <w:p>
      <w:pPr>
        <w:spacing w:after="20"/>
        <w:jc w:val="center"/>
      </w:pPr>
      <w:r>
        <w:rPr>
          <w:rFonts w:ascii="Times New Roman" w:hAnsi="Times New Roman" w:eastAsia="Times New Roman"/>
          <w:b w:val="0"/>
          <w:color w:val="000000"/>
          <w:sz w:val="24"/>
        </w:rPr>
        <w:t>APPIAH JUSTICE BARFO - 5221040041</w:t>
      </w:r>
    </w:p>
    <w:p>
      <w:pPr>
        <w:spacing w:after="20"/>
        <w:jc w:val="center"/>
      </w:pPr>
      <w:r>
        <w:rPr>
          <w:rFonts w:ascii="Times New Roman" w:hAnsi="Times New Roman" w:eastAsia="Times New Roman"/>
          <w:b w:val="0"/>
          <w:color w:val="000000"/>
          <w:sz w:val="24"/>
        </w:rPr>
        <w:t>ASARE EDMUND BEDIAKO - 5221040297</w:t>
      </w:r>
    </w:p>
    <w:p>
      <w:pPr>
        <w:spacing w:after="20"/>
        <w:jc w:val="center"/>
      </w:pPr>
      <w:r>
        <w:rPr>
          <w:rFonts w:ascii="Times New Roman" w:hAnsi="Times New Roman" w:eastAsia="Times New Roman"/>
          <w:b w:val="0"/>
          <w:color w:val="000000"/>
          <w:sz w:val="24"/>
        </w:rPr>
        <w:t>THEOPHILUS KING ASARE - 5221040017</w:t>
      </w:r>
    </w:p>
    <w:p>
      <w:pPr>
        <w:spacing w:after="20"/>
        <w:jc w:val="center"/>
      </w:pPr>
      <w:r>
        <w:rPr>
          <w:rFonts w:ascii="Times New Roman" w:hAnsi="Times New Roman" w:eastAsia="Times New Roman"/>
          <w:b w:val="0"/>
          <w:color w:val="000000"/>
          <w:sz w:val="24"/>
        </w:rPr>
        <w:t>KYEI GYAMFI SOLOMON - 5221040042</w:t>
      </w:r>
    </w:p>
    <w:p>
      <w:pPr>
        <w:spacing w:after="480"/>
        <w:jc w:val="center"/>
      </w:pPr>
      <w:r>
        <w:rPr>
          <w:rFonts w:ascii="Times New Roman" w:hAnsi="Times New Roman" w:eastAsia="Times New Roman"/>
          <w:b/>
          <w:color w:val="000000"/>
          <w:sz w:val="24"/>
        </w:rPr>
        <w:t>JULY, 2026</w:t>
      </w:r>
    </w:p>
    <w:p>
      <w:pPr>
        <w:spacing w:after="60"/>
        <w:jc w:val="center"/>
      </w:pPr>
      <w:r>
        <w:rPr>
          <w:rFonts w:ascii="Times New Roman" w:hAnsi="Times New Roman" w:eastAsia="Times New Roman"/>
          <w:b/>
          <w:color w:val="000000"/>
          <w:sz w:val="28"/>
        </w:rPr>
        <w:t>CHAPTER THREE</w:t>
      </w:r>
    </w:p>
    <w:p>
      <w:pPr>
        <w:spacing w:after="0"/>
        <w:jc w:val="center"/>
      </w:pPr>
      <w:r>
        <w:rPr>
          <w:rFonts w:ascii="Times New Roman" w:hAnsi="Times New Roman" w:eastAsia="Times New Roman"/>
          <w:b/>
          <w:color w:val="000000"/>
          <w:sz w:val="28"/>
        </w:rPr>
        <w:t>METHODOLOGY</w:t>
      </w:r>
    </w:p>
    <w:p>
      <w:pPr>
        <w:sectPr>
          <w:pgSz w:w="12240" w:h="15840"/>
          <w:pgMar w:top="1296" w:right="1224" w:bottom="1152" w:left="1224" w:header="432" w:footer="504" w:gutter="0"/>
          <w:cols w:space="720"/>
          <w:docGrid w:linePitch="360"/>
        </w:sectPr>
      </w:pPr>
    </w:p>
    <w:p>
      <w:pPr>
        <w:spacing w:after="60"/>
        <w:jc w:val="center"/>
      </w:pPr>
      <w:r>
        <w:rPr>
          <w:rFonts w:ascii="Times New Roman" w:hAnsi="Times New Roman" w:eastAsia="Times New Roman"/>
          <w:b/>
          <w:color w:val="000000"/>
          <w:sz w:val="28"/>
        </w:rPr>
        <w:t>CHAPTER THREE</w:t>
      </w:r>
    </w:p>
    <w:p>
      <w:pPr>
        <w:spacing w:after="240"/>
        <w:jc w:val="center"/>
      </w:pPr>
      <w:r>
        <w:rPr>
          <w:rFonts w:ascii="Times New Roman" w:hAnsi="Times New Roman" w:eastAsia="Times New Roman"/>
          <w:b/>
          <w:color w:val="000000"/>
          <w:sz w:val="28"/>
        </w:rPr>
        <w:t>METHODOLOGY</w:t>
      </w:r>
    </w:p>
    <w:p>
      <w:pPr>
        <w:pStyle w:val="Heading2"/>
      </w:pPr>
      <w:r>
        <w:t>3.1 Chapter Introduction</w:t>
      </w:r>
    </w:p>
    <w:p>
      <w:pPr>
        <w:spacing w:line="360" w:lineRule="auto" w:after="120"/>
        <w:ind w:firstLine="461"/>
        <w:jc w:val="both"/>
      </w:pPr>
      <w:r>
        <w:rPr>
          <w:rFonts w:ascii="Times New Roman" w:hAnsi="Times New Roman" w:eastAsia="Times New Roman"/>
          <w:i w:val="0"/>
          <w:color w:val="000000"/>
          <w:sz w:val="24"/>
        </w:rPr>
        <w:t>This chapter explains the methodology used to investigate the communication problem, define the requirements, design the Smart Information Dissemination System, implement the prototype, and plan its evaluation. It presents the research design, research setting, requirements-collection instruments, ethical considerations, proposed system, tools, development process, and the planning, analysis, design, and implementation phases of the System Development Life Cycle.</w:t>
      </w:r>
    </w:p>
    <w:p>
      <w:pPr>
        <w:spacing w:line="360" w:lineRule="auto" w:after="120"/>
        <w:ind w:firstLine="461"/>
        <w:jc w:val="both"/>
      </w:pPr>
      <w:r>
        <w:rPr>
          <w:rFonts w:ascii="Times New Roman" w:hAnsi="Times New Roman" w:eastAsia="Times New Roman"/>
          <w:i w:val="0"/>
          <w:color w:val="000000"/>
          <w:sz w:val="24"/>
        </w:rPr>
        <w:t>The chapter also incorporates the supplied high-level system architecture, system flowchart, and Entity-Relationship Diagram. The overview figures are followed by enlarged sections so that the components, processes, entities, and relationships remain readable in the project report.</w:t>
      </w:r>
    </w:p>
    <w:p>
      <w:pPr>
        <w:pStyle w:val="Heading2"/>
      </w:pPr>
      <w:r>
        <w:t>3.2 Research Design/Approach</w:t>
      </w:r>
    </w:p>
    <w:p>
      <w:pPr>
        <w:spacing w:line="360" w:lineRule="auto" w:after="120"/>
        <w:ind w:firstLine="461"/>
        <w:jc w:val="both"/>
      </w:pPr>
      <w:r>
        <w:rPr>
          <w:rFonts w:ascii="Times New Roman" w:hAnsi="Times New Roman" w:eastAsia="Times New Roman"/>
          <w:i w:val="0"/>
          <w:color w:val="000000"/>
          <w:sz w:val="24"/>
        </w:rPr>
        <w:t>The project adopts a design-and-development research approach supported by a case-study strategy. The case study focuses on communication within a higher-education institution, while the design-and-development component produces and evaluates a software artefact. This approach is suitable because the project must understand existing institutional communication practices and transform the findings into a working system.</w:t>
      </w:r>
    </w:p>
    <w:p>
      <w:pPr>
        <w:spacing w:line="360" w:lineRule="auto" w:after="120"/>
        <w:ind w:firstLine="461"/>
        <w:jc w:val="both"/>
      </w:pPr>
      <w:r>
        <w:rPr>
          <w:rFonts w:ascii="Times New Roman" w:hAnsi="Times New Roman" w:eastAsia="Times New Roman"/>
          <w:i w:val="0"/>
          <w:color w:val="000000"/>
          <w:sz w:val="24"/>
        </w:rPr>
        <w:t>Requirements will be gathered qualitatively through observation, structured discussions or semi-structured interviews, document analysis, and review of related systems. Quantitative evidence will be obtained from system-generated test records and user-acceptance ratings. The mixed evidence will help the project evaluate both technical correctness and user experience.</w:t>
      </w:r>
    </w:p>
    <w:p>
      <w:pPr>
        <w:spacing w:line="360" w:lineRule="auto" w:after="120"/>
        <w:ind w:firstLine="461"/>
        <w:jc w:val="both"/>
      </w:pPr>
      <w:r>
        <w:rPr>
          <w:rFonts w:ascii="Times New Roman" w:hAnsi="Times New Roman" w:eastAsia="Times New Roman"/>
          <w:i w:val="0"/>
          <w:color w:val="000000"/>
          <w:sz w:val="24"/>
        </w:rPr>
        <w:t>Development will follow an Agile iterative process within the broader SDLC. Work will be divided into manageable increments for authentication, academic structures, user roles, announcements, audience targeting, notifications, messaging, schedules, reporting, audit logging, and external integrations. Each iteration will include design, implementation, testing, review, and refinement.</w:t>
      </w:r>
    </w:p>
    <w:p>
      <w:pPr>
        <w:pStyle w:val="Heading2"/>
      </w:pPr>
      <w:r>
        <w:t>3.3 Research Setting</w:t>
      </w:r>
    </w:p>
    <w:p>
      <w:pPr>
        <w:spacing w:line="360" w:lineRule="auto" w:after="120"/>
        <w:ind w:firstLine="461"/>
        <w:jc w:val="both"/>
      </w:pPr>
      <w:r>
        <w:rPr>
          <w:rFonts w:ascii="Times New Roman" w:hAnsi="Times New Roman" w:eastAsia="Times New Roman"/>
          <w:i w:val="0"/>
          <w:color w:val="000000"/>
          <w:sz w:val="24"/>
        </w:rPr>
        <w:t>The research setting is a higher-education institution and its academic and administrative communication environment. Relevant units include central administration, faculties, departments, programme offices, admissions, academic affairs, information technology support, lecturers, students, and applicants. Communication occurs through physical notice boards, email, institutional portals, social-media groups, messaging applications, telephone calls, and verbal announcements.</w:t>
      </w:r>
    </w:p>
    <w:p>
      <w:pPr>
        <w:spacing w:line="360" w:lineRule="auto" w:after="120"/>
        <w:ind w:firstLine="461"/>
        <w:jc w:val="both"/>
      </w:pPr>
      <w:r>
        <w:rPr>
          <w:rFonts w:ascii="Times New Roman" w:hAnsi="Times New Roman" w:eastAsia="Times New Roman"/>
          <w:i w:val="0"/>
          <w:color w:val="000000"/>
          <w:sz w:val="24"/>
        </w:rPr>
        <w:t>The technical environment includes computers and mobile devices, web browsers, internet connectivity, a web application, a relational database, file storage, email and SMS providers, and an optional Student Information System. The prototype will use fictional or anonymized institutional and user data during development and testing. The final institution name and any site-specific characteristics should be inserted after formal approval.</w:t>
      </w:r>
    </w:p>
    <w:p>
      <w:pPr>
        <w:pStyle w:val="Heading2"/>
      </w:pPr>
      <w:r>
        <w:t>3.4 Data (Requirements) Collection Instrument</w:t>
      </w:r>
    </w:p>
    <w:tbl>
      <w:tblPr>
        <w:tblStyle w:val="TableGrid"/>
        <w:tblW w:type="auto" w:w="0"/>
        <w:jc w:val="center"/>
        <w:tblLook w:firstColumn="1" w:firstRow="1" w:lastColumn="0" w:lastRow="0" w:noHBand="0" w:noVBand="1" w:val="04A0"/>
      </w:tblPr>
      <w:tblGrid>
        <w:gridCol w:w="2322"/>
        <w:gridCol w:w="2322"/>
        <w:gridCol w:w="2322"/>
        <w:gridCol w:w="2322"/>
      </w:tblGrid>
      <w:tr>
        <w:trPr>
          <w:tblHeader w:val="true"/>
        </w:trPr>
        <w:tc>
          <w:tcPr>
            <w:tcW w:type="dxa" w:w="2322"/>
            <w:shd w:fill="E8EEF7"/>
            <w:vAlign w:val="center"/>
          </w:tcPr>
          <w:p>
            <w:pPr>
              <w:spacing w:after="0"/>
              <w:jc w:val="center"/>
            </w:pPr>
            <w:r>
              <w:rPr>
                <w:rFonts w:ascii="Times New Roman" w:hAnsi="Times New Roman"/>
                <w:b/>
                <w:color w:val="000000"/>
                <w:sz w:val="16"/>
              </w:rPr>
              <w:t>Instrument</w:t>
            </w:r>
          </w:p>
        </w:tc>
        <w:tc>
          <w:tcPr>
            <w:tcW w:type="dxa" w:w="2322"/>
            <w:shd w:fill="E8EEF7"/>
            <w:vAlign w:val="center"/>
          </w:tcPr>
          <w:p>
            <w:pPr>
              <w:spacing w:after="0"/>
              <w:jc w:val="center"/>
            </w:pPr>
            <w:r>
              <w:rPr>
                <w:rFonts w:ascii="Times New Roman" w:hAnsi="Times New Roman"/>
                <w:b/>
                <w:color w:val="000000"/>
                <w:sz w:val="16"/>
              </w:rPr>
              <w:t>Source/Target</w:t>
            </w:r>
          </w:p>
        </w:tc>
        <w:tc>
          <w:tcPr>
            <w:tcW w:type="dxa" w:w="2322"/>
            <w:shd w:fill="E8EEF7"/>
            <w:vAlign w:val="center"/>
          </w:tcPr>
          <w:p>
            <w:pPr>
              <w:spacing w:after="0"/>
              <w:jc w:val="center"/>
            </w:pPr>
            <w:r>
              <w:rPr>
                <w:rFonts w:ascii="Times New Roman" w:hAnsi="Times New Roman"/>
                <w:b/>
                <w:color w:val="000000"/>
                <w:sz w:val="16"/>
              </w:rPr>
              <w:t>Purpose</w:t>
            </w:r>
          </w:p>
        </w:tc>
        <w:tc>
          <w:tcPr>
            <w:tcW w:type="dxa" w:w="2322"/>
            <w:shd w:fill="E8EEF7"/>
            <w:vAlign w:val="center"/>
          </w:tcPr>
          <w:p>
            <w:pPr>
              <w:spacing w:after="0"/>
              <w:jc w:val="center"/>
            </w:pPr>
            <w:r>
              <w:rPr>
                <w:rFonts w:ascii="Times New Roman" w:hAnsi="Times New Roman"/>
                <w:b/>
                <w:color w:val="000000"/>
                <w:sz w:val="16"/>
              </w:rPr>
              <w:t>Expected Output</w:t>
            </w:r>
          </w:p>
        </w:tc>
      </w:tr>
      <w:tr>
        <w:tc>
          <w:tcPr>
            <w:tcW w:type="dxa" w:w="2322"/>
            <w:vAlign w:val="top"/>
          </w:tcPr>
          <w:p>
            <w:pPr>
              <w:spacing w:line="240" w:lineRule="auto" w:after="0"/>
              <w:jc w:val="left"/>
            </w:pPr>
            <w:r>
              <w:rPr>
                <w:rFonts w:ascii="Times New Roman" w:hAnsi="Times New Roman"/>
                <w:color w:val="000000"/>
                <w:sz w:val="16"/>
              </w:rPr>
              <w:t>Observation</w:t>
            </w:r>
          </w:p>
        </w:tc>
        <w:tc>
          <w:tcPr>
            <w:tcW w:type="dxa" w:w="2322"/>
            <w:vAlign w:val="top"/>
          </w:tcPr>
          <w:p>
            <w:pPr>
              <w:spacing w:line="240" w:lineRule="auto" w:after="0"/>
              <w:jc w:val="left"/>
            </w:pPr>
            <w:r>
              <w:rPr>
                <w:rFonts w:ascii="Times New Roman" w:hAnsi="Times New Roman"/>
                <w:color w:val="000000"/>
                <w:sz w:val="16"/>
              </w:rPr>
              <w:t>Communication activities and channels</w:t>
            </w:r>
          </w:p>
        </w:tc>
        <w:tc>
          <w:tcPr>
            <w:tcW w:type="dxa" w:w="2322"/>
            <w:vAlign w:val="top"/>
          </w:tcPr>
          <w:p>
            <w:pPr>
              <w:spacing w:line="240" w:lineRule="auto" w:after="0"/>
              <w:jc w:val="left"/>
            </w:pPr>
            <w:r>
              <w:rPr>
                <w:rFonts w:ascii="Times New Roman" w:hAnsi="Times New Roman"/>
                <w:color w:val="000000"/>
                <w:sz w:val="16"/>
              </w:rPr>
              <w:t>Identify publication steps, repeated work, delays, missed information, and informal workarounds.</w:t>
            </w:r>
          </w:p>
        </w:tc>
        <w:tc>
          <w:tcPr>
            <w:tcW w:type="dxa" w:w="2322"/>
            <w:vAlign w:val="top"/>
          </w:tcPr>
          <w:p>
            <w:pPr>
              <w:spacing w:line="240" w:lineRule="auto" w:after="0"/>
              <w:jc w:val="left"/>
            </w:pPr>
            <w:r>
              <w:rPr>
                <w:rFonts w:ascii="Times New Roman" w:hAnsi="Times New Roman"/>
                <w:color w:val="000000"/>
                <w:sz w:val="16"/>
              </w:rPr>
              <w:t>Workflow notes and process requirements.</w:t>
            </w:r>
          </w:p>
        </w:tc>
      </w:tr>
      <w:tr>
        <w:tc>
          <w:tcPr>
            <w:tcW w:type="dxa" w:w="2322"/>
            <w:vAlign w:val="top"/>
          </w:tcPr>
          <w:p>
            <w:pPr>
              <w:spacing w:line="240" w:lineRule="auto" w:after="0"/>
              <w:jc w:val="left"/>
            </w:pPr>
            <w:r>
              <w:rPr>
                <w:rFonts w:ascii="Times New Roman" w:hAnsi="Times New Roman"/>
                <w:color w:val="000000"/>
                <w:sz w:val="16"/>
              </w:rPr>
              <w:t>Semi-structured interviews or discussions</w:t>
            </w:r>
          </w:p>
        </w:tc>
        <w:tc>
          <w:tcPr>
            <w:tcW w:type="dxa" w:w="2322"/>
            <w:vAlign w:val="top"/>
          </w:tcPr>
          <w:p>
            <w:pPr>
              <w:spacing w:line="240" w:lineRule="auto" w:after="0"/>
              <w:jc w:val="left"/>
            </w:pPr>
            <w:r>
              <w:rPr>
                <w:rFonts w:ascii="Times New Roman" w:hAnsi="Times New Roman"/>
                <w:color w:val="000000"/>
                <w:sz w:val="16"/>
              </w:rPr>
              <w:t>Administrators, department staff, lecturers, students, applicants, and IT personnel</w:t>
            </w:r>
          </w:p>
        </w:tc>
        <w:tc>
          <w:tcPr>
            <w:tcW w:type="dxa" w:w="2322"/>
            <w:vAlign w:val="top"/>
          </w:tcPr>
          <w:p>
            <w:pPr>
              <w:spacing w:line="240" w:lineRule="auto" w:after="0"/>
              <w:jc w:val="left"/>
            </w:pPr>
            <w:r>
              <w:rPr>
                <w:rFonts w:ascii="Times New Roman" w:hAnsi="Times New Roman"/>
                <w:color w:val="000000"/>
                <w:sz w:val="16"/>
              </w:rPr>
              <w:t>Understand user roles, audience rules, notice categories, approval, schedules, preferences, privacy, and support needs.</w:t>
            </w:r>
          </w:p>
        </w:tc>
        <w:tc>
          <w:tcPr>
            <w:tcW w:type="dxa" w:w="2322"/>
            <w:vAlign w:val="top"/>
          </w:tcPr>
          <w:p>
            <w:pPr>
              <w:spacing w:line="240" w:lineRule="auto" w:after="0"/>
              <w:jc w:val="left"/>
            </w:pPr>
            <w:r>
              <w:rPr>
                <w:rFonts w:ascii="Times New Roman" w:hAnsi="Times New Roman"/>
                <w:color w:val="000000"/>
                <w:sz w:val="16"/>
              </w:rPr>
              <w:t>User stories, business rules, and priorities.</w:t>
            </w:r>
          </w:p>
        </w:tc>
      </w:tr>
      <w:tr>
        <w:tc>
          <w:tcPr>
            <w:tcW w:type="dxa" w:w="2322"/>
            <w:vAlign w:val="top"/>
          </w:tcPr>
          <w:p>
            <w:pPr>
              <w:spacing w:line="240" w:lineRule="auto" w:after="0"/>
              <w:jc w:val="left"/>
            </w:pPr>
            <w:r>
              <w:rPr>
                <w:rFonts w:ascii="Times New Roman" w:hAnsi="Times New Roman"/>
                <w:color w:val="000000"/>
                <w:sz w:val="16"/>
              </w:rPr>
              <w:t>Document analysis</w:t>
            </w:r>
          </w:p>
        </w:tc>
        <w:tc>
          <w:tcPr>
            <w:tcW w:type="dxa" w:w="2322"/>
            <w:vAlign w:val="top"/>
          </w:tcPr>
          <w:p>
            <w:pPr>
              <w:spacing w:line="240" w:lineRule="auto" w:after="0"/>
              <w:jc w:val="left"/>
            </w:pPr>
            <w:r>
              <w:rPr>
                <w:rFonts w:ascii="Times New Roman" w:hAnsi="Times New Roman"/>
                <w:color w:val="000000"/>
                <w:sz w:val="16"/>
              </w:rPr>
              <w:t>Notice formats, academic calendars, schedules, admission notices, policies, email templates, and institutional structures</w:t>
            </w:r>
          </w:p>
        </w:tc>
        <w:tc>
          <w:tcPr>
            <w:tcW w:type="dxa" w:w="2322"/>
            <w:vAlign w:val="top"/>
          </w:tcPr>
          <w:p>
            <w:pPr>
              <w:spacing w:line="240" w:lineRule="auto" w:after="0"/>
              <w:jc w:val="left"/>
            </w:pPr>
            <w:r>
              <w:rPr>
                <w:rFonts w:ascii="Times New Roman" w:hAnsi="Times New Roman"/>
                <w:color w:val="000000"/>
                <w:sz w:val="16"/>
              </w:rPr>
              <w:t>Identify data fields, categories, statuses, academic relationships, and report requirements.</w:t>
            </w:r>
          </w:p>
        </w:tc>
        <w:tc>
          <w:tcPr>
            <w:tcW w:type="dxa" w:w="2322"/>
            <w:vAlign w:val="top"/>
          </w:tcPr>
          <w:p>
            <w:pPr>
              <w:spacing w:line="240" w:lineRule="auto" w:after="0"/>
              <w:jc w:val="left"/>
            </w:pPr>
            <w:r>
              <w:rPr>
                <w:rFonts w:ascii="Times New Roman" w:hAnsi="Times New Roman"/>
                <w:color w:val="000000"/>
                <w:sz w:val="16"/>
              </w:rPr>
              <w:t>Data dictionary and validation rules.</w:t>
            </w:r>
          </w:p>
        </w:tc>
      </w:tr>
      <w:tr>
        <w:tc>
          <w:tcPr>
            <w:tcW w:type="dxa" w:w="2322"/>
            <w:vAlign w:val="top"/>
          </w:tcPr>
          <w:p>
            <w:pPr>
              <w:spacing w:line="240" w:lineRule="auto" w:after="0"/>
              <w:jc w:val="left"/>
            </w:pPr>
            <w:r>
              <w:rPr>
                <w:rFonts w:ascii="Times New Roman" w:hAnsi="Times New Roman"/>
                <w:color w:val="000000"/>
                <w:sz w:val="16"/>
              </w:rPr>
              <w:t>Existing-system review</w:t>
            </w:r>
          </w:p>
        </w:tc>
        <w:tc>
          <w:tcPr>
            <w:tcW w:type="dxa" w:w="2322"/>
            <w:vAlign w:val="top"/>
          </w:tcPr>
          <w:p>
            <w:pPr>
              <w:spacing w:line="240" w:lineRule="auto" w:after="0"/>
              <w:jc w:val="left"/>
            </w:pPr>
            <w:r>
              <w:rPr>
                <w:rFonts w:ascii="Times New Roman" w:hAnsi="Times New Roman"/>
                <w:color w:val="000000"/>
                <w:sz w:val="16"/>
              </w:rPr>
              <w:t>LMS platforms, portals, email, messaging groups, and notification systems</w:t>
            </w:r>
          </w:p>
        </w:tc>
        <w:tc>
          <w:tcPr>
            <w:tcW w:type="dxa" w:w="2322"/>
            <w:vAlign w:val="top"/>
          </w:tcPr>
          <w:p>
            <w:pPr>
              <w:spacing w:line="240" w:lineRule="auto" w:after="0"/>
              <w:jc w:val="left"/>
            </w:pPr>
            <w:r>
              <w:rPr>
                <w:rFonts w:ascii="Times New Roman" w:hAnsi="Times New Roman"/>
                <w:color w:val="000000"/>
                <w:sz w:val="16"/>
              </w:rPr>
              <w:t>Identify established features, limitations, and design patterns.</w:t>
            </w:r>
          </w:p>
        </w:tc>
        <w:tc>
          <w:tcPr>
            <w:tcW w:type="dxa" w:w="2322"/>
            <w:vAlign w:val="top"/>
          </w:tcPr>
          <w:p>
            <w:pPr>
              <w:spacing w:line="240" w:lineRule="auto" w:after="0"/>
              <w:jc w:val="left"/>
            </w:pPr>
            <w:r>
              <w:rPr>
                <w:rFonts w:ascii="Times New Roman" w:hAnsi="Times New Roman"/>
                <w:color w:val="000000"/>
                <w:sz w:val="16"/>
              </w:rPr>
              <w:t>Comparative requirements and system gap.</w:t>
            </w:r>
          </w:p>
        </w:tc>
      </w:tr>
      <w:tr>
        <w:tc>
          <w:tcPr>
            <w:tcW w:type="dxa" w:w="2322"/>
            <w:vAlign w:val="top"/>
          </w:tcPr>
          <w:p>
            <w:pPr>
              <w:spacing w:line="240" w:lineRule="auto" w:after="0"/>
              <w:jc w:val="left"/>
            </w:pPr>
            <w:r>
              <w:rPr>
                <w:rFonts w:ascii="Times New Roman" w:hAnsi="Times New Roman"/>
                <w:color w:val="000000"/>
                <w:sz w:val="16"/>
              </w:rPr>
              <w:t>Prototype walkthrough and questionnaire</w:t>
            </w:r>
          </w:p>
        </w:tc>
        <w:tc>
          <w:tcPr>
            <w:tcW w:type="dxa" w:w="2322"/>
            <w:vAlign w:val="top"/>
          </w:tcPr>
          <w:p>
            <w:pPr>
              <w:spacing w:line="240" w:lineRule="auto" w:after="0"/>
              <w:jc w:val="left"/>
            </w:pPr>
            <w:r>
              <w:rPr>
                <w:rFonts w:ascii="Times New Roman" w:hAnsi="Times New Roman"/>
                <w:color w:val="000000"/>
                <w:sz w:val="16"/>
              </w:rPr>
              <w:t>Representative users</w:t>
            </w:r>
          </w:p>
        </w:tc>
        <w:tc>
          <w:tcPr>
            <w:tcW w:type="dxa" w:w="2322"/>
            <w:vAlign w:val="top"/>
          </w:tcPr>
          <w:p>
            <w:pPr>
              <w:spacing w:line="240" w:lineRule="auto" w:after="0"/>
              <w:jc w:val="left"/>
            </w:pPr>
            <w:r>
              <w:rPr>
                <w:rFonts w:ascii="Times New Roman" w:hAnsi="Times New Roman"/>
                <w:color w:val="000000"/>
                <w:sz w:val="16"/>
              </w:rPr>
              <w:t>Assess usefulness, ease of use, clarity, task completion, satisfaction, and missing functions.</w:t>
            </w:r>
          </w:p>
        </w:tc>
        <w:tc>
          <w:tcPr>
            <w:tcW w:type="dxa" w:w="2322"/>
            <w:vAlign w:val="top"/>
          </w:tcPr>
          <w:p>
            <w:pPr>
              <w:spacing w:line="240" w:lineRule="auto" w:after="0"/>
              <w:jc w:val="left"/>
            </w:pPr>
            <w:r>
              <w:rPr>
                <w:rFonts w:ascii="Times New Roman" w:hAnsi="Times New Roman"/>
                <w:color w:val="000000"/>
                <w:sz w:val="16"/>
              </w:rPr>
              <w:t>User-acceptance evidence and improvement requests.</w:t>
            </w:r>
          </w:p>
        </w:tc>
      </w:tr>
      <w:tr>
        <w:tc>
          <w:tcPr>
            <w:tcW w:type="dxa" w:w="2322"/>
            <w:vAlign w:val="top"/>
          </w:tcPr>
          <w:p>
            <w:pPr>
              <w:spacing w:line="240" w:lineRule="auto" w:after="0"/>
              <w:jc w:val="left"/>
            </w:pPr>
            <w:r>
              <w:rPr>
                <w:rFonts w:ascii="Times New Roman" w:hAnsi="Times New Roman"/>
                <w:color w:val="000000"/>
                <w:sz w:val="16"/>
              </w:rPr>
              <w:t>System-generated records</w:t>
            </w:r>
          </w:p>
        </w:tc>
        <w:tc>
          <w:tcPr>
            <w:tcW w:type="dxa" w:w="2322"/>
            <w:vAlign w:val="top"/>
          </w:tcPr>
          <w:p>
            <w:pPr>
              <w:spacing w:line="240" w:lineRule="auto" w:after="0"/>
              <w:jc w:val="left"/>
            </w:pPr>
            <w:r>
              <w:rPr>
                <w:rFonts w:ascii="Times New Roman" w:hAnsi="Times New Roman"/>
                <w:color w:val="000000"/>
                <w:sz w:val="16"/>
              </w:rPr>
              <w:t>Test environment</w:t>
            </w:r>
          </w:p>
        </w:tc>
        <w:tc>
          <w:tcPr>
            <w:tcW w:type="dxa" w:w="2322"/>
            <w:vAlign w:val="top"/>
          </w:tcPr>
          <w:p>
            <w:pPr>
              <w:spacing w:line="240" w:lineRule="auto" w:after="0"/>
              <w:jc w:val="left"/>
            </w:pPr>
            <w:r>
              <w:rPr>
                <w:rFonts w:ascii="Times New Roman" w:hAnsi="Times New Roman"/>
                <w:color w:val="000000"/>
                <w:sz w:val="16"/>
              </w:rPr>
              <w:t>Measure response time, notification success, authorization, audit events, and functional accuracy.</w:t>
            </w:r>
          </w:p>
        </w:tc>
        <w:tc>
          <w:tcPr>
            <w:tcW w:type="dxa" w:w="2322"/>
            <w:vAlign w:val="top"/>
          </w:tcPr>
          <w:p>
            <w:pPr>
              <w:spacing w:line="240" w:lineRule="auto" w:after="0"/>
              <w:jc w:val="left"/>
            </w:pPr>
            <w:r>
              <w:rPr>
                <w:rFonts w:ascii="Times New Roman" w:hAnsi="Times New Roman"/>
                <w:color w:val="000000"/>
                <w:sz w:val="16"/>
              </w:rPr>
              <w:t>Technical evaluation results.</w:t>
            </w:r>
          </w:p>
        </w:tc>
      </w:tr>
    </w:tbl>
    <w:p>
      <w:pPr>
        <w:spacing w:before="60" w:after="160"/>
        <w:jc w:val="center"/>
      </w:pPr>
      <w:r>
        <w:rPr>
          <w:rFonts w:ascii="Times New Roman" w:hAnsi="Times New Roman"/>
          <w:i/>
          <w:color w:val="000000"/>
          <w:sz w:val="20"/>
        </w:rPr>
        <w:t>Table 3.1: Requirements and evaluation instruments</w:t>
      </w:r>
    </w:p>
    <w:p>
      <w:pPr>
        <w:spacing w:line="360" w:lineRule="auto" w:after="120"/>
        <w:ind w:firstLine="461"/>
        <w:jc w:val="both"/>
      </w:pPr>
      <w:r>
        <w:rPr>
          <w:rFonts w:ascii="Times New Roman" w:hAnsi="Times New Roman" w:eastAsia="Times New Roman"/>
          <w:i w:val="0"/>
          <w:color w:val="000000"/>
          <w:sz w:val="24"/>
        </w:rPr>
        <w:t>The collected information will be coded into themes and converted into functional requirements, non-functional requirements, user stories, business rules, data entities, process flows, validation rules, and acceptance criteria. Conflicting requirements will be reviewed with the relevant stakeholders before implementation.</w:t>
      </w:r>
    </w:p>
    <w:p>
      <w:pPr>
        <w:pStyle w:val="Heading2"/>
      </w:pPr>
      <w:r>
        <w:t>3.5 Ethical Considerations</w:t>
      </w:r>
    </w:p>
    <w:p>
      <w:pPr>
        <w:spacing w:line="360" w:lineRule="auto" w:after="120"/>
        <w:ind w:firstLine="461"/>
        <w:jc w:val="both"/>
      </w:pPr>
      <w:r>
        <w:rPr>
          <w:rFonts w:ascii="Times New Roman" w:hAnsi="Times New Roman" w:eastAsia="Times New Roman"/>
          <w:i w:val="0"/>
          <w:color w:val="000000"/>
          <w:sz w:val="24"/>
        </w:rPr>
        <w:t>Permission will be obtained from the supervisor and the participating institution before collecting information from staff, students, or applicants. Participation in interviews, discussions, walkthroughs, and questionnaires will be voluntary. Participants will be informed of the purpose of the project and how their information will be used.</w:t>
      </w:r>
    </w:p>
    <w:p>
      <w:pPr>
        <w:spacing w:line="360" w:lineRule="auto" w:after="120"/>
        <w:ind w:firstLine="461"/>
        <w:jc w:val="both"/>
      </w:pPr>
      <w:r>
        <w:rPr>
          <w:rFonts w:ascii="Times New Roman" w:hAnsi="Times New Roman" w:eastAsia="Times New Roman"/>
          <w:i w:val="0"/>
          <w:color w:val="000000"/>
          <w:sz w:val="24"/>
        </w:rPr>
        <w:t>The project will minimize personal data and use participant codes in research records. Demonstrations and screenshots will use fictional or masked names, email addresses, phone numbers, academic identifiers, and messages unless explicit permission is obtained. Confidential student records, admission decisions, and restricted notices will not be included in public repositories or appendices.</w:t>
      </w:r>
    </w:p>
    <w:p>
      <w:pPr>
        <w:spacing w:line="360" w:lineRule="auto" w:after="120"/>
        <w:ind w:firstLine="461"/>
        <w:jc w:val="both"/>
      </w:pPr>
      <w:r>
        <w:rPr>
          <w:rFonts w:ascii="Times New Roman" w:hAnsi="Times New Roman" w:eastAsia="Times New Roman"/>
          <w:i w:val="0"/>
          <w:color w:val="000000"/>
          <w:sz w:val="24"/>
        </w:rPr>
        <w:t>The system will enforce role-based access, protected sessions, secure password handling, input validation, controlled attachments, audit logs, and encrypted communication in production. Users will be informed that read tracking records access to a notice but does not measure understanding. Research and system data will be retained only for the approved period and protected according to institutional policy.</w:t>
      </w:r>
    </w:p>
    <w:p>
      <w:pPr>
        <w:pStyle w:val="Heading2"/>
      </w:pPr>
      <w:r>
        <w:t>3.6 Description of Proposed System</w:t>
      </w:r>
    </w:p>
    <w:p>
      <w:pPr>
        <w:spacing w:line="360" w:lineRule="auto" w:after="120"/>
        <w:ind w:firstLine="461"/>
        <w:jc w:val="both"/>
      </w:pPr>
      <w:r>
        <w:rPr>
          <w:rFonts w:ascii="Times New Roman" w:hAnsi="Times New Roman" w:eastAsia="Times New Roman"/>
          <w:i w:val="0"/>
          <w:color w:val="000000"/>
          <w:sz w:val="24"/>
        </w:rPr>
        <w:t>The proposed system is a responsive, role-aware web application that centralizes institutional notices, messages, academic schedules, notifications, search, archives, read and delivery tracking, reporting, and administrative audit records. The system supports super administrators, institution administrators, department administrators, lecturers, students, and applicants.</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8"/>
              </w:rPr>
              <w:t>User Role</w:t>
            </w:r>
          </w:p>
        </w:tc>
        <w:tc>
          <w:tcPr>
            <w:tcW w:type="dxa" w:w="4644"/>
            <w:shd w:fill="E8EEF7"/>
            <w:vAlign w:val="center"/>
          </w:tcPr>
          <w:p>
            <w:pPr>
              <w:spacing w:after="0"/>
              <w:jc w:val="center"/>
            </w:pPr>
            <w:r>
              <w:rPr>
                <w:rFonts w:ascii="Times New Roman" w:hAnsi="Times New Roman"/>
                <w:b/>
                <w:color w:val="000000"/>
                <w:sz w:val="18"/>
              </w:rPr>
              <w:t>Main Responsibilities</w:t>
            </w:r>
          </w:p>
        </w:tc>
      </w:tr>
      <w:tr>
        <w:tc>
          <w:tcPr>
            <w:tcW w:type="dxa" w:w="4644"/>
            <w:vAlign w:val="top"/>
          </w:tcPr>
          <w:p>
            <w:pPr>
              <w:spacing w:line="240" w:lineRule="auto" w:after="0"/>
              <w:jc w:val="left"/>
            </w:pPr>
            <w:r>
              <w:rPr>
                <w:rFonts w:ascii="Times New Roman" w:hAnsi="Times New Roman"/>
                <w:color w:val="000000"/>
                <w:sz w:val="18"/>
              </w:rPr>
              <w:t>Super Administrator</w:t>
            </w:r>
          </w:p>
        </w:tc>
        <w:tc>
          <w:tcPr>
            <w:tcW w:type="dxa" w:w="4644"/>
            <w:vAlign w:val="top"/>
          </w:tcPr>
          <w:p>
            <w:pPr>
              <w:spacing w:line="240" w:lineRule="auto" w:after="0"/>
              <w:jc w:val="left"/>
            </w:pPr>
            <w:r>
              <w:rPr>
                <w:rFonts w:ascii="Times New Roman" w:hAnsi="Times New Roman"/>
                <w:color w:val="000000"/>
                <w:sz w:val="18"/>
              </w:rPr>
              <w:t>Manage platform settings, institutions, global roles and permissions, integrations, system-wide reports, and audit monitoring.</w:t>
            </w:r>
          </w:p>
        </w:tc>
      </w:tr>
      <w:tr>
        <w:tc>
          <w:tcPr>
            <w:tcW w:type="dxa" w:w="4644"/>
            <w:vAlign w:val="top"/>
          </w:tcPr>
          <w:p>
            <w:pPr>
              <w:spacing w:line="240" w:lineRule="auto" w:after="0"/>
              <w:jc w:val="left"/>
            </w:pPr>
            <w:r>
              <w:rPr>
                <w:rFonts w:ascii="Times New Roman" w:hAnsi="Times New Roman"/>
                <w:color w:val="000000"/>
                <w:sz w:val="18"/>
              </w:rPr>
              <w:t>Institution Administrator</w:t>
            </w:r>
          </w:p>
        </w:tc>
        <w:tc>
          <w:tcPr>
            <w:tcW w:type="dxa" w:w="4644"/>
            <w:vAlign w:val="top"/>
          </w:tcPr>
          <w:p>
            <w:pPr>
              <w:spacing w:line="240" w:lineRule="auto" w:after="0"/>
              <w:jc w:val="left"/>
            </w:pPr>
            <w:r>
              <w:rPr>
                <w:rFonts w:ascii="Times New Roman" w:hAnsi="Times New Roman"/>
                <w:color w:val="000000"/>
                <w:sz w:val="18"/>
              </w:rPr>
              <w:t>Manage faculties, departments, programmes, academic periods, users, announcements, audience rules, schedules, notification settings, and reports.</w:t>
            </w:r>
          </w:p>
        </w:tc>
      </w:tr>
      <w:tr>
        <w:tc>
          <w:tcPr>
            <w:tcW w:type="dxa" w:w="4644"/>
            <w:vAlign w:val="top"/>
          </w:tcPr>
          <w:p>
            <w:pPr>
              <w:spacing w:line="240" w:lineRule="auto" w:after="0"/>
              <w:jc w:val="left"/>
            </w:pPr>
            <w:r>
              <w:rPr>
                <w:rFonts w:ascii="Times New Roman" w:hAnsi="Times New Roman"/>
                <w:color w:val="000000"/>
                <w:sz w:val="18"/>
              </w:rPr>
              <w:t>Department Administrator</w:t>
            </w:r>
          </w:p>
        </w:tc>
        <w:tc>
          <w:tcPr>
            <w:tcW w:type="dxa" w:w="4644"/>
            <w:vAlign w:val="top"/>
          </w:tcPr>
          <w:p>
            <w:pPr>
              <w:spacing w:line="240" w:lineRule="auto" w:after="0"/>
              <w:jc w:val="left"/>
            </w:pPr>
            <w:r>
              <w:rPr>
                <w:rFonts w:ascii="Times New Roman" w:hAnsi="Times New Roman"/>
                <w:color w:val="000000"/>
                <w:sz w:val="18"/>
              </w:rPr>
              <w:t>Manage departmental notices, programmes, class groups, departmental schedules, lecturer assignments, and communication reports within assigned scope.</w:t>
            </w:r>
          </w:p>
        </w:tc>
      </w:tr>
      <w:tr>
        <w:tc>
          <w:tcPr>
            <w:tcW w:type="dxa" w:w="4644"/>
            <w:vAlign w:val="top"/>
          </w:tcPr>
          <w:p>
            <w:pPr>
              <w:spacing w:line="240" w:lineRule="auto" w:after="0"/>
              <w:jc w:val="left"/>
            </w:pPr>
            <w:r>
              <w:rPr>
                <w:rFonts w:ascii="Times New Roman" w:hAnsi="Times New Roman"/>
                <w:color w:val="000000"/>
                <w:sz w:val="18"/>
              </w:rPr>
              <w:t>Lecturer</w:t>
            </w:r>
          </w:p>
        </w:tc>
        <w:tc>
          <w:tcPr>
            <w:tcW w:type="dxa" w:w="4644"/>
            <w:vAlign w:val="top"/>
          </w:tcPr>
          <w:p>
            <w:pPr>
              <w:spacing w:line="240" w:lineRule="auto" w:after="0"/>
              <w:jc w:val="left"/>
            </w:pPr>
            <w:r>
              <w:rPr>
                <w:rFonts w:ascii="Times New Roman" w:hAnsi="Times New Roman"/>
                <w:color w:val="000000"/>
                <w:sz w:val="18"/>
              </w:rPr>
              <w:t>Publish or submit course-related notices, communicate with assigned audiences, view schedules, manage messages, and review notification history.</w:t>
            </w:r>
          </w:p>
        </w:tc>
      </w:tr>
      <w:tr>
        <w:tc>
          <w:tcPr>
            <w:tcW w:type="dxa" w:w="4644"/>
            <w:vAlign w:val="top"/>
          </w:tcPr>
          <w:p>
            <w:pPr>
              <w:spacing w:line="240" w:lineRule="auto" w:after="0"/>
              <w:jc w:val="left"/>
            </w:pPr>
            <w:r>
              <w:rPr>
                <w:rFonts w:ascii="Times New Roman" w:hAnsi="Times New Roman"/>
                <w:color w:val="000000"/>
                <w:sz w:val="18"/>
              </w:rPr>
              <w:t>Student</w:t>
            </w:r>
          </w:p>
        </w:tc>
        <w:tc>
          <w:tcPr>
            <w:tcW w:type="dxa" w:w="4644"/>
            <w:vAlign w:val="top"/>
          </w:tcPr>
          <w:p>
            <w:pPr>
              <w:spacing w:line="240" w:lineRule="auto" w:after="0"/>
              <w:jc w:val="left"/>
            </w:pPr>
            <w:r>
              <w:rPr>
                <w:rFonts w:ascii="Times New Roman" w:hAnsi="Times New Roman"/>
                <w:color w:val="000000"/>
                <w:sz w:val="18"/>
              </w:rPr>
              <w:t>View targeted notices and schedules, receive notifications, search archives, manage preferences, participate in permitted messages, and track unread content.</w:t>
            </w:r>
          </w:p>
        </w:tc>
      </w:tr>
      <w:tr>
        <w:tc>
          <w:tcPr>
            <w:tcW w:type="dxa" w:w="4644"/>
            <w:vAlign w:val="top"/>
          </w:tcPr>
          <w:p>
            <w:pPr>
              <w:spacing w:line="240" w:lineRule="auto" w:after="0"/>
              <w:jc w:val="left"/>
            </w:pPr>
            <w:r>
              <w:rPr>
                <w:rFonts w:ascii="Times New Roman" w:hAnsi="Times New Roman"/>
                <w:color w:val="000000"/>
                <w:sz w:val="18"/>
              </w:rPr>
              <w:t>Applicant</w:t>
            </w:r>
          </w:p>
        </w:tc>
        <w:tc>
          <w:tcPr>
            <w:tcW w:type="dxa" w:w="4644"/>
            <w:vAlign w:val="top"/>
          </w:tcPr>
          <w:p>
            <w:pPr>
              <w:spacing w:line="240" w:lineRule="auto" w:after="0"/>
              <w:jc w:val="left"/>
            </w:pPr>
            <w:r>
              <w:rPr>
                <w:rFonts w:ascii="Times New Roman" w:hAnsi="Times New Roman"/>
                <w:color w:val="000000"/>
                <w:sz w:val="18"/>
              </w:rPr>
              <w:t>View admission and registration notices, applicant schedules, institutional guidance, and notifications relevant to the application process.</w:t>
            </w:r>
          </w:p>
        </w:tc>
      </w:tr>
    </w:tbl>
    <w:p>
      <w:pPr>
        <w:spacing w:before="60" w:after="160"/>
        <w:jc w:val="center"/>
      </w:pPr>
      <w:r>
        <w:rPr>
          <w:rFonts w:ascii="Times New Roman" w:hAnsi="Times New Roman"/>
          <w:i/>
          <w:color w:val="000000"/>
          <w:sz w:val="20"/>
        </w:rPr>
        <w:t>Table 3.2: System users and responsibilities</w:t>
      </w:r>
    </w:p>
    <w:p>
      <w:pPr>
        <w:pStyle w:val="Heading2"/>
      </w:pPr>
      <w:r>
        <w:t>3.7 System Development/Building</w:t>
      </w:r>
    </w:p>
    <w:p>
      <w:pPr>
        <w:pStyle w:val="Heading3"/>
      </w:pPr>
      <w:r>
        <w:t>3.7.1 Tools</w:t>
      </w:r>
    </w:p>
    <w:tbl>
      <w:tblPr>
        <w:tblStyle w:val="TableGrid"/>
        <w:tblW w:type="auto" w:w="0"/>
        <w:jc w:val="center"/>
        <w:tblLook w:firstColumn="1" w:firstRow="1" w:lastColumn="0" w:lastRow="0" w:noHBand="0" w:noVBand="1" w:val="04A0"/>
      </w:tblPr>
      <w:tblGrid>
        <w:gridCol w:w="3096"/>
        <w:gridCol w:w="3096"/>
        <w:gridCol w:w="3096"/>
      </w:tblGrid>
      <w:tr>
        <w:trPr>
          <w:tblHeader w:val="true"/>
        </w:trPr>
        <w:tc>
          <w:tcPr>
            <w:tcW w:type="dxa" w:w="3096"/>
            <w:shd w:fill="E8EEF7"/>
            <w:vAlign w:val="center"/>
          </w:tcPr>
          <w:p>
            <w:pPr>
              <w:spacing w:after="0"/>
              <w:jc w:val="center"/>
            </w:pPr>
            <w:r>
              <w:rPr>
                <w:rFonts w:ascii="Times New Roman" w:hAnsi="Times New Roman"/>
                <w:b/>
                <w:color w:val="000000"/>
                <w:sz w:val="16"/>
              </w:rPr>
              <w:t>Tool/Technology</w:t>
            </w:r>
          </w:p>
        </w:tc>
        <w:tc>
          <w:tcPr>
            <w:tcW w:type="dxa" w:w="3096"/>
            <w:shd w:fill="E8EEF7"/>
            <w:vAlign w:val="center"/>
          </w:tcPr>
          <w:p>
            <w:pPr>
              <w:spacing w:after="0"/>
              <w:jc w:val="center"/>
            </w:pPr>
            <w:r>
              <w:rPr>
                <w:rFonts w:ascii="Times New Roman" w:hAnsi="Times New Roman"/>
                <w:b/>
                <w:color w:val="000000"/>
                <w:sz w:val="16"/>
              </w:rPr>
              <w:t>Purpose</w:t>
            </w:r>
          </w:p>
        </w:tc>
        <w:tc>
          <w:tcPr>
            <w:tcW w:type="dxa" w:w="3096"/>
            <w:shd w:fill="E8EEF7"/>
            <w:vAlign w:val="center"/>
          </w:tcPr>
          <w:p>
            <w:pPr>
              <w:spacing w:after="0"/>
              <w:jc w:val="center"/>
            </w:pPr>
            <w:r>
              <w:rPr>
                <w:rFonts w:ascii="Times New Roman" w:hAnsi="Times New Roman"/>
                <w:b/>
                <w:color w:val="000000"/>
                <w:sz w:val="16"/>
              </w:rPr>
              <w:t>Justification</w:t>
            </w:r>
          </w:p>
        </w:tc>
      </w:tr>
      <w:tr>
        <w:tc>
          <w:tcPr>
            <w:tcW w:type="dxa" w:w="3096"/>
            <w:vAlign w:val="top"/>
          </w:tcPr>
          <w:p>
            <w:pPr>
              <w:spacing w:line="240" w:lineRule="auto" w:after="0"/>
              <w:jc w:val="left"/>
            </w:pPr>
            <w:r>
              <w:rPr>
                <w:rFonts w:ascii="Times New Roman" w:hAnsi="Times New Roman"/>
                <w:color w:val="000000"/>
                <w:sz w:val="16"/>
              </w:rPr>
              <w:t>Next.js and React</w:t>
            </w:r>
          </w:p>
        </w:tc>
        <w:tc>
          <w:tcPr>
            <w:tcW w:type="dxa" w:w="3096"/>
            <w:vAlign w:val="top"/>
          </w:tcPr>
          <w:p>
            <w:pPr>
              <w:spacing w:line="240" w:lineRule="auto" w:after="0"/>
              <w:jc w:val="left"/>
            </w:pPr>
            <w:r>
              <w:rPr>
                <w:rFonts w:ascii="Times New Roman" w:hAnsi="Times New Roman"/>
                <w:color w:val="000000"/>
                <w:sz w:val="16"/>
              </w:rPr>
              <w:t>Responsive presentation and full-stack application framework.</w:t>
            </w:r>
          </w:p>
        </w:tc>
        <w:tc>
          <w:tcPr>
            <w:tcW w:type="dxa" w:w="3096"/>
            <w:vAlign w:val="top"/>
          </w:tcPr>
          <w:p>
            <w:pPr>
              <w:spacing w:line="240" w:lineRule="auto" w:after="0"/>
              <w:jc w:val="left"/>
            </w:pPr>
            <w:r>
              <w:rPr>
                <w:rFonts w:ascii="Times New Roman" w:hAnsi="Times New Roman"/>
                <w:color w:val="000000"/>
                <w:sz w:val="16"/>
              </w:rPr>
              <w:t>Support layouts, server and client components, routing, and API endpoints.</w:t>
            </w:r>
          </w:p>
        </w:tc>
      </w:tr>
      <w:tr>
        <w:tc>
          <w:tcPr>
            <w:tcW w:type="dxa" w:w="3096"/>
            <w:vAlign w:val="top"/>
          </w:tcPr>
          <w:p>
            <w:pPr>
              <w:spacing w:line="240" w:lineRule="auto" w:after="0"/>
              <w:jc w:val="left"/>
            </w:pPr>
            <w:r>
              <w:rPr>
                <w:rFonts w:ascii="Times New Roman" w:hAnsi="Times New Roman"/>
                <w:color w:val="000000"/>
                <w:sz w:val="16"/>
              </w:rPr>
              <w:t>TypeScript</w:t>
            </w:r>
          </w:p>
        </w:tc>
        <w:tc>
          <w:tcPr>
            <w:tcW w:type="dxa" w:w="3096"/>
            <w:vAlign w:val="top"/>
          </w:tcPr>
          <w:p>
            <w:pPr>
              <w:spacing w:line="240" w:lineRule="auto" w:after="0"/>
              <w:jc w:val="left"/>
            </w:pPr>
            <w:r>
              <w:rPr>
                <w:rFonts w:ascii="Times New Roman" w:hAnsi="Times New Roman"/>
                <w:color w:val="000000"/>
                <w:sz w:val="16"/>
              </w:rPr>
              <w:t>Programming language.</w:t>
            </w:r>
          </w:p>
        </w:tc>
        <w:tc>
          <w:tcPr>
            <w:tcW w:type="dxa" w:w="3096"/>
            <w:vAlign w:val="top"/>
          </w:tcPr>
          <w:p>
            <w:pPr>
              <w:spacing w:line="240" w:lineRule="auto" w:after="0"/>
              <w:jc w:val="left"/>
            </w:pPr>
            <w:r>
              <w:rPr>
                <w:rFonts w:ascii="Times New Roman" w:hAnsi="Times New Roman"/>
                <w:color w:val="000000"/>
                <w:sz w:val="16"/>
              </w:rPr>
              <w:t>Improves maintainability through static typing and clearer contracts.</w:t>
            </w:r>
          </w:p>
        </w:tc>
      </w:tr>
      <w:tr>
        <w:tc>
          <w:tcPr>
            <w:tcW w:type="dxa" w:w="3096"/>
            <w:vAlign w:val="top"/>
          </w:tcPr>
          <w:p>
            <w:pPr>
              <w:spacing w:line="240" w:lineRule="auto" w:after="0"/>
              <w:jc w:val="left"/>
            </w:pPr>
            <w:r>
              <w:rPr>
                <w:rFonts w:ascii="Times New Roman" w:hAnsi="Times New Roman"/>
                <w:color w:val="000000"/>
                <w:sz w:val="16"/>
              </w:rPr>
              <w:t>Tailwind CSS and reusable UI components</w:t>
            </w:r>
          </w:p>
        </w:tc>
        <w:tc>
          <w:tcPr>
            <w:tcW w:type="dxa" w:w="3096"/>
            <w:vAlign w:val="top"/>
          </w:tcPr>
          <w:p>
            <w:pPr>
              <w:spacing w:line="240" w:lineRule="auto" w:after="0"/>
              <w:jc w:val="left"/>
            </w:pPr>
            <w:r>
              <w:rPr>
                <w:rFonts w:ascii="Times New Roman" w:hAnsi="Times New Roman"/>
                <w:color w:val="000000"/>
                <w:sz w:val="16"/>
              </w:rPr>
              <w:t>Interface styling.</w:t>
            </w:r>
          </w:p>
        </w:tc>
        <w:tc>
          <w:tcPr>
            <w:tcW w:type="dxa" w:w="3096"/>
            <w:vAlign w:val="top"/>
          </w:tcPr>
          <w:p>
            <w:pPr>
              <w:spacing w:line="240" w:lineRule="auto" w:after="0"/>
              <w:jc w:val="left"/>
            </w:pPr>
            <w:r>
              <w:rPr>
                <w:rFonts w:ascii="Times New Roman" w:hAnsi="Times New Roman"/>
                <w:color w:val="000000"/>
                <w:sz w:val="16"/>
              </w:rPr>
              <w:t>Support responsive, consistent, and accessible screens.</w:t>
            </w:r>
          </w:p>
        </w:tc>
      </w:tr>
      <w:tr>
        <w:tc>
          <w:tcPr>
            <w:tcW w:type="dxa" w:w="3096"/>
            <w:vAlign w:val="top"/>
          </w:tcPr>
          <w:p>
            <w:pPr>
              <w:spacing w:line="240" w:lineRule="auto" w:after="0"/>
              <w:jc w:val="left"/>
            </w:pPr>
            <w:r>
              <w:rPr>
                <w:rFonts w:ascii="Times New Roman" w:hAnsi="Times New Roman"/>
                <w:color w:val="000000"/>
                <w:sz w:val="16"/>
              </w:rPr>
              <w:t>TanStack React Query and Axios</w:t>
            </w:r>
          </w:p>
        </w:tc>
        <w:tc>
          <w:tcPr>
            <w:tcW w:type="dxa" w:w="3096"/>
            <w:vAlign w:val="top"/>
          </w:tcPr>
          <w:p>
            <w:pPr>
              <w:spacing w:line="240" w:lineRule="auto" w:after="0"/>
              <w:jc w:val="left"/>
            </w:pPr>
            <w:r>
              <w:rPr>
                <w:rFonts w:ascii="Times New Roman" w:hAnsi="Times New Roman"/>
                <w:color w:val="000000"/>
                <w:sz w:val="16"/>
              </w:rPr>
              <w:t>Server-state retrieval and HTTP communication.</w:t>
            </w:r>
          </w:p>
        </w:tc>
        <w:tc>
          <w:tcPr>
            <w:tcW w:type="dxa" w:w="3096"/>
            <w:vAlign w:val="top"/>
          </w:tcPr>
          <w:p>
            <w:pPr>
              <w:spacing w:line="240" w:lineRule="auto" w:after="0"/>
              <w:jc w:val="left"/>
            </w:pPr>
            <w:r>
              <w:rPr>
                <w:rFonts w:ascii="Times New Roman" w:hAnsi="Times New Roman"/>
                <w:color w:val="000000"/>
                <w:sz w:val="16"/>
              </w:rPr>
              <w:t>Support caching, loading states, retries, and request organization.</w:t>
            </w:r>
          </w:p>
        </w:tc>
      </w:tr>
      <w:tr>
        <w:tc>
          <w:tcPr>
            <w:tcW w:type="dxa" w:w="3096"/>
            <w:vAlign w:val="top"/>
          </w:tcPr>
          <w:p>
            <w:pPr>
              <w:spacing w:line="240" w:lineRule="auto" w:after="0"/>
              <w:jc w:val="left"/>
            </w:pPr>
            <w:r>
              <w:rPr>
                <w:rFonts w:ascii="Times New Roman" w:hAnsi="Times New Roman"/>
                <w:color w:val="000000"/>
                <w:sz w:val="16"/>
              </w:rPr>
              <w:t>Zustand</w:t>
            </w:r>
          </w:p>
        </w:tc>
        <w:tc>
          <w:tcPr>
            <w:tcW w:type="dxa" w:w="3096"/>
            <w:vAlign w:val="top"/>
          </w:tcPr>
          <w:p>
            <w:pPr>
              <w:spacing w:line="240" w:lineRule="auto" w:after="0"/>
              <w:jc w:val="left"/>
            </w:pPr>
            <w:r>
              <w:rPr>
                <w:rFonts w:ascii="Times New Roman" w:hAnsi="Times New Roman"/>
                <w:color w:val="000000"/>
                <w:sz w:val="16"/>
              </w:rPr>
              <w:t>Limited client-side state management.</w:t>
            </w:r>
          </w:p>
        </w:tc>
        <w:tc>
          <w:tcPr>
            <w:tcW w:type="dxa" w:w="3096"/>
            <w:vAlign w:val="top"/>
          </w:tcPr>
          <w:p>
            <w:pPr>
              <w:spacing w:line="240" w:lineRule="auto" w:after="0"/>
              <w:jc w:val="left"/>
            </w:pPr>
            <w:r>
              <w:rPr>
                <w:rFonts w:ascii="Times New Roman" w:hAnsi="Times New Roman"/>
                <w:color w:val="000000"/>
                <w:sz w:val="16"/>
              </w:rPr>
              <w:t>Supports local interface state without unnecessary complexity.</w:t>
            </w:r>
          </w:p>
        </w:tc>
      </w:tr>
      <w:tr>
        <w:tc>
          <w:tcPr>
            <w:tcW w:type="dxa" w:w="3096"/>
            <w:vAlign w:val="top"/>
          </w:tcPr>
          <w:p>
            <w:pPr>
              <w:spacing w:line="240" w:lineRule="auto" w:after="0"/>
              <w:jc w:val="left"/>
            </w:pPr>
            <w:r>
              <w:rPr>
                <w:rFonts w:ascii="Times New Roman" w:hAnsi="Times New Roman"/>
                <w:color w:val="000000"/>
                <w:sz w:val="16"/>
              </w:rPr>
              <w:t>React Hook Form and Zod</w:t>
            </w:r>
          </w:p>
        </w:tc>
        <w:tc>
          <w:tcPr>
            <w:tcW w:type="dxa" w:w="3096"/>
            <w:vAlign w:val="top"/>
          </w:tcPr>
          <w:p>
            <w:pPr>
              <w:spacing w:line="240" w:lineRule="auto" w:after="0"/>
              <w:jc w:val="left"/>
            </w:pPr>
            <w:r>
              <w:rPr>
                <w:rFonts w:ascii="Times New Roman" w:hAnsi="Times New Roman"/>
                <w:color w:val="000000"/>
                <w:sz w:val="16"/>
              </w:rPr>
              <w:t>Forms and validation.</w:t>
            </w:r>
          </w:p>
        </w:tc>
        <w:tc>
          <w:tcPr>
            <w:tcW w:type="dxa" w:w="3096"/>
            <w:vAlign w:val="top"/>
          </w:tcPr>
          <w:p>
            <w:pPr>
              <w:spacing w:line="240" w:lineRule="auto" w:after="0"/>
              <w:jc w:val="left"/>
            </w:pPr>
            <w:r>
              <w:rPr>
                <w:rFonts w:ascii="Times New Roman" w:hAnsi="Times New Roman"/>
                <w:color w:val="000000"/>
                <w:sz w:val="16"/>
              </w:rPr>
              <w:t>Support structured input handling and shared validation rules.</w:t>
            </w:r>
          </w:p>
        </w:tc>
      </w:tr>
      <w:tr>
        <w:tc>
          <w:tcPr>
            <w:tcW w:type="dxa" w:w="3096"/>
            <w:vAlign w:val="top"/>
          </w:tcPr>
          <w:p>
            <w:pPr>
              <w:spacing w:line="240" w:lineRule="auto" w:after="0"/>
              <w:jc w:val="left"/>
            </w:pPr>
            <w:r>
              <w:rPr>
                <w:rFonts w:ascii="Times New Roman" w:hAnsi="Times New Roman"/>
                <w:color w:val="000000"/>
                <w:sz w:val="16"/>
              </w:rPr>
              <w:t>Next.js Route Handlers/Node.js services</w:t>
            </w:r>
          </w:p>
        </w:tc>
        <w:tc>
          <w:tcPr>
            <w:tcW w:type="dxa" w:w="3096"/>
            <w:vAlign w:val="top"/>
          </w:tcPr>
          <w:p>
            <w:pPr>
              <w:spacing w:line="240" w:lineRule="auto" w:after="0"/>
              <w:jc w:val="left"/>
            </w:pPr>
            <w:r>
              <w:rPr>
                <w:rFonts w:ascii="Times New Roman" w:hAnsi="Times New Roman"/>
                <w:color w:val="000000"/>
                <w:sz w:val="16"/>
              </w:rPr>
              <w:t>Application APIs and business logic.</w:t>
            </w:r>
          </w:p>
        </w:tc>
        <w:tc>
          <w:tcPr>
            <w:tcW w:type="dxa" w:w="3096"/>
            <w:vAlign w:val="top"/>
          </w:tcPr>
          <w:p>
            <w:pPr>
              <w:spacing w:line="240" w:lineRule="auto" w:after="0"/>
              <w:jc w:val="left"/>
            </w:pPr>
            <w:r>
              <w:rPr>
                <w:rFonts w:ascii="Times New Roman" w:hAnsi="Times New Roman"/>
                <w:color w:val="000000"/>
                <w:sz w:val="16"/>
              </w:rPr>
              <w:t>Provide protected endpoints for announcements, messages, schedules, notifications, and reports.</w:t>
            </w:r>
          </w:p>
        </w:tc>
      </w:tr>
      <w:tr>
        <w:tc>
          <w:tcPr>
            <w:tcW w:type="dxa" w:w="3096"/>
            <w:vAlign w:val="top"/>
          </w:tcPr>
          <w:p>
            <w:pPr>
              <w:spacing w:line="240" w:lineRule="auto" w:after="0"/>
              <w:jc w:val="left"/>
            </w:pPr>
            <w:r>
              <w:rPr>
                <w:rFonts w:ascii="Times New Roman" w:hAnsi="Times New Roman"/>
                <w:color w:val="000000"/>
                <w:sz w:val="16"/>
              </w:rPr>
              <w:t>Prisma ORM</w:t>
            </w:r>
          </w:p>
        </w:tc>
        <w:tc>
          <w:tcPr>
            <w:tcW w:type="dxa" w:w="3096"/>
            <w:vAlign w:val="top"/>
          </w:tcPr>
          <w:p>
            <w:pPr>
              <w:spacing w:line="240" w:lineRule="auto" w:after="0"/>
              <w:jc w:val="left"/>
            </w:pPr>
            <w:r>
              <w:rPr>
                <w:rFonts w:ascii="Times New Roman" w:hAnsi="Times New Roman"/>
                <w:color w:val="000000"/>
                <w:sz w:val="16"/>
              </w:rPr>
              <w:t>Typed data access and database migrations.</w:t>
            </w:r>
          </w:p>
        </w:tc>
        <w:tc>
          <w:tcPr>
            <w:tcW w:type="dxa" w:w="3096"/>
            <w:vAlign w:val="top"/>
          </w:tcPr>
          <w:p>
            <w:pPr>
              <w:spacing w:line="240" w:lineRule="auto" w:after="0"/>
              <w:jc w:val="left"/>
            </w:pPr>
            <w:r>
              <w:rPr>
                <w:rFonts w:ascii="Times New Roman" w:hAnsi="Times New Roman"/>
                <w:color w:val="000000"/>
                <w:sz w:val="16"/>
              </w:rPr>
              <w:t>Supports relationships, constraints, transactions, and query validation.</w:t>
            </w:r>
          </w:p>
        </w:tc>
      </w:tr>
      <w:tr>
        <w:tc>
          <w:tcPr>
            <w:tcW w:type="dxa" w:w="3096"/>
            <w:vAlign w:val="top"/>
          </w:tcPr>
          <w:p>
            <w:pPr>
              <w:spacing w:line="240" w:lineRule="auto" w:after="0"/>
              <w:jc w:val="left"/>
            </w:pPr>
            <w:r>
              <w:rPr>
                <w:rFonts w:ascii="Times New Roman" w:hAnsi="Times New Roman"/>
                <w:color w:val="000000"/>
                <w:sz w:val="16"/>
              </w:rPr>
              <w:t>PostgreSQL</w:t>
            </w:r>
          </w:p>
        </w:tc>
        <w:tc>
          <w:tcPr>
            <w:tcW w:type="dxa" w:w="3096"/>
            <w:vAlign w:val="top"/>
          </w:tcPr>
          <w:p>
            <w:pPr>
              <w:spacing w:line="240" w:lineRule="auto" w:after="0"/>
              <w:jc w:val="left"/>
            </w:pPr>
            <w:r>
              <w:rPr>
                <w:rFonts w:ascii="Times New Roman" w:hAnsi="Times New Roman"/>
                <w:color w:val="000000"/>
                <w:sz w:val="16"/>
              </w:rPr>
              <w:t>Relational database.</w:t>
            </w:r>
          </w:p>
        </w:tc>
        <w:tc>
          <w:tcPr>
            <w:tcW w:type="dxa" w:w="3096"/>
            <w:vAlign w:val="top"/>
          </w:tcPr>
          <w:p>
            <w:pPr>
              <w:spacing w:line="240" w:lineRule="auto" w:after="0"/>
              <w:jc w:val="left"/>
            </w:pPr>
            <w:r>
              <w:rPr>
                <w:rFonts w:ascii="Times New Roman" w:hAnsi="Times New Roman"/>
                <w:color w:val="000000"/>
                <w:sz w:val="16"/>
              </w:rPr>
              <w:t>Supports integrity, indexes, transactions, reporting, and scalable structured storage.</w:t>
            </w:r>
          </w:p>
        </w:tc>
      </w:tr>
      <w:tr>
        <w:tc>
          <w:tcPr>
            <w:tcW w:type="dxa" w:w="3096"/>
            <w:vAlign w:val="top"/>
          </w:tcPr>
          <w:p>
            <w:pPr>
              <w:spacing w:line="240" w:lineRule="auto" w:after="0"/>
              <w:jc w:val="left"/>
            </w:pPr>
            <w:r>
              <w:rPr>
                <w:rFonts w:ascii="Times New Roman" w:hAnsi="Times New Roman"/>
                <w:color w:val="000000"/>
                <w:sz w:val="16"/>
              </w:rPr>
              <w:t>SMTP and SMS providers</w:t>
            </w:r>
          </w:p>
        </w:tc>
        <w:tc>
          <w:tcPr>
            <w:tcW w:type="dxa" w:w="3096"/>
            <w:vAlign w:val="top"/>
          </w:tcPr>
          <w:p>
            <w:pPr>
              <w:spacing w:line="240" w:lineRule="auto" w:after="0"/>
              <w:jc w:val="left"/>
            </w:pPr>
            <w:r>
              <w:rPr>
                <w:rFonts w:ascii="Times New Roman" w:hAnsi="Times New Roman"/>
                <w:color w:val="000000"/>
                <w:sz w:val="16"/>
              </w:rPr>
              <w:t>External notification delivery.</w:t>
            </w:r>
          </w:p>
        </w:tc>
        <w:tc>
          <w:tcPr>
            <w:tcW w:type="dxa" w:w="3096"/>
            <w:vAlign w:val="top"/>
          </w:tcPr>
          <w:p>
            <w:pPr>
              <w:spacing w:line="240" w:lineRule="auto" w:after="0"/>
              <w:jc w:val="left"/>
            </w:pPr>
            <w:r>
              <w:rPr>
                <w:rFonts w:ascii="Times New Roman" w:hAnsi="Times New Roman"/>
                <w:color w:val="000000"/>
                <w:sz w:val="16"/>
              </w:rPr>
              <w:t>Provide supporting channels for urgent or important notices.</w:t>
            </w:r>
          </w:p>
        </w:tc>
      </w:tr>
      <w:tr>
        <w:tc>
          <w:tcPr>
            <w:tcW w:type="dxa" w:w="3096"/>
            <w:vAlign w:val="top"/>
          </w:tcPr>
          <w:p>
            <w:pPr>
              <w:spacing w:line="240" w:lineRule="auto" w:after="0"/>
              <w:jc w:val="left"/>
            </w:pPr>
            <w:r>
              <w:rPr>
                <w:rFonts w:ascii="Times New Roman" w:hAnsi="Times New Roman"/>
                <w:color w:val="000000"/>
                <w:sz w:val="16"/>
              </w:rPr>
              <w:t>Cloud file storage</w:t>
            </w:r>
          </w:p>
        </w:tc>
        <w:tc>
          <w:tcPr>
            <w:tcW w:type="dxa" w:w="3096"/>
            <w:vAlign w:val="top"/>
          </w:tcPr>
          <w:p>
            <w:pPr>
              <w:spacing w:line="240" w:lineRule="auto" w:after="0"/>
              <w:jc w:val="left"/>
            </w:pPr>
            <w:r>
              <w:rPr>
                <w:rFonts w:ascii="Times New Roman" w:hAnsi="Times New Roman"/>
                <w:color w:val="000000"/>
                <w:sz w:val="16"/>
              </w:rPr>
              <w:t>Attachment and media storage.</w:t>
            </w:r>
          </w:p>
        </w:tc>
        <w:tc>
          <w:tcPr>
            <w:tcW w:type="dxa" w:w="3096"/>
            <w:vAlign w:val="top"/>
          </w:tcPr>
          <w:p>
            <w:pPr>
              <w:spacing w:line="240" w:lineRule="auto" w:after="0"/>
              <w:jc w:val="left"/>
            </w:pPr>
            <w:r>
              <w:rPr>
                <w:rFonts w:ascii="Times New Roman" w:hAnsi="Times New Roman"/>
                <w:color w:val="000000"/>
                <w:sz w:val="16"/>
              </w:rPr>
              <w:t>Separates file delivery from the application database.</w:t>
            </w:r>
          </w:p>
        </w:tc>
      </w:tr>
      <w:tr>
        <w:tc>
          <w:tcPr>
            <w:tcW w:type="dxa" w:w="3096"/>
            <w:vAlign w:val="top"/>
          </w:tcPr>
          <w:p>
            <w:pPr>
              <w:spacing w:line="240" w:lineRule="auto" w:after="0"/>
              <w:jc w:val="left"/>
            </w:pPr>
            <w:r>
              <w:rPr>
                <w:rFonts w:ascii="Times New Roman" w:hAnsi="Times New Roman"/>
                <w:color w:val="000000"/>
                <w:sz w:val="16"/>
              </w:rPr>
              <w:t>Postman, automated tests, and browser tools</w:t>
            </w:r>
          </w:p>
        </w:tc>
        <w:tc>
          <w:tcPr>
            <w:tcW w:type="dxa" w:w="3096"/>
            <w:vAlign w:val="top"/>
          </w:tcPr>
          <w:p>
            <w:pPr>
              <w:spacing w:line="240" w:lineRule="auto" w:after="0"/>
              <w:jc w:val="left"/>
            </w:pPr>
            <w:r>
              <w:rPr>
                <w:rFonts w:ascii="Times New Roman" w:hAnsi="Times New Roman"/>
                <w:color w:val="000000"/>
                <w:sz w:val="16"/>
              </w:rPr>
              <w:t>API, functional, integration, and performance testing.</w:t>
            </w:r>
          </w:p>
        </w:tc>
        <w:tc>
          <w:tcPr>
            <w:tcW w:type="dxa" w:w="3096"/>
            <w:vAlign w:val="top"/>
          </w:tcPr>
          <w:p>
            <w:pPr>
              <w:spacing w:line="240" w:lineRule="auto" w:after="0"/>
              <w:jc w:val="left"/>
            </w:pPr>
            <w:r>
              <w:rPr>
                <w:rFonts w:ascii="Times New Roman" w:hAnsi="Times New Roman"/>
                <w:color w:val="000000"/>
                <w:sz w:val="16"/>
              </w:rPr>
              <w:t>Provide repeatable evidence of system correctness.</w:t>
            </w:r>
          </w:p>
        </w:tc>
      </w:tr>
      <w:tr>
        <w:tc>
          <w:tcPr>
            <w:tcW w:type="dxa" w:w="3096"/>
            <w:vAlign w:val="top"/>
          </w:tcPr>
          <w:p>
            <w:pPr>
              <w:spacing w:line="240" w:lineRule="auto" w:after="0"/>
              <w:jc w:val="left"/>
            </w:pPr>
            <w:r>
              <w:rPr>
                <w:rFonts w:ascii="Times New Roman" w:hAnsi="Times New Roman"/>
                <w:color w:val="000000"/>
                <w:sz w:val="16"/>
              </w:rPr>
              <w:t>Git and GitHub</w:t>
            </w:r>
          </w:p>
        </w:tc>
        <w:tc>
          <w:tcPr>
            <w:tcW w:type="dxa" w:w="3096"/>
            <w:vAlign w:val="top"/>
          </w:tcPr>
          <w:p>
            <w:pPr>
              <w:spacing w:line="240" w:lineRule="auto" w:after="0"/>
              <w:jc w:val="left"/>
            </w:pPr>
            <w:r>
              <w:rPr>
                <w:rFonts w:ascii="Times New Roman" w:hAnsi="Times New Roman"/>
                <w:color w:val="000000"/>
                <w:sz w:val="16"/>
              </w:rPr>
              <w:t>Version control and collaboration.</w:t>
            </w:r>
          </w:p>
        </w:tc>
        <w:tc>
          <w:tcPr>
            <w:tcW w:type="dxa" w:w="3096"/>
            <w:vAlign w:val="top"/>
          </w:tcPr>
          <w:p>
            <w:pPr>
              <w:spacing w:line="240" w:lineRule="auto" w:after="0"/>
              <w:jc w:val="left"/>
            </w:pPr>
            <w:r>
              <w:rPr>
                <w:rFonts w:ascii="Times New Roman" w:hAnsi="Times New Roman"/>
                <w:color w:val="000000"/>
                <w:sz w:val="16"/>
              </w:rPr>
              <w:t>Support code history, team development, issue tracking, and recovery.</w:t>
            </w:r>
          </w:p>
        </w:tc>
      </w:tr>
      <w:tr>
        <w:tc>
          <w:tcPr>
            <w:tcW w:type="dxa" w:w="3096"/>
            <w:vAlign w:val="top"/>
          </w:tcPr>
          <w:p>
            <w:pPr>
              <w:spacing w:line="240" w:lineRule="auto" w:after="0"/>
              <w:jc w:val="left"/>
            </w:pPr>
            <w:r>
              <w:rPr>
                <w:rFonts w:ascii="Times New Roman" w:hAnsi="Times New Roman"/>
                <w:color w:val="000000"/>
                <w:sz w:val="16"/>
              </w:rPr>
              <w:t>Vercel or comparable hosting</w:t>
            </w:r>
          </w:p>
        </w:tc>
        <w:tc>
          <w:tcPr>
            <w:tcW w:type="dxa" w:w="3096"/>
            <w:vAlign w:val="top"/>
          </w:tcPr>
          <w:p>
            <w:pPr>
              <w:spacing w:line="240" w:lineRule="auto" w:after="0"/>
              <w:jc w:val="left"/>
            </w:pPr>
            <w:r>
              <w:rPr>
                <w:rFonts w:ascii="Times New Roman" w:hAnsi="Times New Roman"/>
                <w:color w:val="000000"/>
                <w:sz w:val="16"/>
              </w:rPr>
              <w:t>Deployment and continuous delivery.</w:t>
            </w:r>
          </w:p>
        </w:tc>
        <w:tc>
          <w:tcPr>
            <w:tcW w:type="dxa" w:w="3096"/>
            <w:vAlign w:val="top"/>
          </w:tcPr>
          <w:p>
            <w:pPr>
              <w:spacing w:line="240" w:lineRule="auto" w:after="0"/>
              <w:jc w:val="left"/>
            </w:pPr>
            <w:r>
              <w:rPr>
                <w:rFonts w:ascii="Times New Roman" w:hAnsi="Times New Roman"/>
                <w:color w:val="000000"/>
                <w:sz w:val="16"/>
              </w:rPr>
              <w:t>Supports secure web hosting and deployment automation.</w:t>
            </w:r>
          </w:p>
        </w:tc>
      </w:tr>
    </w:tbl>
    <w:p>
      <w:pPr>
        <w:spacing w:before="60" w:after="160"/>
        <w:jc w:val="center"/>
      </w:pPr>
      <w:r>
        <w:rPr>
          <w:rFonts w:ascii="Times New Roman" w:hAnsi="Times New Roman"/>
          <w:i/>
          <w:color w:val="000000"/>
          <w:sz w:val="20"/>
        </w:rPr>
        <w:t>Table 3.3: Proposed system development tools</w:t>
      </w:r>
    </w:p>
    <w:p>
      <w:pPr>
        <w:pStyle w:val="Heading3"/>
      </w:pPr>
      <w:r>
        <w:t>3.7.2 Development Process</w:t>
      </w:r>
    </w:p>
    <w:p>
      <w:pPr>
        <w:spacing w:line="360" w:lineRule="auto" w:after="120"/>
        <w:ind w:firstLine="461"/>
        <w:jc w:val="both"/>
      </w:pPr>
      <w:r>
        <w:rPr>
          <w:rFonts w:ascii="Times New Roman" w:hAnsi="Times New Roman" w:eastAsia="Times New Roman"/>
          <w:i w:val="0"/>
          <w:color w:val="000000"/>
          <w:sz w:val="24"/>
        </w:rPr>
        <w:t>The project will use Agile iterations organised around a prioritized backlog. Early iterations will implement authentication, roles, institutions, faculties, departments, programmes, and users. Later iterations will add announcements, audiences, schedules, messaging, notifications, read and delivery tracking, search, reports, audit logs, external services, and final system hardening.</w:t>
      </w:r>
    </w:p>
    <w:p>
      <w:pPr>
        <w:spacing w:line="360" w:lineRule="auto" w:after="120"/>
        <w:ind w:firstLine="461"/>
        <w:jc w:val="both"/>
      </w:pPr>
      <w:r>
        <w:rPr>
          <w:rFonts w:ascii="Times New Roman" w:hAnsi="Times New Roman" w:eastAsia="Times New Roman"/>
          <w:i w:val="0"/>
          <w:color w:val="000000"/>
          <w:sz w:val="24"/>
        </w:rPr>
        <w:t>Each iteration will define acceptance criteria before coding. Completed functions will be tested and demonstrated, and feedback will be converted into corrections or new backlog items. Version control, code review, database migrations, and automated tests will be used to maintain consistency as the system grows.</w:t>
      </w:r>
    </w:p>
    <w:p>
      <w:pPr>
        <w:pStyle w:val="Heading2"/>
      </w:pPr>
      <w:r>
        <w:t>3.8 The System Development Life Cycle (SDLC)</w:t>
      </w:r>
    </w:p>
    <w:p>
      <w:pPr>
        <w:pStyle w:val="Heading3"/>
      </w:pPr>
      <w:r>
        <w:t>3.8.1 Planning Phase</w:t>
      </w:r>
    </w:p>
    <w:p>
      <w:pPr>
        <w:spacing w:line="360" w:lineRule="auto" w:after="120"/>
        <w:ind w:firstLine="461"/>
        <w:jc w:val="both"/>
      </w:pPr>
      <w:r>
        <w:rPr>
          <w:rFonts w:ascii="Times New Roman" w:hAnsi="Times New Roman" w:eastAsia="Times New Roman"/>
          <w:i w:val="0"/>
          <w:color w:val="000000"/>
          <w:sz w:val="24"/>
        </w:rPr>
        <w:t>The planning phase defined the communication problem, project aim, objectives, scope, stakeholders, resources, schedule, risks, and expected outputs. Key risks include incorrect audience targeting, disclosure of restricted information, notification-provider failure, low user adoption, poor data quality, duplicate delivery, and dependency on institutional identity data.</w:t>
      </w:r>
    </w:p>
    <w:p>
      <w:pPr>
        <w:spacing w:line="360" w:lineRule="auto" w:after="120"/>
        <w:ind w:firstLine="461"/>
        <w:jc w:val="both"/>
      </w:pPr>
      <w:r>
        <w:rPr>
          <w:rFonts w:ascii="Times New Roman" w:hAnsi="Times New Roman" w:eastAsia="Times New Roman"/>
          <w:i w:val="0"/>
          <w:color w:val="000000"/>
          <w:sz w:val="24"/>
        </w:rPr>
        <w:t>The team selected a modular web architecture and identified the core modules required for a demonstrable prototype. A project backlog and milestone plan will guide analysis, design, implementation, testing, documentation, deployment, and presentation.</w:t>
      </w:r>
    </w:p>
    <w:p>
      <w:pPr>
        <w:pStyle w:val="Heading3"/>
      </w:pPr>
      <w:r>
        <w:t>3.8.2 Analysis Phase</w:t>
      </w:r>
    </w:p>
    <w:p>
      <w:pPr>
        <w:spacing w:line="360" w:lineRule="auto" w:after="120"/>
        <w:ind w:firstLine="461"/>
        <w:jc w:val="both"/>
      </w:pPr>
      <w:r>
        <w:rPr>
          <w:rFonts w:ascii="Times New Roman" w:hAnsi="Times New Roman" w:eastAsia="Times New Roman"/>
          <w:i w:val="0"/>
          <w:color w:val="000000"/>
          <w:sz w:val="24"/>
        </w:rPr>
        <w:t>During analysis, the team will document existing communication channels, user responsibilities, publication and approval practices, audience definitions, notification categories, schedule types, messages, reports, and security expectations. Requirements will be validated against the project objectives and prioritized according to importance and feasibility.</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6"/>
              </w:rPr>
              <w:t>ID</w:t>
            </w:r>
          </w:p>
        </w:tc>
        <w:tc>
          <w:tcPr>
            <w:tcW w:type="dxa" w:w="4644"/>
            <w:shd w:fill="E8EEF7"/>
            <w:vAlign w:val="center"/>
          </w:tcPr>
          <w:p>
            <w:pPr>
              <w:spacing w:after="0"/>
              <w:jc w:val="center"/>
            </w:pPr>
            <w:r>
              <w:rPr>
                <w:rFonts w:ascii="Times New Roman" w:hAnsi="Times New Roman"/>
                <w:b/>
                <w:color w:val="000000"/>
                <w:sz w:val="16"/>
              </w:rPr>
              <w:t>Functional Requirement</w:t>
            </w:r>
          </w:p>
        </w:tc>
      </w:tr>
      <w:tr>
        <w:tc>
          <w:tcPr>
            <w:tcW w:type="dxa" w:w="4644"/>
            <w:vAlign w:val="top"/>
          </w:tcPr>
          <w:p>
            <w:pPr>
              <w:spacing w:line="240" w:lineRule="auto" w:after="0"/>
              <w:jc w:val="left"/>
            </w:pPr>
            <w:r>
              <w:rPr>
                <w:rFonts w:ascii="Times New Roman" w:hAnsi="Times New Roman"/>
                <w:color w:val="000000"/>
                <w:sz w:val="16"/>
              </w:rPr>
              <w:t>FR-01</w:t>
            </w:r>
          </w:p>
        </w:tc>
        <w:tc>
          <w:tcPr>
            <w:tcW w:type="dxa" w:w="4644"/>
            <w:vAlign w:val="top"/>
          </w:tcPr>
          <w:p>
            <w:pPr>
              <w:spacing w:line="240" w:lineRule="auto" w:after="0"/>
              <w:jc w:val="left"/>
            </w:pPr>
            <w:r>
              <w:rPr>
                <w:rFonts w:ascii="Times New Roman" w:hAnsi="Times New Roman"/>
                <w:color w:val="000000"/>
                <w:sz w:val="16"/>
              </w:rPr>
              <w:t>Authenticate users, recover passwords, manage sessions, and enforce account status.</w:t>
            </w:r>
          </w:p>
        </w:tc>
      </w:tr>
      <w:tr>
        <w:tc>
          <w:tcPr>
            <w:tcW w:type="dxa" w:w="4644"/>
            <w:vAlign w:val="top"/>
          </w:tcPr>
          <w:p>
            <w:pPr>
              <w:spacing w:line="240" w:lineRule="auto" w:after="0"/>
              <w:jc w:val="left"/>
            </w:pPr>
            <w:r>
              <w:rPr>
                <w:rFonts w:ascii="Times New Roman" w:hAnsi="Times New Roman"/>
                <w:color w:val="000000"/>
                <w:sz w:val="16"/>
              </w:rPr>
              <w:t>FR-02</w:t>
            </w:r>
          </w:p>
        </w:tc>
        <w:tc>
          <w:tcPr>
            <w:tcW w:type="dxa" w:w="4644"/>
            <w:vAlign w:val="top"/>
          </w:tcPr>
          <w:p>
            <w:pPr>
              <w:spacing w:line="240" w:lineRule="auto" w:after="0"/>
              <w:jc w:val="left"/>
            </w:pPr>
            <w:r>
              <w:rPr>
                <w:rFonts w:ascii="Times New Roman" w:hAnsi="Times New Roman"/>
                <w:color w:val="000000"/>
                <w:sz w:val="16"/>
              </w:rPr>
              <w:t>Assign roles and permissions and display role-specific portals.</w:t>
            </w:r>
          </w:p>
        </w:tc>
      </w:tr>
      <w:tr>
        <w:tc>
          <w:tcPr>
            <w:tcW w:type="dxa" w:w="4644"/>
            <w:vAlign w:val="top"/>
          </w:tcPr>
          <w:p>
            <w:pPr>
              <w:spacing w:line="240" w:lineRule="auto" w:after="0"/>
              <w:jc w:val="left"/>
            </w:pPr>
            <w:r>
              <w:rPr>
                <w:rFonts w:ascii="Times New Roman" w:hAnsi="Times New Roman"/>
                <w:color w:val="000000"/>
                <w:sz w:val="16"/>
              </w:rPr>
              <w:t>FR-03</w:t>
            </w:r>
          </w:p>
        </w:tc>
        <w:tc>
          <w:tcPr>
            <w:tcW w:type="dxa" w:w="4644"/>
            <w:vAlign w:val="top"/>
          </w:tcPr>
          <w:p>
            <w:pPr>
              <w:spacing w:line="240" w:lineRule="auto" w:after="0"/>
              <w:jc w:val="left"/>
            </w:pPr>
            <w:r>
              <w:rPr>
                <w:rFonts w:ascii="Times New Roman" w:hAnsi="Times New Roman"/>
                <w:color w:val="000000"/>
                <w:sz w:val="16"/>
              </w:rPr>
              <w:t>Manage institutions, faculties, departments, programmes, courses, class groups, academic years, and semesters.</w:t>
            </w:r>
          </w:p>
        </w:tc>
      </w:tr>
      <w:tr>
        <w:tc>
          <w:tcPr>
            <w:tcW w:type="dxa" w:w="4644"/>
            <w:vAlign w:val="top"/>
          </w:tcPr>
          <w:p>
            <w:pPr>
              <w:spacing w:line="240" w:lineRule="auto" w:after="0"/>
              <w:jc w:val="left"/>
            </w:pPr>
            <w:r>
              <w:rPr>
                <w:rFonts w:ascii="Times New Roman" w:hAnsi="Times New Roman"/>
                <w:color w:val="000000"/>
                <w:sz w:val="16"/>
              </w:rPr>
              <w:t>FR-04</w:t>
            </w:r>
          </w:p>
        </w:tc>
        <w:tc>
          <w:tcPr>
            <w:tcW w:type="dxa" w:w="4644"/>
            <w:vAlign w:val="top"/>
          </w:tcPr>
          <w:p>
            <w:pPr>
              <w:spacing w:line="240" w:lineRule="auto" w:after="0"/>
              <w:jc w:val="left"/>
            </w:pPr>
            <w:r>
              <w:rPr>
                <w:rFonts w:ascii="Times New Roman" w:hAnsi="Times New Roman"/>
                <w:color w:val="000000"/>
                <w:sz w:val="16"/>
              </w:rPr>
              <w:t>Create, edit, schedule, publish, archive, withdraw, and categorize announcements.</w:t>
            </w:r>
          </w:p>
        </w:tc>
      </w:tr>
      <w:tr>
        <w:tc>
          <w:tcPr>
            <w:tcW w:type="dxa" w:w="4644"/>
            <w:vAlign w:val="top"/>
          </w:tcPr>
          <w:p>
            <w:pPr>
              <w:spacing w:line="240" w:lineRule="auto" w:after="0"/>
              <w:jc w:val="left"/>
            </w:pPr>
            <w:r>
              <w:rPr>
                <w:rFonts w:ascii="Times New Roman" w:hAnsi="Times New Roman"/>
                <w:color w:val="000000"/>
                <w:sz w:val="16"/>
              </w:rPr>
              <w:t>FR-05</w:t>
            </w:r>
          </w:p>
        </w:tc>
        <w:tc>
          <w:tcPr>
            <w:tcW w:type="dxa" w:w="4644"/>
            <w:vAlign w:val="top"/>
          </w:tcPr>
          <w:p>
            <w:pPr>
              <w:spacing w:line="240" w:lineRule="auto" w:after="0"/>
              <w:jc w:val="left"/>
            </w:pPr>
            <w:r>
              <w:rPr>
                <w:rFonts w:ascii="Times New Roman" w:hAnsi="Times New Roman"/>
                <w:color w:val="000000"/>
                <w:sz w:val="16"/>
              </w:rPr>
              <w:t>Target announcements to roles, institutions, faculties, departments, programmes, courses, class groups, academic periods, direct users, or combined audiences.</w:t>
            </w:r>
          </w:p>
        </w:tc>
      </w:tr>
      <w:tr>
        <w:tc>
          <w:tcPr>
            <w:tcW w:type="dxa" w:w="4644"/>
            <w:vAlign w:val="top"/>
          </w:tcPr>
          <w:p>
            <w:pPr>
              <w:spacing w:line="240" w:lineRule="auto" w:after="0"/>
              <w:jc w:val="left"/>
            </w:pPr>
            <w:r>
              <w:rPr>
                <w:rFonts w:ascii="Times New Roman" w:hAnsi="Times New Roman"/>
                <w:color w:val="000000"/>
                <w:sz w:val="16"/>
              </w:rPr>
              <w:t>FR-06</w:t>
            </w:r>
          </w:p>
        </w:tc>
        <w:tc>
          <w:tcPr>
            <w:tcW w:type="dxa" w:w="4644"/>
            <w:vAlign w:val="top"/>
          </w:tcPr>
          <w:p>
            <w:pPr>
              <w:spacing w:line="240" w:lineRule="auto" w:after="0"/>
              <w:jc w:val="left"/>
            </w:pPr>
            <w:r>
              <w:rPr>
                <w:rFonts w:ascii="Times New Roman" w:hAnsi="Times New Roman"/>
                <w:color w:val="000000"/>
                <w:sz w:val="16"/>
              </w:rPr>
              <w:t>Upload and retrieve authorized attachments and media.</w:t>
            </w:r>
          </w:p>
        </w:tc>
      </w:tr>
      <w:tr>
        <w:tc>
          <w:tcPr>
            <w:tcW w:type="dxa" w:w="4644"/>
            <w:vAlign w:val="top"/>
          </w:tcPr>
          <w:p>
            <w:pPr>
              <w:spacing w:line="240" w:lineRule="auto" w:after="0"/>
              <w:jc w:val="left"/>
            </w:pPr>
            <w:r>
              <w:rPr>
                <w:rFonts w:ascii="Times New Roman" w:hAnsi="Times New Roman"/>
                <w:color w:val="000000"/>
                <w:sz w:val="16"/>
              </w:rPr>
              <w:t>FR-07</w:t>
            </w:r>
          </w:p>
        </w:tc>
        <w:tc>
          <w:tcPr>
            <w:tcW w:type="dxa" w:w="4644"/>
            <w:vAlign w:val="top"/>
          </w:tcPr>
          <w:p>
            <w:pPr>
              <w:spacing w:line="240" w:lineRule="auto" w:after="0"/>
              <w:jc w:val="left"/>
            </w:pPr>
            <w:r>
              <w:rPr>
                <w:rFonts w:ascii="Times New Roman" w:hAnsi="Times New Roman"/>
                <w:color w:val="000000"/>
                <w:sz w:val="16"/>
              </w:rPr>
              <w:t>Create in-app notifications and optionally send email or SMS messages.</w:t>
            </w:r>
          </w:p>
        </w:tc>
      </w:tr>
      <w:tr>
        <w:tc>
          <w:tcPr>
            <w:tcW w:type="dxa" w:w="4644"/>
            <w:vAlign w:val="top"/>
          </w:tcPr>
          <w:p>
            <w:pPr>
              <w:spacing w:line="240" w:lineRule="auto" w:after="0"/>
              <w:jc w:val="left"/>
            </w:pPr>
            <w:r>
              <w:rPr>
                <w:rFonts w:ascii="Times New Roman" w:hAnsi="Times New Roman"/>
                <w:color w:val="000000"/>
                <w:sz w:val="16"/>
              </w:rPr>
              <w:t>FR-08</w:t>
            </w:r>
          </w:p>
        </w:tc>
        <w:tc>
          <w:tcPr>
            <w:tcW w:type="dxa" w:w="4644"/>
            <w:vAlign w:val="top"/>
          </w:tcPr>
          <w:p>
            <w:pPr>
              <w:spacing w:line="240" w:lineRule="auto" w:after="0"/>
              <w:jc w:val="left"/>
            </w:pPr>
            <w:r>
              <w:rPr>
                <w:rFonts w:ascii="Times New Roman" w:hAnsi="Times New Roman"/>
                <w:color w:val="000000"/>
                <w:sz w:val="16"/>
              </w:rPr>
              <w:t>Allow users to manage permitted notification preferences.</w:t>
            </w:r>
          </w:p>
        </w:tc>
      </w:tr>
      <w:tr>
        <w:tc>
          <w:tcPr>
            <w:tcW w:type="dxa" w:w="4644"/>
            <w:vAlign w:val="top"/>
          </w:tcPr>
          <w:p>
            <w:pPr>
              <w:spacing w:line="240" w:lineRule="auto" w:after="0"/>
              <w:jc w:val="left"/>
            </w:pPr>
            <w:r>
              <w:rPr>
                <w:rFonts w:ascii="Times New Roman" w:hAnsi="Times New Roman"/>
                <w:color w:val="000000"/>
                <w:sz w:val="16"/>
              </w:rPr>
              <w:t>FR-09</w:t>
            </w:r>
          </w:p>
        </w:tc>
        <w:tc>
          <w:tcPr>
            <w:tcW w:type="dxa" w:w="4644"/>
            <w:vAlign w:val="top"/>
          </w:tcPr>
          <w:p>
            <w:pPr>
              <w:spacing w:line="240" w:lineRule="auto" w:after="0"/>
              <w:jc w:val="left"/>
            </w:pPr>
            <w:r>
              <w:rPr>
                <w:rFonts w:ascii="Times New Roman" w:hAnsi="Times New Roman"/>
                <w:color w:val="000000"/>
                <w:sz w:val="16"/>
              </w:rPr>
              <w:t>Record notification delivery attempts, status, and errors.</w:t>
            </w:r>
          </w:p>
        </w:tc>
      </w:tr>
      <w:tr>
        <w:tc>
          <w:tcPr>
            <w:tcW w:type="dxa" w:w="4644"/>
            <w:vAlign w:val="top"/>
          </w:tcPr>
          <w:p>
            <w:pPr>
              <w:spacing w:line="240" w:lineRule="auto" w:after="0"/>
              <w:jc w:val="left"/>
            </w:pPr>
            <w:r>
              <w:rPr>
                <w:rFonts w:ascii="Times New Roman" w:hAnsi="Times New Roman"/>
                <w:color w:val="000000"/>
                <w:sz w:val="16"/>
              </w:rPr>
              <w:t>FR-10</w:t>
            </w:r>
          </w:p>
        </w:tc>
        <w:tc>
          <w:tcPr>
            <w:tcW w:type="dxa" w:w="4644"/>
            <w:vAlign w:val="top"/>
          </w:tcPr>
          <w:p>
            <w:pPr>
              <w:spacing w:line="240" w:lineRule="auto" w:after="0"/>
              <w:jc w:val="left"/>
            </w:pPr>
            <w:r>
              <w:rPr>
                <w:rFonts w:ascii="Times New Roman" w:hAnsi="Times New Roman"/>
                <w:color w:val="000000"/>
                <w:sz w:val="16"/>
              </w:rPr>
              <w:t>Record announcement views, message reads, and unread counts.</w:t>
            </w:r>
          </w:p>
        </w:tc>
      </w:tr>
      <w:tr>
        <w:tc>
          <w:tcPr>
            <w:tcW w:type="dxa" w:w="4644"/>
            <w:vAlign w:val="top"/>
          </w:tcPr>
          <w:p>
            <w:pPr>
              <w:spacing w:line="240" w:lineRule="auto" w:after="0"/>
              <w:jc w:val="left"/>
            </w:pPr>
            <w:r>
              <w:rPr>
                <w:rFonts w:ascii="Times New Roman" w:hAnsi="Times New Roman"/>
                <w:color w:val="000000"/>
                <w:sz w:val="16"/>
              </w:rPr>
              <w:t>FR-11</w:t>
            </w:r>
          </w:p>
        </w:tc>
        <w:tc>
          <w:tcPr>
            <w:tcW w:type="dxa" w:w="4644"/>
            <w:vAlign w:val="top"/>
          </w:tcPr>
          <w:p>
            <w:pPr>
              <w:spacing w:line="240" w:lineRule="auto" w:after="0"/>
              <w:jc w:val="left"/>
            </w:pPr>
            <w:r>
              <w:rPr>
                <w:rFonts w:ascii="Times New Roman" w:hAnsi="Times New Roman"/>
                <w:color w:val="000000"/>
                <w:sz w:val="16"/>
              </w:rPr>
              <w:t>Support direct and thread-based messaging among authorized participants.</w:t>
            </w:r>
          </w:p>
        </w:tc>
      </w:tr>
      <w:tr>
        <w:tc>
          <w:tcPr>
            <w:tcW w:type="dxa" w:w="4644"/>
            <w:vAlign w:val="top"/>
          </w:tcPr>
          <w:p>
            <w:pPr>
              <w:spacing w:line="240" w:lineRule="auto" w:after="0"/>
              <w:jc w:val="left"/>
            </w:pPr>
            <w:r>
              <w:rPr>
                <w:rFonts w:ascii="Times New Roman" w:hAnsi="Times New Roman"/>
                <w:color w:val="000000"/>
                <w:sz w:val="16"/>
              </w:rPr>
              <w:t>FR-12</w:t>
            </w:r>
          </w:p>
        </w:tc>
        <w:tc>
          <w:tcPr>
            <w:tcW w:type="dxa" w:w="4644"/>
            <w:vAlign w:val="top"/>
          </w:tcPr>
          <w:p>
            <w:pPr>
              <w:spacing w:line="240" w:lineRule="auto" w:after="0"/>
              <w:jc w:val="left"/>
            </w:pPr>
            <w:r>
              <w:rPr>
                <w:rFonts w:ascii="Times New Roman" w:hAnsi="Times New Roman"/>
                <w:color w:val="000000"/>
                <w:sz w:val="16"/>
              </w:rPr>
              <w:t>Manage academic schedules and notify affected audiences of changes.</w:t>
            </w:r>
          </w:p>
        </w:tc>
      </w:tr>
      <w:tr>
        <w:tc>
          <w:tcPr>
            <w:tcW w:type="dxa" w:w="4644"/>
            <w:vAlign w:val="top"/>
          </w:tcPr>
          <w:p>
            <w:pPr>
              <w:spacing w:line="240" w:lineRule="auto" w:after="0"/>
              <w:jc w:val="left"/>
            </w:pPr>
            <w:r>
              <w:rPr>
                <w:rFonts w:ascii="Times New Roman" w:hAnsi="Times New Roman"/>
                <w:color w:val="000000"/>
                <w:sz w:val="16"/>
              </w:rPr>
              <w:t>FR-13</w:t>
            </w:r>
          </w:p>
        </w:tc>
        <w:tc>
          <w:tcPr>
            <w:tcW w:type="dxa" w:w="4644"/>
            <w:vAlign w:val="top"/>
          </w:tcPr>
          <w:p>
            <w:pPr>
              <w:spacing w:line="240" w:lineRule="auto" w:after="0"/>
              <w:jc w:val="left"/>
            </w:pPr>
            <w:r>
              <w:rPr>
                <w:rFonts w:ascii="Times New Roman" w:hAnsi="Times New Roman"/>
                <w:color w:val="000000"/>
                <w:sz w:val="16"/>
              </w:rPr>
              <w:t>Search, filter, tag, and archive notices, messages, and schedules.</w:t>
            </w:r>
          </w:p>
        </w:tc>
      </w:tr>
      <w:tr>
        <w:tc>
          <w:tcPr>
            <w:tcW w:type="dxa" w:w="4644"/>
            <w:vAlign w:val="top"/>
          </w:tcPr>
          <w:p>
            <w:pPr>
              <w:spacing w:line="240" w:lineRule="auto" w:after="0"/>
              <w:jc w:val="left"/>
            </w:pPr>
            <w:r>
              <w:rPr>
                <w:rFonts w:ascii="Times New Roman" w:hAnsi="Times New Roman"/>
                <w:color w:val="000000"/>
                <w:sz w:val="16"/>
              </w:rPr>
              <w:t>FR-14</w:t>
            </w:r>
          </w:p>
        </w:tc>
        <w:tc>
          <w:tcPr>
            <w:tcW w:type="dxa" w:w="4644"/>
            <w:vAlign w:val="top"/>
          </w:tcPr>
          <w:p>
            <w:pPr>
              <w:spacing w:line="240" w:lineRule="auto" w:after="0"/>
              <w:jc w:val="left"/>
            </w:pPr>
            <w:r>
              <w:rPr>
                <w:rFonts w:ascii="Times New Roman" w:hAnsi="Times New Roman"/>
                <w:color w:val="000000"/>
                <w:sz w:val="16"/>
              </w:rPr>
              <w:t>Generate dashboards and reports on publication, delivery, reads, unread content, and communication activity.</w:t>
            </w:r>
          </w:p>
        </w:tc>
      </w:tr>
      <w:tr>
        <w:tc>
          <w:tcPr>
            <w:tcW w:type="dxa" w:w="4644"/>
            <w:vAlign w:val="top"/>
          </w:tcPr>
          <w:p>
            <w:pPr>
              <w:spacing w:line="240" w:lineRule="auto" w:after="0"/>
              <w:jc w:val="left"/>
            </w:pPr>
            <w:r>
              <w:rPr>
                <w:rFonts w:ascii="Times New Roman" w:hAnsi="Times New Roman"/>
                <w:color w:val="000000"/>
                <w:sz w:val="16"/>
              </w:rPr>
              <w:t>FR-15</w:t>
            </w:r>
          </w:p>
        </w:tc>
        <w:tc>
          <w:tcPr>
            <w:tcW w:type="dxa" w:w="4644"/>
            <w:vAlign w:val="top"/>
          </w:tcPr>
          <w:p>
            <w:pPr>
              <w:spacing w:line="240" w:lineRule="auto" w:after="0"/>
              <w:jc w:val="left"/>
            </w:pPr>
            <w:r>
              <w:rPr>
                <w:rFonts w:ascii="Times New Roman" w:hAnsi="Times New Roman"/>
                <w:color w:val="000000"/>
                <w:sz w:val="16"/>
              </w:rPr>
              <w:t>Record important authentication, administrative, content, and security events in an audit log.</w:t>
            </w:r>
          </w:p>
        </w:tc>
      </w:tr>
      <w:tr>
        <w:tc>
          <w:tcPr>
            <w:tcW w:type="dxa" w:w="4644"/>
            <w:vAlign w:val="top"/>
          </w:tcPr>
          <w:p>
            <w:pPr>
              <w:spacing w:line="240" w:lineRule="auto" w:after="0"/>
              <w:jc w:val="left"/>
            </w:pPr>
            <w:r>
              <w:rPr>
                <w:rFonts w:ascii="Times New Roman" w:hAnsi="Times New Roman"/>
                <w:color w:val="000000"/>
                <w:sz w:val="16"/>
              </w:rPr>
              <w:t>FR-16</w:t>
            </w:r>
          </w:p>
        </w:tc>
        <w:tc>
          <w:tcPr>
            <w:tcW w:type="dxa" w:w="4644"/>
            <w:vAlign w:val="top"/>
          </w:tcPr>
          <w:p>
            <w:pPr>
              <w:spacing w:line="240" w:lineRule="auto" w:after="0"/>
              <w:jc w:val="left"/>
            </w:pPr>
            <w:r>
              <w:rPr>
                <w:rFonts w:ascii="Times New Roman" w:hAnsi="Times New Roman"/>
                <w:color w:val="000000"/>
                <w:sz w:val="16"/>
              </w:rPr>
              <w:t>Provide a controlled integration interface for importing or synchronizing institutional data.</w:t>
            </w:r>
          </w:p>
        </w:tc>
      </w:tr>
    </w:tbl>
    <w:p>
      <w:pPr>
        <w:spacing w:before="60" w:after="160"/>
        <w:jc w:val="center"/>
      </w:pPr>
      <w:r>
        <w:rPr>
          <w:rFonts w:ascii="Times New Roman" w:hAnsi="Times New Roman"/>
          <w:i/>
          <w:color w:val="000000"/>
          <w:sz w:val="20"/>
        </w:rPr>
        <w:t>Table 3.4: Functional requirements</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6"/>
              </w:rPr>
              <w:t>Quality Attribute</w:t>
            </w:r>
          </w:p>
        </w:tc>
        <w:tc>
          <w:tcPr>
            <w:tcW w:type="dxa" w:w="4644"/>
            <w:shd w:fill="E8EEF7"/>
            <w:vAlign w:val="center"/>
          </w:tcPr>
          <w:p>
            <w:pPr>
              <w:spacing w:after="0"/>
              <w:jc w:val="center"/>
            </w:pPr>
            <w:r>
              <w:rPr>
                <w:rFonts w:ascii="Times New Roman" w:hAnsi="Times New Roman"/>
                <w:b/>
                <w:color w:val="000000"/>
                <w:sz w:val="16"/>
              </w:rPr>
              <w:t>Requirement</w:t>
            </w:r>
          </w:p>
        </w:tc>
      </w:tr>
      <w:tr>
        <w:tc>
          <w:tcPr>
            <w:tcW w:type="dxa" w:w="4644"/>
            <w:vAlign w:val="top"/>
          </w:tcPr>
          <w:p>
            <w:pPr>
              <w:spacing w:line="240" w:lineRule="auto" w:after="0"/>
              <w:jc w:val="left"/>
            </w:pPr>
            <w:r>
              <w:rPr>
                <w:rFonts w:ascii="Times New Roman" w:hAnsi="Times New Roman"/>
                <w:color w:val="000000"/>
                <w:sz w:val="16"/>
              </w:rPr>
              <w:t>Security</w:t>
            </w:r>
          </w:p>
        </w:tc>
        <w:tc>
          <w:tcPr>
            <w:tcW w:type="dxa" w:w="4644"/>
            <w:vAlign w:val="top"/>
          </w:tcPr>
          <w:p>
            <w:pPr>
              <w:spacing w:line="240" w:lineRule="auto" w:after="0"/>
              <w:jc w:val="left"/>
            </w:pPr>
            <w:r>
              <w:rPr>
                <w:rFonts w:ascii="Times New Roman" w:hAnsi="Times New Roman"/>
                <w:color w:val="000000"/>
                <w:sz w:val="16"/>
              </w:rPr>
              <w:t>Protected authentication, server-side authorization, secure sessions, validation, attachment controls, HTTPS, rate limiting, audit logs, and secret management.</w:t>
            </w:r>
          </w:p>
        </w:tc>
      </w:tr>
      <w:tr>
        <w:tc>
          <w:tcPr>
            <w:tcW w:type="dxa" w:w="4644"/>
            <w:vAlign w:val="top"/>
          </w:tcPr>
          <w:p>
            <w:pPr>
              <w:spacing w:line="240" w:lineRule="auto" w:after="0"/>
              <w:jc w:val="left"/>
            </w:pPr>
            <w:r>
              <w:rPr>
                <w:rFonts w:ascii="Times New Roman" w:hAnsi="Times New Roman"/>
                <w:color w:val="000000"/>
                <w:sz w:val="16"/>
              </w:rPr>
              <w:t>Privacy</w:t>
            </w:r>
          </w:p>
        </w:tc>
        <w:tc>
          <w:tcPr>
            <w:tcW w:type="dxa" w:w="4644"/>
            <w:vAlign w:val="top"/>
          </w:tcPr>
          <w:p>
            <w:pPr>
              <w:spacing w:line="240" w:lineRule="auto" w:after="0"/>
              <w:jc w:val="left"/>
            </w:pPr>
            <w:r>
              <w:rPr>
                <w:rFonts w:ascii="Times New Roman" w:hAnsi="Times New Roman"/>
                <w:color w:val="000000"/>
                <w:sz w:val="16"/>
              </w:rPr>
              <w:t>Purpose-specific data collection, least-privilege access, retention controls, and protected personal and academic information.</w:t>
            </w:r>
          </w:p>
        </w:tc>
      </w:tr>
      <w:tr>
        <w:tc>
          <w:tcPr>
            <w:tcW w:type="dxa" w:w="4644"/>
            <w:vAlign w:val="top"/>
          </w:tcPr>
          <w:p>
            <w:pPr>
              <w:spacing w:line="240" w:lineRule="auto" w:after="0"/>
              <w:jc w:val="left"/>
            </w:pPr>
            <w:r>
              <w:rPr>
                <w:rFonts w:ascii="Times New Roman" w:hAnsi="Times New Roman"/>
                <w:color w:val="000000"/>
                <w:sz w:val="16"/>
              </w:rPr>
              <w:t>Performance</w:t>
            </w:r>
          </w:p>
        </w:tc>
        <w:tc>
          <w:tcPr>
            <w:tcW w:type="dxa" w:w="4644"/>
            <w:vAlign w:val="top"/>
          </w:tcPr>
          <w:p>
            <w:pPr>
              <w:spacing w:line="240" w:lineRule="auto" w:after="0"/>
              <w:jc w:val="left"/>
            </w:pPr>
            <w:r>
              <w:rPr>
                <w:rFonts w:ascii="Times New Roman" w:hAnsi="Times New Roman"/>
                <w:color w:val="000000"/>
                <w:sz w:val="16"/>
              </w:rPr>
              <w:t>Common pages and requests should complete within acceptable times under representative load.</w:t>
            </w:r>
          </w:p>
        </w:tc>
      </w:tr>
      <w:tr>
        <w:tc>
          <w:tcPr>
            <w:tcW w:type="dxa" w:w="4644"/>
            <w:vAlign w:val="top"/>
          </w:tcPr>
          <w:p>
            <w:pPr>
              <w:spacing w:line="240" w:lineRule="auto" w:after="0"/>
              <w:jc w:val="left"/>
            </w:pPr>
            <w:r>
              <w:rPr>
                <w:rFonts w:ascii="Times New Roman" w:hAnsi="Times New Roman"/>
                <w:color w:val="000000"/>
                <w:sz w:val="16"/>
              </w:rPr>
              <w:t>Reliability</w:t>
            </w:r>
          </w:p>
        </w:tc>
        <w:tc>
          <w:tcPr>
            <w:tcW w:type="dxa" w:w="4644"/>
            <w:vAlign w:val="top"/>
          </w:tcPr>
          <w:p>
            <w:pPr>
              <w:spacing w:line="240" w:lineRule="auto" w:after="0"/>
              <w:jc w:val="left"/>
            </w:pPr>
            <w:r>
              <w:rPr>
                <w:rFonts w:ascii="Times New Roman" w:hAnsi="Times New Roman"/>
                <w:color w:val="000000"/>
                <w:sz w:val="16"/>
              </w:rPr>
              <w:t>Published content and confirmed notification records should not be lost or duplicated.</w:t>
            </w:r>
          </w:p>
        </w:tc>
      </w:tr>
      <w:tr>
        <w:tc>
          <w:tcPr>
            <w:tcW w:type="dxa" w:w="4644"/>
            <w:vAlign w:val="top"/>
          </w:tcPr>
          <w:p>
            <w:pPr>
              <w:spacing w:line="240" w:lineRule="auto" w:after="0"/>
              <w:jc w:val="left"/>
            </w:pPr>
            <w:r>
              <w:rPr>
                <w:rFonts w:ascii="Times New Roman" w:hAnsi="Times New Roman"/>
                <w:color w:val="000000"/>
                <w:sz w:val="16"/>
              </w:rPr>
              <w:t>Availability</w:t>
            </w:r>
          </w:p>
        </w:tc>
        <w:tc>
          <w:tcPr>
            <w:tcW w:type="dxa" w:w="4644"/>
            <w:vAlign w:val="top"/>
          </w:tcPr>
          <w:p>
            <w:pPr>
              <w:spacing w:line="240" w:lineRule="auto" w:after="0"/>
              <w:jc w:val="left"/>
            </w:pPr>
            <w:r>
              <w:rPr>
                <w:rFonts w:ascii="Times New Roman" w:hAnsi="Times New Roman"/>
                <w:color w:val="000000"/>
                <w:sz w:val="16"/>
              </w:rPr>
              <w:t>The platform should remain available except during planned maintenance or provider outages.</w:t>
            </w:r>
          </w:p>
        </w:tc>
      </w:tr>
      <w:tr>
        <w:tc>
          <w:tcPr>
            <w:tcW w:type="dxa" w:w="4644"/>
            <w:vAlign w:val="top"/>
          </w:tcPr>
          <w:p>
            <w:pPr>
              <w:spacing w:line="240" w:lineRule="auto" w:after="0"/>
              <w:jc w:val="left"/>
            </w:pPr>
            <w:r>
              <w:rPr>
                <w:rFonts w:ascii="Times New Roman" w:hAnsi="Times New Roman"/>
                <w:color w:val="000000"/>
                <w:sz w:val="16"/>
              </w:rPr>
              <w:t>Usability</w:t>
            </w:r>
          </w:p>
        </w:tc>
        <w:tc>
          <w:tcPr>
            <w:tcW w:type="dxa" w:w="4644"/>
            <w:vAlign w:val="top"/>
          </w:tcPr>
          <w:p>
            <w:pPr>
              <w:spacing w:line="240" w:lineRule="auto" w:after="0"/>
              <w:jc w:val="left"/>
            </w:pPr>
            <w:r>
              <w:rPr>
                <w:rFonts w:ascii="Times New Roman" w:hAnsi="Times New Roman"/>
                <w:color w:val="000000"/>
                <w:sz w:val="16"/>
              </w:rPr>
              <w:t>Role-specific dashboards, clear navigation, readable content, understandable status labels, and useful error feedback.</w:t>
            </w:r>
          </w:p>
        </w:tc>
      </w:tr>
      <w:tr>
        <w:tc>
          <w:tcPr>
            <w:tcW w:type="dxa" w:w="4644"/>
            <w:vAlign w:val="top"/>
          </w:tcPr>
          <w:p>
            <w:pPr>
              <w:spacing w:line="240" w:lineRule="auto" w:after="0"/>
              <w:jc w:val="left"/>
            </w:pPr>
            <w:r>
              <w:rPr>
                <w:rFonts w:ascii="Times New Roman" w:hAnsi="Times New Roman"/>
                <w:color w:val="000000"/>
                <w:sz w:val="16"/>
              </w:rPr>
              <w:t>Accessibility</w:t>
            </w:r>
          </w:p>
        </w:tc>
        <w:tc>
          <w:tcPr>
            <w:tcW w:type="dxa" w:w="4644"/>
            <w:vAlign w:val="top"/>
          </w:tcPr>
          <w:p>
            <w:pPr>
              <w:spacing w:line="240" w:lineRule="auto" w:after="0"/>
              <w:jc w:val="left"/>
            </w:pPr>
            <w:r>
              <w:rPr>
                <w:rFonts w:ascii="Times New Roman" w:hAnsi="Times New Roman"/>
                <w:color w:val="000000"/>
                <w:sz w:val="16"/>
              </w:rPr>
              <w:t>Keyboard operation, adequate contrast, meaningful labels, responsive design, and compatible error messages.</w:t>
            </w:r>
          </w:p>
        </w:tc>
      </w:tr>
      <w:tr>
        <w:tc>
          <w:tcPr>
            <w:tcW w:type="dxa" w:w="4644"/>
            <w:vAlign w:val="top"/>
          </w:tcPr>
          <w:p>
            <w:pPr>
              <w:spacing w:line="240" w:lineRule="auto" w:after="0"/>
              <w:jc w:val="left"/>
            </w:pPr>
            <w:r>
              <w:rPr>
                <w:rFonts w:ascii="Times New Roman" w:hAnsi="Times New Roman"/>
                <w:color w:val="000000"/>
                <w:sz w:val="16"/>
              </w:rPr>
              <w:t>Maintainability</w:t>
            </w:r>
          </w:p>
        </w:tc>
        <w:tc>
          <w:tcPr>
            <w:tcW w:type="dxa" w:w="4644"/>
            <w:vAlign w:val="top"/>
          </w:tcPr>
          <w:p>
            <w:pPr>
              <w:spacing w:line="240" w:lineRule="auto" w:after="0"/>
              <w:jc w:val="left"/>
            </w:pPr>
            <w:r>
              <w:rPr>
                <w:rFonts w:ascii="Times New Roman" w:hAnsi="Times New Roman"/>
                <w:color w:val="000000"/>
                <w:sz w:val="16"/>
              </w:rPr>
              <w:t>Typed modular code, documented APIs, migrations, tests, version control, and configuration separation.</w:t>
            </w:r>
          </w:p>
        </w:tc>
      </w:tr>
      <w:tr>
        <w:tc>
          <w:tcPr>
            <w:tcW w:type="dxa" w:w="4644"/>
            <w:vAlign w:val="top"/>
          </w:tcPr>
          <w:p>
            <w:pPr>
              <w:spacing w:line="240" w:lineRule="auto" w:after="0"/>
              <w:jc w:val="left"/>
            </w:pPr>
            <w:r>
              <w:rPr>
                <w:rFonts w:ascii="Times New Roman" w:hAnsi="Times New Roman"/>
                <w:color w:val="000000"/>
                <w:sz w:val="16"/>
              </w:rPr>
              <w:t>Scalability</w:t>
            </w:r>
          </w:p>
        </w:tc>
        <w:tc>
          <w:tcPr>
            <w:tcW w:type="dxa" w:w="4644"/>
            <w:vAlign w:val="top"/>
          </w:tcPr>
          <w:p>
            <w:pPr>
              <w:spacing w:line="240" w:lineRule="auto" w:after="0"/>
              <w:jc w:val="left"/>
            </w:pPr>
            <w:r>
              <w:rPr>
                <w:rFonts w:ascii="Times New Roman" w:hAnsi="Times New Roman"/>
                <w:color w:val="000000"/>
                <w:sz w:val="16"/>
              </w:rPr>
              <w:t>Support growth in users, institutions, audiences, announcements, messages, notifications, and audit records.</w:t>
            </w:r>
          </w:p>
        </w:tc>
      </w:tr>
      <w:tr>
        <w:tc>
          <w:tcPr>
            <w:tcW w:type="dxa" w:w="4644"/>
            <w:vAlign w:val="top"/>
          </w:tcPr>
          <w:p>
            <w:pPr>
              <w:spacing w:line="240" w:lineRule="auto" w:after="0"/>
              <w:jc w:val="left"/>
            </w:pPr>
            <w:r>
              <w:rPr>
                <w:rFonts w:ascii="Times New Roman" w:hAnsi="Times New Roman"/>
                <w:color w:val="000000"/>
                <w:sz w:val="16"/>
              </w:rPr>
              <w:t>Data Integrity</w:t>
            </w:r>
          </w:p>
        </w:tc>
        <w:tc>
          <w:tcPr>
            <w:tcW w:type="dxa" w:w="4644"/>
            <w:vAlign w:val="top"/>
          </w:tcPr>
          <w:p>
            <w:pPr>
              <w:spacing w:line="240" w:lineRule="auto" w:after="0"/>
              <w:jc w:val="left"/>
            </w:pPr>
            <w:r>
              <w:rPr>
                <w:rFonts w:ascii="Times New Roman" w:hAnsi="Times New Roman"/>
                <w:color w:val="000000"/>
                <w:sz w:val="16"/>
              </w:rPr>
              <w:t>Use constraints, transactions, unique identifiers, foreign keys, and validation to prevent inconsistent records.</w:t>
            </w:r>
          </w:p>
        </w:tc>
      </w:tr>
      <w:tr>
        <w:tc>
          <w:tcPr>
            <w:tcW w:type="dxa" w:w="4644"/>
            <w:vAlign w:val="top"/>
          </w:tcPr>
          <w:p>
            <w:pPr>
              <w:spacing w:line="240" w:lineRule="auto" w:after="0"/>
              <w:jc w:val="left"/>
            </w:pPr>
            <w:r>
              <w:rPr>
                <w:rFonts w:ascii="Times New Roman" w:hAnsi="Times New Roman"/>
                <w:color w:val="000000"/>
                <w:sz w:val="16"/>
              </w:rPr>
              <w:t>Auditability</w:t>
            </w:r>
          </w:p>
        </w:tc>
        <w:tc>
          <w:tcPr>
            <w:tcW w:type="dxa" w:w="4644"/>
            <w:vAlign w:val="top"/>
          </w:tcPr>
          <w:p>
            <w:pPr>
              <w:spacing w:line="240" w:lineRule="auto" w:after="0"/>
              <w:jc w:val="left"/>
            </w:pPr>
            <w:r>
              <w:rPr>
                <w:rFonts w:ascii="Times New Roman" w:hAnsi="Times New Roman"/>
                <w:color w:val="000000"/>
                <w:sz w:val="16"/>
              </w:rPr>
              <w:t>Record important actions with actor, time, affected record, and relevant metadata.</w:t>
            </w:r>
          </w:p>
        </w:tc>
      </w:tr>
    </w:tbl>
    <w:p>
      <w:pPr>
        <w:spacing w:before="60" w:after="160"/>
        <w:jc w:val="center"/>
      </w:pPr>
      <w:r>
        <w:rPr>
          <w:rFonts w:ascii="Times New Roman" w:hAnsi="Times New Roman"/>
          <w:i/>
          <w:color w:val="000000"/>
          <w:sz w:val="20"/>
        </w:rPr>
        <w:t>Table 3.5: Non-functional requirements</w:t>
      </w:r>
    </w:p>
    <w:p>
      <w:pPr>
        <w:pStyle w:val="Heading3"/>
      </w:pPr>
      <w:r>
        <w:t>3.8.3 Design Phase</w:t>
      </w:r>
    </w:p>
    <w:p>
      <w:pPr>
        <w:spacing w:line="360" w:lineRule="auto" w:after="120"/>
        <w:ind w:firstLine="461"/>
        <w:jc w:val="both"/>
      </w:pPr>
      <w:r>
        <w:rPr>
          <w:rFonts w:ascii="Times New Roman" w:hAnsi="Times New Roman" w:eastAsia="Times New Roman"/>
          <w:i w:val="0"/>
          <w:color w:val="000000"/>
          <w:sz w:val="24"/>
        </w:rPr>
        <w:t>The design phase translates the approved requirements into the layered architecture, role-specific interfaces, application services, workflow rules, API contracts, database schema, security controls, and test cases. The supplied diagrams present the major users, application layers, processes, and relational entities.</w:t>
      </w:r>
    </w:p>
    <w:p>
      <w:pPr>
        <w:pStyle w:val="Heading4"/>
      </w:pPr>
      <w:r>
        <w:t>3.8.3.1 High-Level System Architecture</w:t>
      </w:r>
    </w:p>
    <w:p>
      <w:pPr>
        <w:spacing w:line="360" w:lineRule="auto" w:after="120"/>
        <w:ind w:firstLine="461"/>
        <w:jc w:val="both"/>
      </w:pPr>
      <w:r>
        <w:rPr>
          <w:rFonts w:ascii="Times New Roman" w:hAnsi="Times New Roman" w:eastAsia="Times New Roman"/>
          <w:i w:val="0"/>
          <w:color w:val="000000"/>
          <w:sz w:val="24"/>
        </w:rPr>
        <w:t>The architecture contains a system-user layer, presentation layer, client-data and validation layer, API and security layer, application and business-services layer, data-access layer, PostgreSQL database layer, and external-services layer. The user layer includes the super administrator, institution administrator, department administrator, lecturer, student, and applicant. The presentation layer provides public and role-specific portals.</w:t>
      </w:r>
    </w:p>
    <w:p>
      <w:pPr>
        <w:spacing w:line="360" w:lineRule="auto" w:after="120"/>
        <w:ind w:firstLine="461"/>
        <w:jc w:val="both"/>
      </w:pPr>
      <w:r>
        <w:rPr>
          <w:rFonts w:ascii="Times New Roman" w:hAnsi="Times New Roman" w:eastAsia="Times New Roman"/>
          <w:i w:val="0"/>
          <w:color w:val="000000"/>
          <w:sz w:val="24"/>
        </w:rPr>
        <w:t>Application services include authentication, user and profile management, institutional structure, audience management, announcements, messaging, academic schedules, notifications, notification preferences, read and delivery tracking, search and archives, reporting and analytics, audit logging, and an external-service bus. Prisma ORM provides data access, while PostgreSQL stores authentication, institutional, communication, academic, notification, reporting, and security records.</w:t>
      </w:r>
    </w:p>
    <w:p>
      <w:pPr>
        <w:jc w:val="center"/>
      </w:pPr>
      <w:r>
        <w:drawing>
          <wp:inline xmlns:a="http://schemas.openxmlformats.org/drawingml/2006/main" xmlns:pic="http://schemas.openxmlformats.org/drawingml/2006/picture">
            <wp:extent cx="5852160" cy="621792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0"/>
                    <a:stretch>
                      <a:fillRect/>
                    </a:stretch>
                  </pic:blipFill>
                  <pic:spPr>
                    <a:xfrm>
                      <a:off x="0" y="0"/>
                      <a:ext cx="5852160" cy="6217920"/>
                    </a:xfrm>
                    <a:prstGeom prst="rect"/>
                  </pic:spPr>
                </pic:pic>
              </a:graphicData>
            </a:graphic>
          </wp:inline>
        </w:drawing>
      </w:r>
    </w:p>
    <w:p>
      <w:pPr>
        <w:spacing w:before="60" w:after="160"/>
        <w:jc w:val="center"/>
      </w:pPr>
      <w:r>
        <w:rPr>
          <w:rFonts w:ascii="Times New Roman" w:hAnsi="Times New Roman"/>
          <w:i/>
          <w:color w:val="000000"/>
          <w:sz w:val="20"/>
        </w:rPr>
        <w:t>Figure 3.1: High-level system architecture of the Smart Information Dissemination System</w:t>
      </w:r>
    </w:p>
    <w:p>
      <w:pPr>
        <w:sectPr>
          <w:footerReference w:type="default" r:id="rId9"/>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2541685"/>
            <wp:docPr id="2" name="Picture 2"/>
            <wp:cNvGraphicFramePr>
              <a:graphicFrameLocks noChangeAspect="1"/>
            </wp:cNvGraphicFramePr>
            <a:graphic>
              <a:graphicData uri="http://schemas.openxmlformats.org/drawingml/2006/picture">
                <pic:pic>
                  <pic:nvPicPr>
                    <pic:cNvPr id="0" name="architecture_part_1.png"/>
                    <pic:cNvPicPr/>
                  </pic:nvPicPr>
                  <pic:blipFill>
                    <a:blip r:embed="rId11"/>
                    <a:stretch>
                      <a:fillRect/>
                    </a:stretch>
                  </pic:blipFill>
                  <pic:spPr>
                    <a:xfrm>
                      <a:off x="0" y="0"/>
                      <a:ext cx="5989320" cy="2541685"/>
                    </a:xfrm>
                    <a:prstGeom prst="rect"/>
                  </pic:spPr>
                </pic:pic>
              </a:graphicData>
            </a:graphic>
          </wp:inline>
        </w:drawing>
      </w:r>
    </w:p>
    <w:p>
      <w:pPr>
        <w:spacing w:before="60" w:after="160"/>
        <w:jc w:val="center"/>
      </w:pPr>
      <w:r>
        <w:rPr>
          <w:rFonts w:ascii="Times New Roman" w:hAnsi="Times New Roman"/>
          <w:i/>
          <w:color w:val="000000"/>
          <w:sz w:val="20"/>
        </w:rPr>
        <w:t>Figure 3.1a: Architecture detail - system users, presentation portals, and client-state services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2695194"/>
            <wp:docPr id="3" name="Picture 3"/>
            <wp:cNvGraphicFramePr>
              <a:graphicFrameLocks noChangeAspect="1"/>
            </wp:cNvGraphicFramePr>
            <a:graphic>
              <a:graphicData uri="http://schemas.openxmlformats.org/drawingml/2006/picture">
                <pic:pic>
                  <pic:nvPicPr>
                    <pic:cNvPr id="0" name="architecture_part_2.png"/>
                    <pic:cNvPicPr/>
                  </pic:nvPicPr>
                  <pic:blipFill>
                    <a:blip r:embed="rId12"/>
                    <a:stretch>
                      <a:fillRect/>
                    </a:stretch>
                  </pic:blipFill>
                  <pic:spPr>
                    <a:xfrm>
                      <a:off x="0" y="0"/>
                      <a:ext cx="5989320" cy="2695194"/>
                    </a:xfrm>
                    <a:prstGeom prst="rect"/>
                  </pic:spPr>
                </pic:pic>
              </a:graphicData>
            </a:graphic>
          </wp:inline>
        </w:drawing>
      </w:r>
    </w:p>
    <w:p>
      <w:pPr>
        <w:spacing w:before="60" w:after="160"/>
        <w:jc w:val="center"/>
      </w:pPr>
      <w:r>
        <w:rPr>
          <w:rFonts w:ascii="Times New Roman" w:hAnsi="Times New Roman"/>
          <w:i/>
          <w:color w:val="000000"/>
          <w:sz w:val="20"/>
        </w:rPr>
        <w:t>Figure 3.1b: Architecture detail - API security and application business services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2093744"/>
            <wp:docPr id="4" name="Picture 4"/>
            <wp:cNvGraphicFramePr>
              <a:graphicFrameLocks noChangeAspect="1"/>
            </wp:cNvGraphicFramePr>
            <a:graphic>
              <a:graphicData uri="http://schemas.openxmlformats.org/drawingml/2006/picture">
                <pic:pic>
                  <pic:nvPicPr>
                    <pic:cNvPr id="0" name="architecture_part_3.png"/>
                    <pic:cNvPicPr/>
                  </pic:nvPicPr>
                  <pic:blipFill>
                    <a:blip r:embed="rId13"/>
                    <a:stretch>
                      <a:fillRect/>
                    </a:stretch>
                  </pic:blipFill>
                  <pic:spPr>
                    <a:xfrm>
                      <a:off x="0" y="0"/>
                      <a:ext cx="5989320" cy="2093744"/>
                    </a:xfrm>
                    <a:prstGeom prst="rect"/>
                  </pic:spPr>
                </pic:pic>
              </a:graphicData>
            </a:graphic>
          </wp:inline>
        </w:drawing>
      </w:r>
    </w:p>
    <w:p>
      <w:pPr>
        <w:spacing w:before="60" w:after="160"/>
        <w:jc w:val="center"/>
      </w:pPr>
      <w:r>
        <w:rPr>
          <w:rFonts w:ascii="Times New Roman" w:hAnsi="Times New Roman"/>
          <w:i/>
          <w:color w:val="000000"/>
          <w:sz w:val="20"/>
        </w:rPr>
        <w:t>Figure 3.1c: Architecture detail - data access, database modules, and external services</w:t>
      </w:r>
    </w:p>
    <w:p>
      <w:pPr>
        <w:sectPr>
          <w:type w:val="continuous"/>
          <w:pgSz w:w="12240" w:h="15840"/>
          <w:pgMar w:top="1296" w:right="1224" w:bottom="1152" w:left="1224" w:header="432" w:footer="504" w:gutter="0"/>
          <w:cols w:space="720"/>
          <w:docGrid w:linePitch="360"/>
          <w:pgNumType w:start="1"/>
        </w:sectPr>
      </w:pPr>
    </w:p>
    <w:p>
      <w:pPr>
        <w:pStyle w:val="Heading4"/>
      </w:pPr>
      <w:r>
        <w:t>3.8.3.2 System Flowchart</w:t>
      </w:r>
    </w:p>
    <w:p>
      <w:pPr>
        <w:spacing w:line="360" w:lineRule="auto" w:after="120"/>
        <w:ind w:firstLine="461"/>
        <w:jc w:val="both"/>
      </w:pPr>
      <w:r>
        <w:rPr>
          <w:rFonts w:ascii="Times New Roman" w:hAnsi="Times New Roman" w:eastAsia="Times New Roman"/>
          <w:i w:val="0"/>
          <w:color w:val="000000"/>
          <w:sz w:val="24"/>
        </w:rPr>
        <w:t>The system flowchart presents the main operational paths across authentication, role detection, institution and user management, announcement creation, audience selection, approval and publication, messaging, academic schedules, notification generation, external delivery, read tracking, reporting, and audit logging. Decision points reject invalid credentials, unauthorized actions, incomplete content, invalid audiences, and failed provider responses.</w:t>
      </w: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4832270"/>
            <wp:docPr id="5" name="Picture 5"/>
            <wp:cNvGraphicFramePr>
              <a:graphicFrameLocks noChangeAspect="1"/>
            </wp:cNvGraphicFramePr>
            <a:graphic>
              <a:graphicData uri="http://schemas.openxmlformats.org/drawingml/2006/picture">
                <pic:pic>
                  <pic:nvPicPr>
                    <pic:cNvPr id="0" name="flow_overview.png"/>
                    <pic:cNvPicPr/>
                  </pic:nvPicPr>
                  <pic:blipFill>
                    <a:blip r:embed="rId14"/>
                    <a:stretch>
                      <a:fillRect/>
                    </a:stretch>
                  </pic:blipFill>
                  <pic:spPr>
                    <a:xfrm>
                      <a:off x="0" y="0"/>
                      <a:ext cx="5989320" cy="4832270"/>
                    </a:xfrm>
                    <a:prstGeom prst="rect"/>
                  </pic:spPr>
                </pic:pic>
              </a:graphicData>
            </a:graphic>
          </wp:inline>
        </w:drawing>
      </w:r>
    </w:p>
    <w:p>
      <w:pPr>
        <w:spacing w:before="60" w:after="160"/>
        <w:jc w:val="center"/>
      </w:pPr>
      <w:r>
        <w:rPr>
          <w:rFonts w:ascii="Times New Roman" w:hAnsi="Times New Roman"/>
          <w:i/>
          <w:color w:val="000000"/>
          <w:sz w:val="20"/>
        </w:rPr>
        <w:t>Figure 3.2: Overview of the Smart Information Dissemination System flowchart</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1057692"/>
            <wp:docPr id="6" name="Picture 6"/>
            <wp:cNvGraphicFramePr>
              <a:graphicFrameLocks noChangeAspect="1"/>
            </wp:cNvGraphicFramePr>
            <a:graphic>
              <a:graphicData uri="http://schemas.openxmlformats.org/drawingml/2006/picture">
                <pic:pic>
                  <pic:nvPicPr>
                    <pic:cNvPr id="0" name="flow_part_1.png"/>
                    <pic:cNvPicPr/>
                  </pic:nvPicPr>
                  <pic:blipFill>
                    <a:blip r:embed="rId15"/>
                    <a:stretch>
                      <a:fillRect/>
                    </a:stretch>
                  </pic:blipFill>
                  <pic:spPr>
                    <a:xfrm>
                      <a:off x="0" y="0"/>
                      <a:ext cx="5989320" cy="1057692"/>
                    </a:xfrm>
                    <a:prstGeom prst="rect"/>
                  </pic:spPr>
                </pic:pic>
              </a:graphicData>
            </a:graphic>
          </wp:inline>
        </w:drawing>
      </w:r>
    </w:p>
    <w:p>
      <w:pPr>
        <w:spacing w:before="60" w:after="160"/>
        <w:jc w:val="center"/>
      </w:pPr>
      <w:r>
        <w:rPr>
          <w:rFonts w:ascii="Times New Roman" w:hAnsi="Times New Roman"/>
          <w:i/>
          <w:color w:val="000000"/>
          <w:sz w:val="20"/>
        </w:rPr>
        <w:t>Figure 3.2a: Flowchart detail - authentication, role resolution, and administrative setup</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1212493"/>
            <wp:docPr id="7" name="Picture 7"/>
            <wp:cNvGraphicFramePr>
              <a:graphicFrameLocks noChangeAspect="1"/>
            </wp:cNvGraphicFramePr>
            <a:graphic>
              <a:graphicData uri="http://schemas.openxmlformats.org/drawingml/2006/picture">
                <pic:pic>
                  <pic:nvPicPr>
                    <pic:cNvPr id="0" name="flow_part_2.png"/>
                    <pic:cNvPicPr/>
                  </pic:nvPicPr>
                  <pic:blipFill>
                    <a:blip r:embed="rId16"/>
                    <a:stretch>
                      <a:fillRect/>
                    </a:stretch>
                  </pic:blipFill>
                  <pic:spPr>
                    <a:xfrm>
                      <a:off x="0" y="0"/>
                      <a:ext cx="5989320" cy="1212493"/>
                    </a:xfrm>
                    <a:prstGeom prst="rect"/>
                  </pic:spPr>
                </pic:pic>
              </a:graphicData>
            </a:graphic>
          </wp:inline>
        </w:drawing>
      </w:r>
    </w:p>
    <w:p>
      <w:pPr>
        <w:spacing w:before="60" w:after="160"/>
        <w:jc w:val="center"/>
      </w:pPr>
      <w:r>
        <w:rPr>
          <w:rFonts w:ascii="Times New Roman" w:hAnsi="Times New Roman"/>
          <w:i/>
          <w:color w:val="000000"/>
          <w:sz w:val="20"/>
        </w:rPr>
        <w:t>Figure 3.2b: Flowchart detail - announcement preparation, audience selection, approval, and publication</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1406346"/>
            <wp:docPr id="8" name="Picture 8"/>
            <wp:cNvGraphicFramePr>
              <a:graphicFrameLocks noChangeAspect="1"/>
            </wp:cNvGraphicFramePr>
            <a:graphic>
              <a:graphicData uri="http://schemas.openxmlformats.org/drawingml/2006/picture">
                <pic:pic>
                  <pic:nvPicPr>
                    <pic:cNvPr id="0" name="flow_part_3.png"/>
                    <pic:cNvPicPr/>
                  </pic:nvPicPr>
                  <pic:blipFill>
                    <a:blip r:embed="rId17"/>
                    <a:stretch>
                      <a:fillRect/>
                    </a:stretch>
                  </pic:blipFill>
                  <pic:spPr>
                    <a:xfrm>
                      <a:off x="0" y="0"/>
                      <a:ext cx="5989320" cy="1406346"/>
                    </a:xfrm>
                    <a:prstGeom prst="rect"/>
                  </pic:spPr>
                </pic:pic>
              </a:graphicData>
            </a:graphic>
          </wp:inline>
        </w:drawing>
      </w:r>
    </w:p>
    <w:p>
      <w:pPr>
        <w:spacing w:before="60" w:after="160"/>
        <w:jc w:val="center"/>
      </w:pPr>
      <w:r>
        <w:rPr>
          <w:rFonts w:ascii="Times New Roman" w:hAnsi="Times New Roman"/>
          <w:i/>
          <w:color w:val="000000"/>
          <w:sz w:val="20"/>
        </w:rPr>
        <w:t>Figure 3.2c: Flowchart detail - messaging, academic schedules, and supporting communication processes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1164386"/>
            <wp:docPr id="9" name="Picture 9"/>
            <wp:cNvGraphicFramePr>
              <a:graphicFrameLocks noChangeAspect="1"/>
            </wp:cNvGraphicFramePr>
            <a:graphic>
              <a:graphicData uri="http://schemas.openxmlformats.org/drawingml/2006/picture">
                <pic:pic>
                  <pic:nvPicPr>
                    <pic:cNvPr id="0" name="flow_part_4.png"/>
                    <pic:cNvPicPr/>
                  </pic:nvPicPr>
                  <pic:blipFill>
                    <a:blip r:embed="rId18"/>
                    <a:stretch>
                      <a:fillRect/>
                    </a:stretch>
                  </pic:blipFill>
                  <pic:spPr>
                    <a:xfrm>
                      <a:off x="0" y="0"/>
                      <a:ext cx="5989320" cy="1164386"/>
                    </a:xfrm>
                    <a:prstGeom prst="rect"/>
                  </pic:spPr>
                </pic:pic>
              </a:graphicData>
            </a:graphic>
          </wp:inline>
        </w:drawing>
      </w:r>
    </w:p>
    <w:p>
      <w:pPr>
        <w:spacing w:before="60" w:after="160"/>
        <w:jc w:val="center"/>
      </w:pPr>
      <w:r>
        <w:rPr>
          <w:rFonts w:ascii="Times New Roman" w:hAnsi="Times New Roman"/>
          <w:i/>
          <w:color w:val="000000"/>
          <w:sz w:val="20"/>
        </w:rPr>
        <w:t>Figure 3.2d: Flowchart detail - notification creation, external delivery, and user interaction</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910624"/>
            <wp:docPr id="10" name="Picture 10"/>
            <wp:cNvGraphicFramePr>
              <a:graphicFrameLocks noChangeAspect="1"/>
            </wp:cNvGraphicFramePr>
            <a:graphic>
              <a:graphicData uri="http://schemas.openxmlformats.org/drawingml/2006/picture">
                <pic:pic>
                  <pic:nvPicPr>
                    <pic:cNvPr id="0" name="flow_part_5.png"/>
                    <pic:cNvPicPr/>
                  </pic:nvPicPr>
                  <pic:blipFill>
                    <a:blip r:embed="rId19"/>
                    <a:stretch>
                      <a:fillRect/>
                    </a:stretch>
                  </pic:blipFill>
                  <pic:spPr>
                    <a:xfrm>
                      <a:off x="0" y="0"/>
                      <a:ext cx="5989320" cy="910624"/>
                    </a:xfrm>
                    <a:prstGeom prst="rect"/>
                  </pic:spPr>
                </pic:pic>
              </a:graphicData>
            </a:graphic>
          </wp:inline>
        </w:drawing>
      </w:r>
    </w:p>
    <w:p>
      <w:pPr>
        <w:spacing w:before="60" w:after="160"/>
        <w:jc w:val="center"/>
      </w:pPr>
      <w:r>
        <w:rPr>
          <w:rFonts w:ascii="Times New Roman" w:hAnsi="Times New Roman"/>
          <w:i/>
          <w:color w:val="000000"/>
          <w:sz w:val="20"/>
        </w:rPr>
        <w:t>Figure 3.2e: Flowchart detail - read tracking, reporting, audit records, and data persistence</w:t>
      </w:r>
    </w:p>
    <w:p>
      <w:pPr>
        <w:sectPr>
          <w:type w:val="continuous"/>
          <w:pgSz w:w="12240" w:h="15840"/>
          <w:pgMar w:top="1296" w:right="1224" w:bottom="1152" w:left="1224" w:header="432" w:footer="504" w:gutter="0"/>
          <w:cols w:space="720"/>
          <w:docGrid w:linePitch="360"/>
          <w:pgNumType w:start="1"/>
        </w:sectPr>
      </w:pPr>
    </w:p>
    <w:p>
      <w:pPr>
        <w:pStyle w:val="Heading4"/>
      </w:pPr>
      <w:r>
        <w:t>3.8.3.3 Entity-Relationship Diagram and Database Design</w:t>
      </w:r>
    </w:p>
    <w:p>
      <w:pPr>
        <w:spacing w:line="360" w:lineRule="auto" w:after="120"/>
        <w:ind w:firstLine="461"/>
        <w:jc w:val="both"/>
      </w:pPr>
      <w:r>
        <w:rPr>
          <w:rFonts w:ascii="Times New Roman" w:hAnsi="Times New Roman" w:eastAsia="Times New Roman"/>
          <w:i w:val="0"/>
          <w:color w:val="000000"/>
          <w:sz w:val="24"/>
        </w:rPr>
        <w:t>The Entity-Relationship Diagram defines the data required to preserve users, roles, permissions, institutional structures, announcements, audiences, recipients, attachments, messages, threads, schedules, notifications, delivery records, preferences, sessions, reports, and audit logs. Primary keys identify records, while foreign keys and join entities preserve many-to-many relationships such as users and roles, roles and permissions, announcements and audiences, threads and participants, students and courses, and notices and recipients.</w:t>
      </w: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160233" cy="7086600"/>
            <wp:docPr id="11" name="Picture 11"/>
            <wp:cNvGraphicFramePr>
              <a:graphicFrameLocks noChangeAspect="1"/>
            </wp:cNvGraphicFramePr>
            <a:graphic>
              <a:graphicData uri="http://schemas.openxmlformats.org/drawingml/2006/picture">
                <pic:pic>
                  <pic:nvPicPr>
                    <pic:cNvPr id="0" name="erd_overview.png"/>
                    <pic:cNvPicPr/>
                  </pic:nvPicPr>
                  <pic:blipFill>
                    <a:blip r:embed="rId20"/>
                    <a:stretch>
                      <a:fillRect/>
                    </a:stretch>
                  </pic:blipFill>
                  <pic:spPr>
                    <a:xfrm>
                      <a:off x="0" y="0"/>
                      <a:ext cx="5160233" cy="7086600"/>
                    </a:xfrm>
                    <a:prstGeom prst="rect"/>
                  </pic:spPr>
                </pic:pic>
              </a:graphicData>
            </a:graphic>
          </wp:inline>
        </w:drawing>
      </w:r>
    </w:p>
    <w:p>
      <w:pPr>
        <w:spacing w:before="60" w:after="160"/>
        <w:jc w:val="center"/>
      </w:pPr>
      <w:r>
        <w:rPr>
          <w:rFonts w:ascii="Times New Roman" w:hAnsi="Times New Roman"/>
          <w:i/>
          <w:color w:val="000000"/>
          <w:sz w:val="20"/>
        </w:rPr>
        <w:t>Figure 3.3: Entity-Relationship Diagram of the Smart Information Dissemination System</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4671863" cy="7086600"/>
            <wp:docPr id="12" name="Picture 12"/>
            <wp:cNvGraphicFramePr>
              <a:graphicFrameLocks noChangeAspect="1"/>
            </wp:cNvGraphicFramePr>
            <a:graphic>
              <a:graphicData uri="http://schemas.openxmlformats.org/drawingml/2006/picture">
                <pic:pic>
                  <pic:nvPicPr>
                    <pic:cNvPr id="0" name="erd_part_1.png"/>
                    <pic:cNvPicPr/>
                  </pic:nvPicPr>
                  <pic:blipFill>
                    <a:blip r:embed="rId21"/>
                    <a:stretch>
                      <a:fillRect/>
                    </a:stretch>
                  </pic:blipFill>
                  <pic:spPr>
                    <a:xfrm>
                      <a:off x="0" y="0"/>
                      <a:ext cx="4671863" cy="7086600"/>
                    </a:xfrm>
                    <a:prstGeom prst="rect"/>
                  </pic:spPr>
                </pic:pic>
              </a:graphicData>
            </a:graphic>
          </wp:inline>
        </w:drawing>
      </w:r>
    </w:p>
    <w:p>
      <w:pPr>
        <w:spacing w:before="60" w:after="160"/>
        <w:jc w:val="center"/>
      </w:pPr>
      <w:r>
        <w:rPr>
          <w:rFonts w:ascii="Times New Roman" w:hAnsi="Times New Roman"/>
          <w:i/>
          <w:color w:val="000000"/>
          <w:sz w:val="20"/>
        </w:rPr>
        <w:t>Figure 3.3a: ERD detail - permissions, authentication, user accounts, and core communication entities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5709958"/>
            <wp:docPr id="13" name="Picture 13"/>
            <wp:cNvGraphicFramePr>
              <a:graphicFrameLocks noChangeAspect="1"/>
            </wp:cNvGraphicFramePr>
            <a:graphic>
              <a:graphicData uri="http://schemas.openxmlformats.org/drawingml/2006/picture">
                <pic:pic>
                  <pic:nvPicPr>
                    <pic:cNvPr id="0" name="erd_part_2.png"/>
                    <pic:cNvPicPr/>
                  </pic:nvPicPr>
                  <pic:blipFill>
                    <a:blip r:embed="rId22"/>
                    <a:stretch>
                      <a:fillRect/>
                    </a:stretch>
                  </pic:blipFill>
                  <pic:spPr>
                    <a:xfrm>
                      <a:off x="0" y="0"/>
                      <a:ext cx="5989320" cy="5709958"/>
                    </a:xfrm>
                    <a:prstGeom prst="rect"/>
                  </pic:spPr>
                </pic:pic>
              </a:graphicData>
            </a:graphic>
          </wp:inline>
        </w:drawing>
      </w:r>
    </w:p>
    <w:p>
      <w:pPr>
        <w:spacing w:before="60" w:after="160"/>
        <w:jc w:val="center"/>
      </w:pPr>
      <w:r>
        <w:rPr>
          <w:rFonts w:ascii="Times New Roman" w:hAnsi="Times New Roman"/>
          <w:i/>
          <w:color w:val="000000"/>
          <w:sz w:val="20"/>
        </w:rPr>
        <w:t>Figure 3.3b: ERD detail - announcements, recipients, attachments, messages, and message participants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5371456"/>
            <wp:docPr id="14" name="Picture 14"/>
            <wp:cNvGraphicFramePr>
              <a:graphicFrameLocks noChangeAspect="1"/>
            </wp:cNvGraphicFramePr>
            <a:graphic>
              <a:graphicData uri="http://schemas.openxmlformats.org/drawingml/2006/picture">
                <pic:pic>
                  <pic:nvPicPr>
                    <pic:cNvPr id="0" name="erd_part_3.png"/>
                    <pic:cNvPicPr/>
                  </pic:nvPicPr>
                  <pic:blipFill>
                    <a:blip r:embed="rId23"/>
                    <a:stretch>
                      <a:fillRect/>
                    </a:stretch>
                  </pic:blipFill>
                  <pic:spPr>
                    <a:xfrm>
                      <a:off x="0" y="0"/>
                      <a:ext cx="5989320" cy="5371456"/>
                    </a:xfrm>
                    <a:prstGeom prst="rect"/>
                  </pic:spPr>
                </pic:pic>
              </a:graphicData>
            </a:graphic>
          </wp:inline>
        </w:drawing>
      </w:r>
    </w:p>
    <w:p>
      <w:pPr>
        <w:spacing w:before="60" w:after="160"/>
        <w:jc w:val="center"/>
      </w:pPr>
      <w:r>
        <w:rPr>
          <w:rFonts w:ascii="Times New Roman" w:hAnsi="Times New Roman"/>
          <w:i/>
          <w:color w:val="000000"/>
          <w:sz w:val="20"/>
        </w:rPr>
        <w:t>Figure 3.3c: ERD detail - sessions, notification preferences, audit logs, and delivery-related entities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6843089"/>
            <wp:docPr id="15" name="Picture 15"/>
            <wp:cNvGraphicFramePr>
              <a:graphicFrameLocks noChangeAspect="1"/>
            </wp:cNvGraphicFramePr>
            <a:graphic>
              <a:graphicData uri="http://schemas.openxmlformats.org/drawingml/2006/picture">
                <pic:pic>
                  <pic:nvPicPr>
                    <pic:cNvPr id="0" name="erd_part_4.png"/>
                    <pic:cNvPicPr/>
                  </pic:nvPicPr>
                  <pic:blipFill>
                    <a:blip r:embed="rId24"/>
                    <a:stretch>
                      <a:fillRect/>
                    </a:stretch>
                  </pic:blipFill>
                  <pic:spPr>
                    <a:xfrm>
                      <a:off x="0" y="0"/>
                      <a:ext cx="5989320" cy="6843089"/>
                    </a:xfrm>
                    <a:prstGeom prst="rect"/>
                  </pic:spPr>
                </pic:pic>
              </a:graphicData>
            </a:graphic>
          </wp:inline>
        </w:drawing>
      </w:r>
    </w:p>
    <w:p>
      <w:pPr>
        <w:spacing w:before="60" w:after="160"/>
        <w:jc w:val="center"/>
      </w:pPr>
      <w:r>
        <w:rPr>
          <w:rFonts w:ascii="Times New Roman" w:hAnsi="Times New Roman"/>
          <w:i/>
          <w:color w:val="000000"/>
          <w:sz w:val="20"/>
        </w:rPr>
        <w:t>Figure 3.3d: ERD detail - notifications, academic audiences, and announcement-audience relationships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4556539"/>
            <wp:docPr id="16" name="Picture 16"/>
            <wp:cNvGraphicFramePr>
              <a:graphicFrameLocks noChangeAspect="1"/>
            </wp:cNvGraphicFramePr>
            <a:graphic>
              <a:graphicData uri="http://schemas.openxmlformats.org/drawingml/2006/picture">
                <pic:pic>
                  <pic:nvPicPr>
                    <pic:cNvPr id="0" name="erd_part_5.png"/>
                    <pic:cNvPicPr/>
                  </pic:nvPicPr>
                  <pic:blipFill>
                    <a:blip r:embed="rId25"/>
                    <a:stretch>
                      <a:fillRect/>
                    </a:stretch>
                  </pic:blipFill>
                  <pic:spPr>
                    <a:xfrm>
                      <a:off x="0" y="0"/>
                      <a:ext cx="5989320" cy="4556539"/>
                    </a:xfrm>
                    <a:prstGeom prst="rect"/>
                  </pic:spPr>
                </pic:pic>
              </a:graphicData>
            </a:graphic>
          </wp:inline>
        </w:drawing>
      </w:r>
    </w:p>
    <w:p>
      <w:pPr>
        <w:spacing w:before="60" w:after="160"/>
        <w:jc w:val="center"/>
      </w:pPr>
      <w:r>
        <w:rPr>
          <w:rFonts w:ascii="Times New Roman" w:hAnsi="Times New Roman"/>
          <w:i/>
          <w:color w:val="000000"/>
          <w:sz w:val="20"/>
        </w:rPr>
        <w:t>Figure 3.3e: ERD detail - institution, faculty, department, programme, course, and academic period entities</w:t>
      </w:r>
    </w:p>
    <w:p>
      <w:pPr>
        <w:sectPr>
          <w:type w:val="continuous"/>
          <w:pgSz w:w="12240" w:h="15840"/>
          <w:pgMar w:top="1296" w:right="1224" w:bottom="1152" w:left="1224" w:header="432" w:footer="504" w:gutter="0"/>
          <w:cols w:space="720"/>
          <w:docGrid w:linePitch="360"/>
          <w:pgNumType w:start="1"/>
        </w:sectPr>
      </w:pPr>
    </w:p>
    <w:p>
      <w:pPr>
        <w:sectPr>
          <w:type w:val="continuous"/>
          <w:pgSz w:w="12240" w:h="15840"/>
          <w:pgMar w:top="1296" w:right="1224" w:bottom="1152" w:left="1224" w:header="432" w:footer="504" w:gutter="0"/>
          <w:cols w:space="720"/>
          <w:docGrid w:linePitch="360"/>
          <w:pgNumType w:start="1"/>
        </w:sectPr>
      </w:pPr>
    </w:p>
    <w:p>
      <w:pPr>
        <w:jc w:val="center"/>
      </w:pPr>
      <w:r>
        <w:drawing>
          <wp:inline xmlns:a="http://schemas.openxmlformats.org/drawingml/2006/main" xmlns:pic="http://schemas.openxmlformats.org/drawingml/2006/picture">
            <wp:extent cx="5989320" cy="4224533"/>
            <wp:docPr id="17" name="Picture 17"/>
            <wp:cNvGraphicFramePr>
              <a:graphicFrameLocks noChangeAspect="1"/>
            </wp:cNvGraphicFramePr>
            <a:graphic>
              <a:graphicData uri="http://schemas.openxmlformats.org/drawingml/2006/picture">
                <pic:pic>
                  <pic:nvPicPr>
                    <pic:cNvPr id="0" name="erd_part_6.png"/>
                    <pic:cNvPicPr/>
                  </pic:nvPicPr>
                  <pic:blipFill>
                    <a:blip r:embed="rId26"/>
                    <a:stretch>
                      <a:fillRect/>
                    </a:stretch>
                  </pic:blipFill>
                  <pic:spPr>
                    <a:xfrm>
                      <a:off x="0" y="0"/>
                      <a:ext cx="5989320" cy="4224533"/>
                    </a:xfrm>
                    <a:prstGeom prst="rect"/>
                  </pic:spPr>
                </pic:pic>
              </a:graphicData>
            </a:graphic>
          </wp:inline>
        </w:drawing>
      </w:r>
    </w:p>
    <w:p>
      <w:pPr>
        <w:spacing w:before="60" w:after="160"/>
        <w:jc w:val="center"/>
      </w:pPr>
      <w:r>
        <w:rPr>
          <w:rFonts w:ascii="Times New Roman" w:hAnsi="Times New Roman"/>
          <w:i/>
          <w:color w:val="000000"/>
          <w:sz w:val="20"/>
        </w:rPr>
        <w:t>Figure 3.3f: ERD detail - course enrolment, lecturer assignments, student audiences, and academic schedules</w:t>
      </w:r>
    </w:p>
    <w:p>
      <w:pPr>
        <w:sectPr>
          <w:type w:val="continuous"/>
          <w:pgSz w:w="12240" w:h="15840"/>
          <w:pgMar w:top="1296" w:right="1224" w:bottom="1152" w:left="1224" w:header="432" w:footer="504" w:gutter="0"/>
          <w:cols w:space="720"/>
          <w:docGrid w:linePitch="360"/>
          <w:pgNumType w:start="1"/>
        </w:sectPr>
      </w:pP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6"/>
              </w:rPr>
              <w:t>Entity Group</w:t>
            </w:r>
          </w:p>
        </w:tc>
        <w:tc>
          <w:tcPr>
            <w:tcW w:type="dxa" w:w="4644"/>
            <w:shd w:fill="E8EEF7"/>
            <w:vAlign w:val="center"/>
          </w:tcPr>
          <w:p>
            <w:pPr>
              <w:spacing w:after="0"/>
              <w:jc w:val="center"/>
            </w:pPr>
            <w:r>
              <w:rPr>
                <w:rFonts w:ascii="Times New Roman" w:hAnsi="Times New Roman"/>
                <w:b/>
                <w:color w:val="000000"/>
                <w:sz w:val="16"/>
              </w:rPr>
              <w:t>Purpose</w:t>
            </w:r>
          </w:p>
        </w:tc>
      </w:tr>
      <w:tr>
        <w:tc>
          <w:tcPr>
            <w:tcW w:type="dxa" w:w="4644"/>
            <w:vAlign w:val="top"/>
          </w:tcPr>
          <w:p>
            <w:pPr>
              <w:spacing w:line="240" w:lineRule="auto" w:after="0"/>
              <w:jc w:val="left"/>
            </w:pPr>
            <w:r>
              <w:rPr>
                <w:rFonts w:ascii="Times New Roman" w:hAnsi="Times New Roman"/>
                <w:color w:val="000000"/>
                <w:sz w:val="16"/>
              </w:rPr>
              <w:t>User, Session, Role, Permission, UserRole, RolePermission</w:t>
            </w:r>
          </w:p>
        </w:tc>
        <w:tc>
          <w:tcPr>
            <w:tcW w:type="dxa" w:w="4644"/>
            <w:vAlign w:val="top"/>
          </w:tcPr>
          <w:p>
            <w:pPr>
              <w:spacing w:line="240" w:lineRule="auto" w:after="0"/>
              <w:jc w:val="left"/>
            </w:pPr>
            <w:r>
              <w:rPr>
                <w:rFonts w:ascii="Times New Roman" w:hAnsi="Times New Roman"/>
                <w:color w:val="000000"/>
                <w:sz w:val="16"/>
              </w:rPr>
              <w:t>Identity, authentication, account status, sessions, and authorization.</w:t>
            </w:r>
          </w:p>
        </w:tc>
      </w:tr>
      <w:tr>
        <w:tc>
          <w:tcPr>
            <w:tcW w:type="dxa" w:w="4644"/>
            <w:vAlign w:val="top"/>
          </w:tcPr>
          <w:p>
            <w:pPr>
              <w:spacing w:line="240" w:lineRule="auto" w:after="0"/>
              <w:jc w:val="left"/>
            </w:pPr>
            <w:r>
              <w:rPr>
                <w:rFonts w:ascii="Times New Roman" w:hAnsi="Times New Roman"/>
                <w:color w:val="000000"/>
                <w:sz w:val="16"/>
              </w:rPr>
              <w:t>Institution, Faculty, Department, Programme, Course, ClassGroup</w:t>
            </w:r>
          </w:p>
        </w:tc>
        <w:tc>
          <w:tcPr>
            <w:tcW w:type="dxa" w:w="4644"/>
            <w:vAlign w:val="top"/>
          </w:tcPr>
          <w:p>
            <w:pPr>
              <w:spacing w:line="240" w:lineRule="auto" w:after="0"/>
              <w:jc w:val="left"/>
            </w:pPr>
            <w:r>
              <w:rPr>
                <w:rFonts w:ascii="Times New Roman" w:hAnsi="Times New Roman"/>
                <w:color w:val="000000"/>
                <w:sz w:val="16"/>
              </w:rPr>
              <w:t>Institutional and academic hierarchy used for audience targeting.</w:t>
            </w:r>
          </w:p>
        </w:tc>
      </w:tr>
      <w:tr>
        <w:tc>
          <w:tcPr>
            <w:tcW w:type="dxa" w:w="4644"/>
            <w:vAlign w:val="top"/>
          </w:tcPr>
          <w:p>
            <w:pPr>
              <w:spacing w:line="240" w:lineRule="auto" w:after="0"/>
              <w:jc w:val="left"/>
            </w:pPr>
            <w:r>
              <w:rPr>
                <w:rFonts w:ascii="Times New Roman" w:hAnsi="Times New Roman"/>
                <w:color w:val="000000"/>
                <w:sz w:val="16"/>
              </w:rPr>
              <w:t>AcademicYear, Semester, AcademicSchedule</w:t>
            </w:r>
          </w:p>
        </w:tc>
        <w:tc>
          <w:tcPr>
            <w:tcW w:type="dxa" w:w="4644"/>
            <w:vAlign w:val="top"/>
          </w:tcPr>
          <w:p>
            <w:pPr>
              <w:spacing w:line="240" w:lineRule="auto" w:after="0"/>
              <w:jc w:val="left"/>
            </w:pPr>
            <w:r>
              <w:rPr>
                <w:rFonts w:ascii="Times New Roman" w:hAnsi="Times New Roman"/>
                <w:color w:val="000000"/>
                <w:sz w:val="16"/>
              </w:rPr>
              <w:t>Academic periods, schedules, deadlines, and time-bound events.</w:t>
            </w:r>
          </w:p>
        </w:tc>
      </w:tr>
      <w:tr>
        <w:tc>
          <w:tcPr>
            <w:tcW w:type="dxa" w:w="4644"/>
            <w:vAlign w:val="top"/>
          </w:tcPr>
          <w:p>
            <w:pPr>
              <w:spacing w:line="240" w:lineRule="auto" w:after="0"/>
              <w:jc w:val="left"/>
            </w:pPr>
            <w:r>
              <w:rPr>
                <w:rFonts w:ascii="Times New Roman" w:hAnsi="Times New Roman"/>
                <w:color w:val="000000"/>
                <w:sz w:val="16"/>
              </w:rPr>
              <w:t>Announcement, AnnouncementRecipient, SavedAnnouncement, Attachment</w:t>
            </w:r>
          </w:p>
        </w:tc>
        <w:tc>
          <w:tcPr>
            <w:tcW w:type="dxa" w:w="4644"/>
            <w:vAlign w:val="top"/>
          </w:tcPr>
          <w:p>
            <w:pPr>
              <w:spacing w:line="240" w:lineRule="auto" w:after="0"/>
              <w:jc w:val="left"/>
            </w:pPr>
            <w:r>
              <w:rPr>
                <w:rFonts w:ascii="Times New Roman" w:hAnsi="Times New Roman"/>
                <w:color w:val="000000"/>
                <w:sz w:val="16"/>
              </w:rPr>
              <w:t>Official notices, delivery recipients, saved content, and attached files.</w:t>
            </w:r>
          </w:p>
        </w:tc>
      </w:tr>
      <w:tr>
        <w:tc>
          <w:tcPr>
            <w:tcW w:type="dxa" w:w="4644"/>
            <w:vAlign w:val="top"/>
          </w:tcPr>
          <w:p>
            <w:pPr>
              <w:spacing w:line="240" w:lineRule="auto" w:after="0"/>
              <w:jc w:val="left"/>
            </w:pPr>
            <w:r>
              <w:rPr>
                <w:rFonts w:ascii="Times New Roman" w:hAnsi="Times New Roman"/>
                <w:color w:val="000000"/>
                <w:sz w:val="16"/>
              </w:rPr>
              <w:t>AnnouncementAudience and academic audience entities</w:t>
            </w:r>
          </w:p>
        </w:tc>
        <w:tc>
          <w:tcPr>
            <w:tcW w:type="dxa" w:w="4644"/>
            <w:vAlign w:val="top"/>
          </w:tcPr>
          <w:p>
            <w:pPr>
              <w:spacing w:line="240" w:lineRule="auto" w:after="0"/>
              <w:jc w:val="left"/>
            </w:pPr>
            <w:r>
              <w:rPr>
                <w:rFonts w:ascii="Times New Roman" w:hAnsi="Times New Roman"/>
                <w:color w:val="000000"/>
                <w:sz w:val="16"/>
              </w:rPr>
              <w:t>Audience rules that connect notices to institutional and academic groups.</w:t>
            </w:r>
          </w:p>
        </w:tc>
      </w:tr>
      <w:tr>
        <w:tc>
          <w:tcPr>
            <w:tcW w:type="dxa" w:w="4644"/>
            <w:vAlign w:val="top"/>
          </w:tcPr>
          <w:p>
            <w:pPr>
              <w:spacing w:line="240" w:lineRule="auto" w:after="0"/>
              <w:jc w:val="left"/>
            </w:pPr>
            <w:r>
              <w:rPr>
                <w:rFonts w:ascii="Times New Roman" w:hAnsi="Times New Roman"/>
                <w:color w:val="000000"/>
                <w:sz w:val="16"/>
              </w:rPr>
              <w:t>MessageThread, ThreadParticipant, Message, MessageParticipant</w:t>
            </w:r>
          </w:p>
        </w:tc>
        <w:tc>
          <w:tcPr>
            <w:tcW w:type="dxa" w:w="4644"/>
            <w:vAlign w:val="top"/>
          </w:tcPr>
          <w:p>
            <w:pPr>
              <w:spacing w:line="240" w:lineRule="auto" w:after="0"/>
              <w:jc w:val="left"/>
            </w:pPr>
            <w:r>
              <w:rPr>
                <w:rFonts w:ascii="Times New Roman" w:hAnsi="Times New Roman"/>
                <w:color w:val="000000"/>
                <w:sz w:val="16"/>
              </w:rPr>
              <w:t>Direct and threaded communication, membership, and read state.</w:t>
            </w:r>
          </w:p>
        </w:tc>
      </w:tr>
      <w:tr>
        <w:tc>
          <w:tcPr>
            <w:tcW w:type="dxa" w:w="4644"/>
            <w:vAlign w:val="top"/>
          </w:tcPr>
          <w:p>
            <w:pPr>
              <w:spacing w:line="240" w:lineRule="auto" w:after="0"/>
              <w:jc w:val="left"/>
            </w:pPr>
            <w:r>
              <w:rPr>
                <w:rFonts w:ascii="Times New Roman" w:hAnsi="Times New Roman"/>
                <w:color w:val="000000"/>
                <w:sz w:val="16"/>
              </w:rPr>
              <w:t>Notification, NotificationDelivery, NotificationPreference, NotificationTemplate</w:t>
            </w:r>
          </w:p>
        </w:tc>
        <w:tc>
          <w:tcPr>
            <w:tcW w:type="dxa" w:w="4644"/>
            <w:vAlign w:val="top"/>
          </w:tcPr>
          <w:p>
            <w:pPr>
              <w:spacing w:line="240" w:lineRule="auto" w:after="0"/>
              <w:jc w:val="left"/>
            </w:pPr>
            <w:r>
              <w:rPr>
                <w:rFonts w:ascii="Times New Roman" w:hAnsi="Times New Roman"/>
                <w:color w:val="000000"/>
                <w:sz w:val="16"/>
              </w:rPr>
              <w:t>In-app and external delivery, user preferences, and message templates.</w:t>
            </w:r>
          </w:p>
        </w:tc>
      </w:tr>
      <w:tr>
        <w:tc>
          <w:tcPr>
            <w:tcW w:type="dxa" w:w="4644"/>
            <w:vAlign w:val="top"/>
          </w:tcPr>
          <w:p>
            <w:pPr>
              <w:spacing w:line="240" w:lineRule="auto" w:after="0"/>
              <w:jc w:val="left"/>
            </w:pPr>
            <w:r>
              <w:rPr>
                <w:rFonts w:ascii="Times New Roman" w:hAnsi="Times New Roman"/>
                <w:color w:val="000000"/>
                <w:sz w:val="16"/>
              </w:rPr>
              <w:t>AuditLog and generated reports</w:t>
            </w:r>
          </w:p>
        </w:tc>
        <w:tc>
          <w:tcPr>
            <w:tcW w:type="dxa" w:w="4644"/>
            <w:vAlign w:val="top"/>
          </w:tcPr>
          <w:p>
            <w:pPr>
              <w:spacing w:line="240" w:lineRule="auto" w:after="0"/>
              <w:jc w:val="left"/>
            </w:pPr>
            <w:r>
              <w:rPr>
                <w:rFonts w:ascii="Times New Roman" w:hAnsi="Times New Roman"/>
                <w:color w:val="000000"/>
                <w:sz w:val="16"/>
              </w:rPr>
              <w:t>Traceability, reporting, and administrative accountability.</w:t>
            </w:r>
          </w:p>
        </w:tc>
      </w:tr>
    </w:tbl>
    <w:p>
      <w:pPr>
        <w:spacing w:before="60" w:after="160"/>
        <w:jc w:val="center"/>
      </w:pPr>
      <w:r>
        <w:rPr>
          <w:rFonts w:ascii="Times New Roman" w:hAnsi="Times New Roman"/>
          <w:i/>
          <w:color w:val="000000"/>
          <w:sz w:val="20"/>
        </w:rPr>
        <w:t>Table 3.6: Major database entity groups</w:t>
      </w:r>
    </w:p>
    <w:p>
      <w:pPr>
        <w:pStyle w:val="Heading3"/>
      </w:pPr>
      <w:r>
        <w:t>3.8.4 Implementation Phase</w:t>
      </w:r>
    </w:p>
    <w:p>
      <w:pPr>
        <w:spacing w:line="360" w:lineRule="auto" w:after="120"/>
        <w:ind w:firstLine="461"/>
        <w:jc w:val="both"/>
      </w:pPr>
      <w:r>
        <w:rPr>
          <w:rFonts w:ascii="Times New Roman" w:hAnsi="Times New Roman" w:eastAsia="Times New Roman"/>
          <w:i w:val="0"/>
          <w:color w:val="000000"/>
          <w:sz w:val="24"/>
        </w:rPr>
        <w:t>Implementation will begin with project configuration, the Prisma schema, PostgreSQL migrations, authentication, sessions, roles, permissions, and institutional structures. The announcement, audience, attachment, schedule, messaging, notification, preference, delivery, reporting, and audit modules will then be developed in prioritized iterations.</w:t>
      </w:r>
    </w:p>
    <w:p>
      <w:pPr>
        <w:spacing w:line="360" w:lineRule="auto" w:after="120"/>
        <w:ind w:firstLine="461"/>
        <w:jc w:val="both"/>
      </w:pPr>
      <w:r>
        <w:rPr>
          <w:rFonts w:ascii="Times New Roman" w:hAnsi="Times New Roman" w:eastAsia="Times New Roman"/>
          <w:i w:val="0"/>
          <w:color w:val="000000"/>
          <w:sz w:val="24"/>
        </w:rPr>
        <w:t>Server routes will validate requests and enforce authorization before accessing data. Transactions will protect multi-record operations such as publishing an announcement and creating recipients or notifications. Background or queued processes may be used for email and SMS delivery so that external-provider delays do not block the user interface. Automated tests will verify audience resolution, permissions, notification generation, read tracking, schedule updates, and report calculations.</w:t>
      </w:r>
    </w:p>
    <w:p>
      <w:pPr>
        <w:pStyle w:val="Heading2"/>
      </w:pPr>
      <w:r>
        <w:t>3.9 Testing, Deployment, and Maintenance Plan</w:t>
      </w:r>
    </w:p>
    <w:tbl>
      <w:tblPr>
        <w:tblStyle w:val="TableGrid"/>
        <w:tblW w:type="auto" w:w="0"/>
        <w:jc w:val="center"/>
        <w:tblLook w:firstColumn="1" w:firstRow="1" w:lastColumn="0" w:lastRow="0" w:noHBand="0" w:noVBand="1" w:val="04A0"/>
      </w:tblPr>
      <w:tblGrid>
        <w:gridCol w:w="4644"/>
        <w:gridCol w:w="4644"/>
      </w:tblGrid>
      <w:tr>
        <w:trPr>
          <w:tblHeader w:val="true"/>
        </w:trPr>
        <w:tc>
          <w:tcPr>
            <w:tcW w:type="dxa" w:w="4644"/>
            <w:shd w:fill="E8EEF7"/>
            <w:vAlign w:val="center"/>
          </w:tcPr>
          <w:p>
            <w:pPr>
              <w:spacing w:after="0"/>
              <w:jc w:val="center"/>
            </w:pPr>
            <w:r>
              <w:rPr>
                <w:rFonts w:ascii="Times New Roman" w:hAnsi="Times New Roman"/>
                <w:b/>
                <w:color w:val="000000"/>
                <w:sz w:val="16"/>
              </w:rPr>
              <w:t>Test Type</w:t>
            </w:r>
          </w:p>
        </w:tc>
        <w:tc>
          <w:tcPr>
            <w:tcW w:type="dxa" w:w="4644"/>
            <w:shd w:fill="E8EEF7"/>
            <w:vAlign w:val="center"/>
          </w:tcPr>
          <w:p>
            <w:pPr>
              <w:spacing w:after="0"/>
              <w:jc w:val="center"/>
            </w:pPr>
            <w:r>
              <w:rPr>
                <w:rFonts w:ascii="Times New Roman" w:hAnsi="Times New Roman"/>
                <w:b/>
                <w:color w:val="000000"/>
                <w:sz w:val="16"/>
              </w:rPr>
              <w:t>Purpose</w:t>
            </w:r>
          </w:p>
        </w:tc>
      </w:tr>
      <w:tr>
        <w:tc>
          <w:tcPr>
            <w:tcW w:type="dxa" w:w="4644"/>
            <w:vAlign w:val="top"/>
          </w:tcPr>
          <w:p>
            <w:pPr>
              <w:spacing w:line="240" w:lineRule="auto" w:after="0"/>
              <w:jc w:val="left"/>
            </w:pPr>
            <w:r>
              <w:rPr>
                <w:rFonts w:ascii="Times New Roman" w:hAnsi="Times New Roman"/>
                <w:color w:val="000000"/>
                <w:sz w:val="16"/>
              </w:rPr>
              <w:t>Unit testing</w:t>
            </w:r>
          </w:p>
        </w:tc>
        <w:tc>
          <w:tcPr>
            <w:tcW w:type="dxa" w:w="4644"/>
            <w:vAlign w:val="top"/>
          </w:tcPr>
          <w:p>
            <w:pPr>
              <w:spacing w:line="240" w:lineRule="auto" w:after="0"/>
              <w:jc w:val="left"/>
            </w:pPr>
            <w:r>
              <w:rPr>
                <w:rFonts w:ascii="Times New Roman" w:hAnsi="Times New Roman"/>
                <w:color w:val="000000"/>
                <w:sz w:val="16"/>
              </w:rPr>
              <w:t>Validate audience rules, permission checks, validators, unread calculations, notification preference logic, and report calculations.</w:t>
            </w:r>
          </w:p>
        </w:tc>
      </w:tr>
      <w:tr>
        <w:tc>
          <w:tcPr>
            <w:tcW w:type="dxa" w:w="4644"/>
            <w:vAlign w:val="top"/>
          </w:tcPr>
          <w:p>
            <w:pPr>
              <w:spacing w:line="240" w:lineRule="auto" w:after="0"/>
              <w:jc w:val="left"/>
            </w:pPr>
            <w:r>
              <w:rPr>
                <w:rFonts w:ascii="Times New Roman" w:hAnsi="Times New Roman"/>
                <w:color w:val="000000"/>
                <w:sz w:val="16"/>
              </w:rPr>
              <w:t>API testing</w:t>
            </w:r>
          </w:p>
        </w:tc>
        <w:tc>
          <w:tcPr>
            <w:tcW w:type="dxa" w:w="4644"/>
            <w:vAlign w:val="top"/>
          </w:tcPr>
          <w:p>
            <w:pPr>
              <w:spacing w:line="240" w:lineRule="auto" w:after="0"/>
              <w:jc w:val="left"/>
            </w:pPr>
            <w:r>
              <w:rPr>
                <w:rFonts w:ascii="Times New Roman" w:hAnsi="Times New Roman"/>
                <w:color w:val="000000"/>
                <w:sz w:val="16"/>
              </w:rPr>
              <w:t>Verify request validation, authentication, authorization, status codes, and database changes.</w:t>
            </w:r>
          </w:p>
        </w:tc>
      </w:tr>
      <w:tr>
        <w:tc>
          <w:tcPr>
            <w:tcW w:type="dxa" w:w="4644"/>
            <w:vAlign w:val="top"/>
          </w:tcPr>
          <w:p>
            <w:pPr>
              <w:spacing w:line="240" w:lineRule="auto" w:after="0"/>
              <w:jc w:val="left"/>
            </w:pPr>
            <w:r>
              <w:rPr>
                <w:rFonts w:ascii="Times New Roman" w:hAnsi="Times New Roman"/>
                <w:color w:val="000000"/>
                <w:sz w:val="16"/>
              </w:rPr>
              <w:t>Integration testing</w:t>
            </w:r>
          </w:p>
        </w:tc>
        <w:tc>
          <w:tcPr>
            <w:tcW w:type="dxa" w:w="4644"/>
            <w:vAlign w:val="top"/>
          </w:tcPr>
          <w:p>
            <w:pPr>
              <w:spacing w:line="240" w:lineRule="auto" w:after="0"/>
              <w:jc w:val="left"/>
            </w:pPr>
            <w:r>
              <w:rPr>
                <w:rFonts w:ascii="Times New Roman" w:hAnsi="Times New Roman"/>
                <w:color w:val="000000"/>
                <w:sz w:val="16"/>
              </w:rPr>
              <w:t>Test interactions among announcements, audiences, notifications, email/SMS delivery, messaging, schedules, and audit logs.</w:t>
            </w:r>
          </w:p>
        </w:tc>
      </w:tr>
      <w:tr>
        <w:tc>
          <w:tcPr>
            <w:tcW w:type="dxa" w:w="4644"/>
            <w:vAlign w:val="top"/>
          </w:tcPr>
          <w:p>
            <w:pPr>
              <w:spacing w:line="240" w:lineRule="auto" w:after="0"/>
              <w:jc w:val="left"/>
            </w:pPr>
            <w:r>
              <w:rPr>
                <w:rFonts w:ascii="Times New Roman" w:hAnsi="Times New Roman"/>
                <w:color w:val="000000"/>
                <w:sz w:val="16"/>
              </w:rPr>
              <w:t>Database testing</w:t>
            </w:r>
          </w:p>
        </w:tc>
        <w:tc>
          <w:tcPr>
            <w:tcW w:type="dxa" w:w="4644"/>
            <w:vAlign w:val="top"/>
          </w:tcPr>
          <w:p>
            <w:pPr>
              <w:spacing w:line="240" w:lineRule="auto" w:after="0"/>
              <w:jc w:val="left"/>
            </w:pPr>
            <w:r>
              <w:rPr>
                <w:rFonts w:ascii="Times New Roman" w:hAnsi="Times New Roman"/>
                <w:color w:val="000000"/>
                <w:sz w:val="16"/>
              </w:rPr>
              <w:t>Verify constraints, relationships, migrations, indexes, transactions, and tenant/institution scope.</w:t>
            </w:r>
          </w:p>
        </w:tc>
      </w:tr>
      <w:tr>
        <w:tc>
          <w:tcPr>
            <w:tcW w:type="dxa" w:w="4644"/>
            <w:vAlign w:val="top"/>
          </w:tcPr>
          <w:p>
            <w:pPr>
              <w:spacing w:line="240" w:lineRule="auto" w:after="0"/>
              <w:jc w:val="left"/>
            </w:pPr>
            <w:r>
              <w:rPr>
                <w:rFonts w:ascii="Times New Roman" w:hAnsi="Times New Roman"/>
                <w:color w:val="000000"/>
                <w:sz w:val="16"/>
              </w:rPr>
              <w:t>Security testing</w:t>
            </w:r>
          </w:p>
        </w:tc>
        <w:tc>
          <w:tcPr>
            <w:tcW w:type="dxa" w:w="4644"/>
            <w:vAlign w:val="top"/>
          </w:tcPr>
          <w:p>
            <w:pPr>
              <w:spacing w:line="240" w:lineRule="auto" w:after="0"/>
              <w:jc w:val="left"/>
            </w:pPr>
            <w:r>
              <w:rPr>
                <w:rFonts w:ascii="Times New Roman" w:hAnsi="Times New Roman"/>
                <w:color w:val="000000"/>
                <w:sz w:val="16"/>
              </w:rPr>
              <w:t>Test invalid sessions, direct URL access, role escalation, malicious inputs, attachment restrictions, and audit coverage.</w:t>
            </w:r>
          </w:p>
        </w:tc>
      </w:tr>
      <w:tr>
        <w:tc>
          <w:tcPr>
            <w:tcW w:type="dxa" w:w="4644"/>
            <w:vAlign w:val="top"/>
          </w:tcPr>
          <w:p>
            <w:pPr>
              <w:spacing w:line="240" w:lineRule="auto" w:after="0"/>
              <w:jc w:val="left"/>
            </w:pPr>
            <w:r>
              <w:rPr>
                <w:rFonts w:ascii="Times New Roman" w:hAnsi="Times New Roman"/>
                <w:color w:val="000000"/>
                <w:sz w:val="16"/>
              </w:rPr>
              <w:t>Performance testing</w:t>
            </w:r>
          </w:p>
        </w:tc>
        <w:tc>
          <w:tcPr>
            <w:tcW w:type="dxa" w:w="4644"/>
            <w:vAlign w:val="top"/>
          </w:tcPr>
          <w:p>
            <w:pPr>
              <w:spacing w:line="240" w:lineRule="auto" w:after="0"/>
              <w:jc w:val="left"/>
            </w:pPr>
            <w:r>
              <w:rPr>
                <w:rFonts w:ascii="Times New Roman" w:hAnsi="Times New Roman"/>
                <w:color w:val="000000"/>
                <w:sz w:val="16"/>
              </w:rPr>
              <w:t>Measure common page, search, publication, and notification operations under representative load.</w:t>
            </w:r>
          </w:p>
        </w:tc>
      </w:tr>
      <w:tr>
        <w:tc>
          <w:tcPr>
            <w:tcW w:type="dxa" w:w="4644"/>
            <w:vAlign w:val="top"/>
          </w:tcPr>
          <w:p>
            <w:pPr>
              <w:spacing w:line="240" w:lineRule="auto" w:after="0"/>
              <w:jc w:val="left"/>
            </w:pPr>
            <w:r>
              <w:rPr>
                <w:rFonts w:ascii="Times New Roman" w:hAnsi="Times New Roman"/>
                <w:color w:val="000000"/>
                <w:sz w:val="16"/>
              </w:rPr>
              <w:t>Accessibility testing</w:t>
            </w:r>
          </w:p>
        </w:tc>
        <w:tc>
          <w:tcPr>
            <w:tcW w:type="dxa" w:w="4644"/>
            <w:vAlign w:val="top"/>
          </w:tcPr>
          <w:p>
            <w:pPr>
              <w:spacing w:line="240" w:lineRule="auto" w:after="0"/>
              <w:jc w:val="left"/>
            </w:pPr>
            <w:r>
              <w:rPr>
                <w:rFonts w:ascii="Times New Roman" w:hAnsi="Times New Roman"/>
                <w:color w:val="000000"/>
                <w:sz w:val="16"/>
              </w:rPr>
              <w:t>Check keyboard navigation, labels, contrast, focus, errors, and responsive layouts.</w:t>
            </w:r>
          </w:p>
        </w:tc>
      </w:tr>
      <w:tr>
        <w:tc>
          <w:tcPr>
            <w:tcW w:type="dxa" w:w="4644"/>
            <w:vAlign w:val="top"/>
          </w:tcPr>
          <w:p>
            <w:pPr>
              <w:spacing w:line="240" w:lineRule="auto" w:after="0"/>
              <w:jc w:val="left"/>
            </w:pPr>
            <w:r>
              <w:rPr>
                <w:rFonts w:ascii="Times New Roman" w:hAnsi="Times New Roman"/>
                <w:color w:val="000000"/>
                <w:sz w:val="16"/>
              </w:rPr>
              <w:t>User-acceptance testing</w:t>
            </w:r>
          </w:p>
        </w:tc>
        <w:tc>
          <w:tcPr>
            <w:tcW w:type="dxa" w:w="4644"/>
            <w:vAlign w:val="top"/>
          </w:tcPr>
          <w:p>
            <w:pPr>
              <w:spacing w:line="240" w:lineRule="auto" w:after="0"/>
              <w:jc w:val="left"/>
            </w:pPr>
            <w:r>
              <w:rPr>
                <w:rFonts w:ascii="Times New Roman" w:hAnsi="Times New Roman"/>
                <w:color w:val="000000"/>
                <w:sz w:val="16"/>
              </w:rPr>
              <w:t>Allow representative users to complete role-specific tasks and rate usefulness, ease of use, and satisfaction.</w:t>
            </w:r>
          </w:p>
        </w:tc>
      </w:tr>
    </w:tbl>
    <w:p>
      <w:pPr>
        <w:spacing w:before="60" w:after="160"/>
        <w:jc w:val="center"/>
      </w:pPr>
      <w:r>
        <w:rPr>
          <w:rFonts w:ascii="Times New Roman" w:hAnsi="Times New Roman"/>
          <w:i/>
          <w:color w:val="000000"/>
          <w:sz w:val="20"/>
        </w:rPr>
        <w:t>Table 3.7: Testing strategy</w:t>
      </w:r>
    </w:p>
    <w:p>
      <w:pPr>
        <w:spacing w:line="360" w:lineRule="auto" w:after="120"/>
        <w:ind w:firstLine="461"/>
        <w:jc w:val="both"/>
      </w:pPr>
      <w:r>
        <w:rPr>
          <w:rFonts w:ascii="Times New Roman" w:hAnsi="Times New Roman" w:eastAsia="Times New Roman"/>
          <w:i w:val="0"/>
          <w:color w:val="000000"/>
          <w:sz w:val="24"/>
        </w:rPr>
        <w:t>The application will be deployed through a controlled source-control and continuous-deployment workflow. Environment variables will separate development, test, and production credentials. Production migrations, HTTPS, the application domain, SMTP, SMS, cloud storage, backups, logging, and monitoring will be configured before user acceptance. Maintenance will include dependency updates, security patches, backup verification, delivery-provider monitoring, correction of defects, and periodic review of roles and notification policies.</w:t>
      </w:r>
    </w:p>
    <w:p>
      <w:pPr>
        <w:pStyle w:val="Heading2"/>
      </w:pPr>
      <w:r>
        <w:t>3.10 Chapter Summary</w:t>
      </w:r>
    </w:p>
    <w:p>
      <w:pPr>
        <w:spacing w:line="360" w:lineRule="auto" w:after="120"/>
        <w:ind w:firstLine="461"/>
        <w:jc w:val="both"/>
      </w:pPr>
      <w:r>
        <w:rPr>
          <w:rFonts w:ascii="Times New Roman" w:hAnsi="Times New Roman" w:eastAsia="Times New Roman"/>
          <w:i w:val="0"/>
          <w:color w:val="000000"/>
          <w:sz w:val="24"/>
        </w:rPr>
        <w:t>This chapter presented the methodology for the Smart Information Dissemination System. It described the design-and-development approach, research setting, requirements instruments, ethical considerations, proposed system, tools, Agile process, SDLC phases, functional and non-functional requirements, architecture, flowchart, ERD, testing strategy, deployment, and maintenance. The next chapter demonstrates and evaluates the implemented prototype.</w:t>
      </w:r>
    </w:p>
    <w:p>
      <w:r>
        <w:br w:type="page"/>
      </w:r>
    </w:p>
    <w:p>
      <w:pPr>
        <w:spacing w:after="240"/>
        <w:jc w:val="center"/>
      </w:pPr>
      <w:r>
        <w:rPr>
          <w:rFonts w:ascii="Times New Roman" w:hAnsi="Times New Roman" w:eastAsia="Times New Roman"/>
          <w:b/>
          <w:color w:val="000000"/>
          <w:sz w:val="28"/>
        </w:rPr>
        <w:t>REFERENCES</w:t>
      </w:r>
    </w:p>
    <w:p>
      <w:pPr>
        <w:spacing w:line="360" w:lineRule="auto" w:after="120"/>
        <w:ind w:left="720" w:hanging="720"/>
        <w:jc w:val="left"/>
      </w:pPr>
      <w:r>
        <w:rPr>
          <w:rFonts w:ascii="Times New Roman" w:hAnsi="Times New Roman" w:eastAsia="Times New Roman"/>
          <w:color w:val="000000"/>
          <w:sz w:val="24"/>
        </w:rPr>
        <w:t>Fielding, R. T., &amp; Taylor, R. N. (2000). Architectural styles and the design of network-based software architectures. University of California, Irvine.</w:t>
      </w:r>
    </w:p>
    <w:p>
      <w:pPr>
        <w:spacing w:line="360" w:lineRule="auto" w:after="120"/>
        <w:ind w:left="720" w:hanging="720"/>
        <w:jc w:val="left"/>
      </w:pPr>
      <w:r>
        <w:rPr>
          <w:rFonts w:ascii="Times New Roman" w:hAnsi="Times New Roman" w:eastAsia="Times New Roman"/>
          <w:color w:val="000000"/>
          <w:sz w:val="24"/>
        </w:rPr>
        <w:t>Next.js. (2026). Next.js documentation.</w:t>
      </w:r>
    </w:p>
    <w:p>
      <w:pPr>
        <w:spacing w:line="360" w:lineRule="auto" w:after="120"/>
        <w:ind w:left="720" w:hanging="720"/>
        <w:jc w:val="left"/>
      </w:pPr>
      <w:r>
        <w:rPr>
          <w:rFonts w:ascii="Times New Roman" w:hAnsi="Times New Roman" w:eastAsia="Times New Roman"/>
          <w:color w:val="000000"/>
          <w:sz w:val="24"/>
        </w:rPr>
        <w:t>OWASP Foundation. (n.d.). OWASP Application Security Verification Standard.</w:t>
      </w:r>
    </w:p>
    <w:p>
      <w:pPr>
        <w:spacing w:line="360" w:lineRule="auto" w:after="120"/>
        <w:ind w:left="720" w:hanging="720"/>
        <w:jc w:val="left"/>
      </w:pPr>
      <w:r>
        <w:rPr>
          <w:rFonts w:ascii="Times New Roman" w:hAnsi="Times New Roman" w:eastAsia="Times New Roman"/>
          <w:color w:val="000000"/>
          <w:sz w:val="24"/>
        </w:rPr>
        <w:t>PostgreSQL Global Development Group. (2026). PostgreSQL documentation.</w:t>
      </w:r>
    </w:p>
    <w:p>
      <w:pPr>
        <w:spacing w:line="360" w:lineRule="auto" w:after="120"/>
        <w:ind w:left="720" w:hanging="720"/>
        <w:jc w:val="left"/>
      </w:pPr>
      <w:r>
        <w:rPr>
          <w:rFonts w:ascii="Times New Roman" w:hAnsi="Times New Roman" w:eastAsia="Times New Roman"/>
          <w:color w:val="000000"/>
          <w:sz w:val="24"/>
        </w:rPr>
        <w:t>Prisma Data, Inc. (2026). Prisma ORM documentation.</w:t>
      </w:r>
    </w:p>
    <w:p>
      <w:pPr>
        <w:spacing w:line="360" w:lineRule="auto" w:after="120"/>
        <w:ind w:left="720" w:hanging="720"/>
        <w:jc w:val="left"/>
      </w:pPr>
      <w:r>
        <w:rPr>
          <w:rFonts w:ascii="Times New Roman" w:hAnsi="Times New Roman" w:eastAsia="Times New Roman"/>
          <w:color w:val="000000"/>
          <w:sz w:val="24"/>
        </w:rPr>
        <w:t>Schwaber, K., &amp; Sutherland, J. (2020). The Scrum Guide.</w:t>
      </w:r>
    </w:p>
    <w:p>
      <w:pPr>
        <w:spacing w:line="360" w:lineRule="auto" w:after="120"/>
        <w:ind w:left="720" w:hanging="720"/>
        <w:jc w:val="left"/>
      </w:pPr>
      <w:r>
        <w:rPr>
          <w:rFonts w:ascii="Times New Roman" w:hAnsi="Times New Roman" w:eastAsia="Times New Roman"/>
          <w:color w:val="000000"/>
          <w:sz w:val="24"/>
        </w:rPr>
        <w:t>Sommerville, I. (2016). Software engineering (10th ed.). Pearson.</w:t>
      </w:r>
    </w:p>
    <w:p>
      <w:pPr>
        <w:spacing w:line="360" w:lineRule="auto" w:after="120"/>
        <w:ind w:left="720" w:hanging="720"/>
        <w:jc w:val="left"/>
      </w:pPr>
      <w:r>
        <w:rPr>
          <w:rFonts w:ascii="Times New Roman" w:hAnsi="Times New Roman" w:eastAsia="Times New Roman"/>
          <w:color w:val="000000"/>
          <w:sz w:val="24"/>
        </w:rPr>
        <w:t>World Wide Web Consortium. (2024). Web Content Accessibility Guidelines (WCAG) 2.2.</w:t>
      </w:r>
    </w:p>
    <w:sectPr w:rsidR="00FC693F" w:rsidRPr="0006063C" w:rsidSect="00034616">
      <w:type w:val="continuous"/>
      <w:pgSz w:w="12240" w:h="15840"/>
      <w:pgMar w:top="1296" w:right="1224" w:bottom="1152" w:left="1224" w:header="432"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