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color w:val="000000"/>
          <w:sz w:val="28"/>
        </w:rPr>
        <w:t>UNIVERSITY OF SKILLS TRAINING AND ENTREPRENEURIAL DEVELOPMENT</w:t>
      </w:r>
    </w:p>
    <w:p>
      <w:pPr>
        <w:spacing w:after="0"/>
        <w:jc w:val="center"/>
      </w:pPr>
      <w:r>
        <w:rPr>
          <w:rFonts w:ascii="Times New Roman" w:hAnsi="Times New Roman" w:eastAsia="Times New Roman"/>
          <w:b/>
          <w:color w:val="000000"/>
          <w:sz w:val="24"/>
        </w:rPr>
        <w:t>FACULTY OF APPLIED SCIENCES AND MATHEMATICS EDUCATION</w:t>
      </w:r>
    </w:p>
    <w:p>
      <w:pPr>
        <w:spacing w:after="440"/>
        <w:jc w:val="center"/>
      </w:pPr>
      <w:r>
        <w:rPr>
          <w:rFonts w:ascii="Times New Roman" w:hAnsi="Times New Roman" w:eastAsia="Times New Roman"/>
          <w:b/>
          <w:color w:val="000000"/>
          <w:sz w:val="24"/>
        </w:rPr>
        <w:t>DEPARTMENT OF INFORMATION TECHNOLOGY EDUCATION</w:t>
      </w:r>
    </w:p>
    <w:p>
      <w:pPr>
        <w:spacing w:after="560"/>
        <w:jc w:val="center"/>
      </w:pPr>
      <w:r>
        <w:rPr>
          <w:rFonts w:ascii="Times New Roman" w:hAnsi="Times New Roman" w:eastAsia="Times New Roman"/>
          <w:b/>
          <w:color w:val="000000"/>
          <w:sz w:val="28"/>
        </w:rPr>
        <w:t>DESIGN AND DEVELOPMENT OF A SMART INFORMATION DISSEMINATION SYSTEM FOR ENHANCED STUDENT COMMUNICATION IN HIGHER EDUCATION</w:t>
      </w:r>
    </w:p>
    <w:p>
      <w:pPr>
        <w:spacing w:after="200"/>
        <w:jc w:val="center"/>
      </w:pPr>
      <w:r>
        <w:rPr>
          <w:rFonts w:ascii="Times New Roman" w:hAnsi="Times New Roman" w:eastAsia="Times New Roman"/>
          <w:b/>
          <w:color w:val="000000"/>
          <w:sz w:val="24"/>
        </w:rPr>
        <w:t>BY</w:t>
      </w:r>
    </w:p>
    <w:p>
      <w:pPr>
        <w:spacing w:after="20"/>
        <w:jc w:val="center"/>
      </w:pPr>
      <w:r>
        <w:rPr>
          <w:rFonts w:ascii="Times New Roman" w:hAnsi="Times New Roman" w:eastAsia="Times New Roman"/>
          <w:b w:val="0"/>
          <w:color w:val="000000"/>
          <w:sz w:val="24"/>
        </w:rPr>
        <w:t>BADU ADWOA NTIRIWAA - 5221040008</w:t>
      </w:r>
    </w:p>
    <w:p>
      <w:pPr>
        <w:spacing w:after="20"/>
        <w:jc w:val="center"/>
      </w:pPr>
      <w:r>
        <w:rPr>
          <w:rFonts w:ascii="Times New Roman" w:hAnsi="Times New Roman" w:eastAsia="Times New Roman"/>
          <w:b w:val="0"/>
          <w:color w:val="000000"/>
          <w:sz w:val="24"/>
        </w:rPr>
        <w:t>APPIAH JUSTICE BARFO - 5221040041</w:t>
      </w:r>
    </w:p>
    <w:p>
      <w:pPr>
        <w:spacing w:after="20"/>
        <w:jc w:val="center"/>
      </w:pPr>
      <w:r>
        <w:rPr>
          <w:rFonts w:ascii="Times New Roman" w:hAnsi="Times New Roman" w:eastAsia="Times New Roman"/>
          <w:b w:val="0"/>
          <w:color w:val="000000"/>
          <w:sz w:val="24"/>
        </w:rPr>
        <w:t>ASARE EDMUND BEDIAKO - 5221040297</w:t>
      </w:r>
    </w:p>
    <w:p>
      <w:pPr>
        <w:spacing w:after="20"/>
        <w:jc w:val="center"/>
      </w:pPr>
      <w:r>
        <w:rPr>
          <w:rFonts w:ascii="Times New Roman" w:hAnsi="Times New Roman" w:eastAsia="Times New Roman"/>
          <w:b w:val="0"/>
          <w:color w:val="000000"/>
          <w:sz w:val="24"/>
        </w:rPr>
        <w:t>THEOPHILUS KING ASARE - 5221040017</w:t>
      </w:r>
    </w:p>
    <w:p>
      <w:pPr>
        <w:spacing w:after="20"/>
        <w:jc w:val="center"/>
      </w:pPr>
      <w:r>
        <w:rPr>
          <w:rFonts w:ascii="Times New Roman" w:hAnsi="Times New Roman" w:eastAsia="Times New Roman"/>
          <w:b w:val="0"/>
          <w:color w:val="000000"/>
          <w:sz w:val="24"/>
        </w:rPr>
        <w:t>KYEI GYAMFI SOLOMON - 5221040042</w:t>
      </w:r>
    </w:p>
    <w:p>
      <w:pPr>
        <w:spacing w:after="480"/>
        <w:jc w:val="center"/>
      </w:pPr>
      <w:r>
        <w:rPr>
          <w:rFonts w:ascii="Times New Roman" w:hAnsi="Times New Roman" w:eastAsia="Times New Roman"/>
          <w:b/>
          <w:color w:val="000000"/>
          <w:sz w:val="24"/>
        </w:rPr>
        <w:t>JULY, 2026</w:t>
      </w:r>
    </w:p>
    <w:p>
      <w:pPr>
        <w:spacing w:after="60"/>
        <w:jc w:val="center"/>
      </w:pPr>
      <w:r>
        <w:rPr>
          <w:rFonts w:ascii="Times New Roman" w:hAnsi="Times New Roman" w:eastAsia="Times New Roman"/>
          <w:b/>
          <w:color w:val="000000"/>
          <w:sz w:val="28"/>
        </w:rPr>
        <w:t>CHAPTER FIVE</w:t>
      </w:r>
    </w:p>
    <w:p>
      <w:pPr>
        <w:spacing w:after="0"/>
        <w:jc w:val="center"/>
      </w:pPr>
      <w:r>
        <w:rPr>
          <w:rFonts w:ascii="Times New Roman" w:hAnsi="Times New Roman" w:eastAsia="Times New Roman"/>
          <w:b/>
          <w:color w:val="000000"/>
          <w:sz w:val="28"/>
        </w:rPr>
        <w:t>SUMMARY, CONCLUSION AND RECOMMENDATIONS</w:t>
      </w:r>
    </w:p>
    <w:p>
      <w:pPr>
        <w:sectPr>
          <w:pgSz w:w="12240" w:h="15840"/>
          <w:pgMar w:top="1440" w:right="1440" w:bottom="1224" w:left="1512" w:header="432" w:footer="504" w:gutter="0"/>
          <w:cols w:space="720"/>
          <w:docGrid w:linePitch="360"/>
        </w:sectPr>
      </w:pPr>
    </w:p>
    <w:p>
      <w:pPr>
        <w:spacing w:after="60"/>
        <w:jc w:val="center"/>
      </w:pPr>
      <w:r>
        <w:rPr>
          <w:rFonts w:ascii="Times New Roman" w:hAnsi="Times New Roman" w:eastAsia="Times New Roman"/>
          <w:b/>
          <w:color w:val="000000"/>
          <w:sz w:val="28"/>
        </w:rPr>
        <w:t>CHAPTER FIVE</w:t>
      </w:r>
    </w:p>
    <w:p>
      <w:pPr>
        <w:spacing w:after="240"/>
        <w:jc w:val="center"/>
      </w:pPr>
      <w:r>
        <w:rPr>
          <w:rFonts w:ascii="Times New Roman" w:hAnsi="Times New Roman" w:eastAsia="Times New Roman"/>
          <w:b/>
          <w:color w:val="000000"/>
          <w:sz w:val="28"/>
        </w:rPr>
        <w:t>SUMMARY, CONCLUSION AND RECOMMENDATIONS</w:t>
      </w:r>
    </w:p>
    <w:p>
      <w:pPr>
        <w:pStyle w:val="Heading2"/>
      </w:pPr>
      <w:r>
        <w:t>5.1 Chapter Introduction</w:t>
      </w:r>
    </w:p>
    <w:p>
      <w:pPr>
        <w:spacing w:line="360" w:lineRule="auto" w:after="120"/>
        <w:ind w:firstLine="461"/>
        <w:jc w:val="both"/>
      </w:pPr>
      <w:r>
        <w:rPr>
          <w:rFonts w:ascii="Times New Roman" w:hAnsi="Times New Roman" w:eastAsia="Times New Roman"/>
          <w:i w:val="0"/>
          <w:color w:val="000000"/>
          <w:sz w:val="24"/>
        </w:rPr>
        <w:t>This chapter summarizes the Smart Information Dissemination System project, presents the conclusion supported by the completed analysis and design, reviews the project objectives, and provides recommendations for implementation and future improvement. Final claims about implemented functions and measured system quality must be updated after the Chapter Four evidence has been completed.</w:t>
      </w:r>
    </w:p>
    <w:p>
      <w:pPr>
        <w:pStyle w:val="Heading2"/>
      </w:pPr>
      <w:r>
        <w:t>5.2 Summary</w:t>
      </w:r>
    </w:p>
    <w:p>
      <w:pPr>
        <w:spacing w:line="360" w:lineRule="auto" w:after="120"/>
        <w:ind w:firstLine="461"/>
        <w:jc w:val="both"/>
      </w:pPr>
      <w:r>
        <w:rPr>
          <w:rFonts w:ascii="Times New Roman" w:hAnsi="Times New Roman" w:eastAsia="Times New Roman"/>
          <w:i w:val="0"/>
          <w:color w:val="000000"/>
          <w:sz w:val="24"/>
        </w:rPr>
        <w:t>The project addresses the fragmentation of institutional communication across physical notice boards, email, messaging groups, social media, telephone calls, portals, and verbal announcements. Fragmentation can lead to missed notices, irrelevant messages, repeated administrative effort, inconsistent versions, weak traceability, and difficulty determining whether information reached the intended audience.</w:t>
      </w:r>
    </w:p>
    <w:p>
      <w:pPr>
        <w:spacing w:line="360" w:lineRule="auto" w:after="120"/>
        <w:ind w:firstLine="461"/>
        <w:jc w:val="both"/>
      </w:pPr>
      <w:r>
        <w:rPr>
          <w:rFonts w:ascii="Times New Roman" w:hAnsi="Times New Roman" w:eastAsia="Times New Roman"/>
          <w:i w:val="0"/>
          <w:color w:val="000000"/>
          <w:sz w:val="24"/>
        </w:rPr>
        <w:t>The proposed solution is a centralized, secure, and role-aware web platform for super administrators, institution administrators, department administrators, lecturers, students, and applicants. It integrates targeted announcements, academic structures, audience rules, messages, schedules, in-app notifications, email and SMS delivery, notification preferences, read and delivery tracking, search, archives, reports, attachments, and audit records.</w:t>
      </w:r>
    </w:p>
    <w:p>
      <w:pPr>
        <w:spacing w:line="360" w:lineRule="auto" w:after="120"/>
        <w:ind w:firstLine="461"/>
        <w:jc w:val="both"/>
      </w:pPr>
      <w:r>
        <w:rPr>
          <w:rFonts w:ascii="Times New Roman" w:hAnsi="Times New Roman" w:eastAsia="Times New Roman"/>
          <w:i w:val="0"/>
          <w:color w:val="000000"/>
          <w:sz w:val="24"/>
        </w:rPr>
        <w:t>Chapter One introduced the project and defined the problem, aim, objectives, significance, and scope. Chapter Two reviewed the concepts, theories, and existing systems relevant to institutional communication and identified the project gap. Chapter Three presented the methodology, requirements, technology stack, architecture, flowchart, relational database, testing strategy, and deployment plan. Chapter Four defined how the implemented prototype should be demonstrated and evaluated with actual screenshots, functional tests, performance measurements, notification statistics, security tests, and user-acceptance evidence.</w:t>
      </w:r>
    </w:p>
    <w:p>
      <w:pPr>
        <w:pStyle w:val="Heading2"/>
      </w:pPr>
      <w:r>
        <w:t>5.3 Conclusion</w:t>
      </w:r>
    </w:p>
    <w:p>
      <w:pPr>
        <w:spacing w:line="360" w:lineRule="auto" w:after="120"/>
        <w:ind w:firstLine="461"/>
        <w:jc w:val="both"/>
      </w:pPr>
      <w:r>
        <w:rPr>
          <w:rFonts w:ascii="Times New Roman" w:hAnsi="Times New Roman" w:eastAsia="Times New Roman"/>
          <w:i w:val="0"/>
          <w:color w:val="000000"/>
          <w:sz w:val="24"/>
        </w:rPr>
        <w:t>The analysis and design show that a centralized information dissemination system can provide a coherent solution to the weaknesses of disconnected university communication channels. The proposed architecture connects verified identities, role-based portals, academic structures, audience resolution, announcements, messages, schedules, notification services, delivery and read records, reporting, audit logs, a relational database, and external delivery providers.</w:t>
      </w:r>
    </w:p>
    <w:p>
      <w:pPr>
        <w:spacing w:line="360" w:lineRule="auto" w:after="120"/>
        <w:ind w:firstLine="461"/>
        <w:jc w:val="both"/>
      </w:pPr>
      <w:r>
        <w:rPr>
          <w:rFonts w:ascii="Times New Roman" w:hAnsi="Times New Roman" w:eastAsia="Times New Roman"/>
          <w:i w:val="0"/>
          <w:color w:val="000000"/>
          <w:sz w:val="24"/>
        </w:rPr>
        <w:t>The supplied flowchart and ERD demonstrate that the proposed system can preserve the complete communication lifecycle from authoring and audience selection to publication, delivery, access, reporting, and auditing. The database design supports institutional hierarchy and many-to-many relationships among users, roles, academic groups, announcements, audiences, messages, recipients, and notification records.</w:t>
      </w:r>
    </w:p>
    <w:p>
      <w:pPr>
        <w:spacing w:line="360" w:lineRule="auto" w:after="120"/>
        <w:ind w:firstLine="461"/>
        <w:jc w:val="both"/>
      </w:pPr>
      <w:r>
        <w:rPr>
          <w:rFonts w:ascii="Times New Roman" w:hAnsi="Times New Roman" w:eastAsia="Times New Roman"/>
          <w:i w:val="0"/>
          <w:color w:val="000000"/>
          <w:sz w:val="24"/>
        </w:rPr>
        <w:t>The project has therefore established a detailed implementation blueprint and evaluation plan. A final conclusion that every development objective has been achieved must be based on the implemented system and the verified evidence in Chapter Four. Where evidence is not yet available, the objective should remain marked for confirmation rather than being presented as completed.</w:t>
      </w:r>
    </w:p>
    <w:p>
      <w:pPr>
        <w:pStyle w:val="Heading3"/>
      </w:pPr>
      <w:r>
        <w:t>5.3.1 Review of Project Objectives</w:t>
      </w:r>
    </w:p>
    <w:tbl>
      <w:tblPr>
        <w:tblStyle w:val="TableGrid"/>
        <w:tblW w:type="auto" w:w="0"/>
        <w:jc w:val="center"/>
        <w:tblLook w:firstColumn="1" w:firstRow="1" w:lastColumn="0" w:lastRow="0" w:noHBand="0" w:noVBand="1" w:val="04A0"/>
      </w:tblPr>
      <w:tblGrid>
        <w:gridCol w:w="3096"/>
        <w:gridCol w:w="3096"/>
        <w:gridCol w:w="3096"/>
      </w:tblGrid>
      <w:tr>
        <w:trPr>
          <w:tblHeader w:val="true"/>
        </w:trPr>
        <w:tc>
          <w:tcPr>
            <w:tcW w:type="dxa" w:w="3096"/>
            <w:shd w:fill="E8EEF7"/>
            <w:vAlign w:val="center"/>
          </w:tcPr>
          <w:p>
            <w:pPr>
              <w:spacing w:after="0"/>
              <w:jc w:val="center"/>
            </w:pPr>
            <w:r>
              <w:rPr>
                <w:rFonts w:ascii="Times New Roman" w:hAnsi="Times New Roman"/>
                <w:b/>
                <w:color w:val="000000"/>
                <w:sz w:val="16"/>
              </w:rPr>
              <w:t>Project Objective</w:t>
            </w:r>
          </w:p>
        </w:tc>
        <w:tc>
          <w:tcPr>
            <w:tcW w:type="dxa" w:w="3096"/>
            <w:shd w:fill="E8EEF7"/>
            <w:vAlign w:val="center"/>
          </w:tcPr>
          <w:p>
            <w:pPr>
              <w:spacing w:after="0"/>
              <w:jc w:val="center"/>
            </w:pPr>
            <w:r>
              <w:rPr>
                <w:rFonts w:ascii="Times New Roman" w:hAnsi="Times New Roman"/>
                <w:b/>
                <w:color w:val="000000"/>
                <w:sz w:val="16"/>
              </w:rPr>
              <w:t>Available Evidence</w:t>
            </w:r>
          </w:p>
        </w:tc>
        <w:tc>
          <w:tcPr>
            <w:tcW w:type="dxa" w:w="3096"/>
            <w:shd w:fill="E8EEF7"/>
            <w:vAlign w:val="center"/>
          </w:tcPr>
          <w:p>
            <w:pPr>
              <w:spacing w:after="0"/>
              <w:jc w:val="center"/>
            </w:pPr>
            <w:r>
              <w:rPr>
                <w:rFonts w:ascii="Times New Roman" w:hAnsi="Times New Roman"/>
                <w:b/>
                <w:color w:val="000000"/>
                <w:sz w:val="16"/>
              </w:rPr>
              <w:t>Status</w:t>
            </w:r>
          </w:p>
        </w:tc>
      </w:tr>
      <w:tr>
        <w:tc>
          <w:tcPr>
            <w:tcW w:type="dxa" w:w="3096"/>
            <w:vAlign w:val="top"/>
          </w:tcPr>
          <w:p>
            <w:pPr>
              <w:spacing w:line="240" w:lineRule="auto" w:after="0"/>
              <w:jc w:val="left"/>
            </w:pPr>
            <w:r>
              <w:rPr>
                <w:rFonts w:ascii="Times New Roman" w:hAnsi="Times New Roman"/>
                <w:color w:val="000000"/>
                <w:sz w:val="16"/>
              </w:rPr>
              <w:t>Examine current dissemination methods.</w:t>
            </w:r>
          </w:p>
        </w:tc>
        <w:tc>
          <w:tcPr>
            <w:tcW w:type="dxa" w:w="3096"/>
            <w:vAlign w:val="top"/>
          </w:tcPr>
          <w:p>
            <w:pPr>
              <w:spacing w:line="240" w:lineRule="auto" w:after="0"/>
              <w:jc w:val="left"/>
            </w:pPr>
            <w:r>
              <w:rPr>
                <w:rFonts w:ascii="Times New Roman" w:hAnsi="Times New Roman"/>
                <w:color w:val="000000"/>
                <w:sz w:val="16"/>
              </w:rPr>
              <w:t>Requirements instruments and the problem analysis define the channels and weaknesses to be investigated.</w:t>
            </w:r>
          </w:p>
        </w:tc>
        <w:tc>
          <w:tcPr>
            <w:tcW w:type="dxa" w:w="3096"/>
            <w:vAlign w:val="top"/>
          </w:tcPr>
          <w:p>
            <w:pPr>
              <w:spacing w:line="240" w:lineRule="auto" w:after="0"/>
              <w:jc w:val="left"/>
            </w:pPr>
            <w:r>
              <w:rPr>
                <w:rFonts w:ascii="Times New Roman" w:hAnsi="Times New Roman"/>
                <w:color w:val="000000"/>
                <w:sz w:val="16"/>
              </w:rPr>
              <w:t>Fieldwork evidence to be attached.</w:t>
            </w:r>
          </w:p>
        </w:tc>
      </w:tr>
      <w:tr>
        <w:tc>
          <w:tcPr>
            <w:tcW w:type="dxa" w:w="3096"/>
            <w:vAlign w:val="top"/>
          </w:tcPr>
          <w:p>
            <w:pPr>
              <w:spacing w:line="240" w:lineRule="auto" w:after="0"/>
              <w:jc w:val="left"/>
            </w:pPr>
            <w:r>
              <w:rPr>
                <w:rFonts w:ascii="Times New Roman" w:hAnsi="Times New Roman"/>
                <w:color w:val="000000"/>
                <w:sz w:val="16"/>
              </w:rPr>
              <w:t>Identify user communication requirements.</w:t>
            </w:r>
          </w:p>
        </w:tc>
        <w:tc>
          <w:tcPr>
            <w:tcW w:type="dxa" w:w="3096"/>
            <w:vAlign w:val="top"/>
          </w:tcPr>
          <w:p>
            <w:pPr>
              <w:spacing w:line="240" w:lineRule="auto" w:after="0"/>
              <w:jc w:val="left"/>
            </w:pPr>
            <w:r>
              <w:rPr>
                <w:rFonts w:ascii="Times New Roman" w:hAnsi="Times New Roman"/>
                <w:color w:val="000000"/>
                <w:sz w:val="16"/>
              </w:rPr>
              <w:t>Roles, responsibilities, functional requirements, and non-functional requirements are documented.</w:t>
            </w:r>
          </w:p>
        </w:tc>
        <w:tc>
          <w:tcPr>
            <w:tcW w:type="dxa" w:w="3096"/>
            <w:vAlign w:val="top"/>
          </w:tcPr>
          <w:p>
            <w:pPr>
              <w:spacing w:line="240" w:lineRule="auto" w:after="0"/>
              <w:jc w:val="left"/>
            </w:pPr>
            <w:r>
              <w:rPr>
                <w:rFonts w:ascii="Times New Roman" w:hAnsi="Times New Roman"/>
                <w:color w:val="000000"/>
                <w:sz w:val="16"/>
              </w:rPr>
              <w:t>Addressed in design; validate with users.</w:t>
            </w:r>
          </w:p>
        </w:tc>
      </w:tr>
      <w:tr>
        <w:tc>
          <w:tcPr>
            <w:tcW w:type="dxa" w:w="3096"/>
            <w:vAlign w:val="top"/>
          </w:tcPr>
          <w:p>
            <w:pPr>
              <w:spacing w:line="240" w:lineRule="auto" w:after="0"/>
              <w:jc w:val="left"/>
            </w:pPr>
            <w:r>
              <w:rPr>
                <w:rFonts w:ascii="Times New Roman" w:hAnsi="Times New Roman"/>
                <w:color w:val="000000"/>
                <w:sz w:val="16"/>
              </w:rPr>
              <w:t>Design a role-based architecture.</w:t>
            </w:r>
          </w:p>
        </w:tc>
        <w:tc>
          <w:tcPr>
            <w:tcW w:type="dxa" w:w="3096"/>
            <w:vAlign w:val="top"/>
          </w:tcPr>
          <w:p>
            <w:pPr>
              <w:spacing w:line="240" w:lineRule="auto" w:after="0"/>
              <w:jc w:val="left"/>
            </w:pPr>
            <w:r>
              <w:rPr>
                <w:rFonts w:ascii="Times New Roman" w:hAnsi="Times New Roman"/>
                <w:color w:val="000000"/>
                <w:sz w:val="16"/>
              </w:rPr>
              <w:t>The supplied architecture, permissions, portals, services, flowchart, and ERD define role-aware operation.</w:t>
            </w:r>
          </w:p>
        </w:tc>
        <w:tc>
          <w:tcPr>
            <w:tcW w:type="dxa" w:w="3096"/>
            <w:vAlign w:val="top"/>
          </w:tcPr>
          <w:p>
            <w:pPr>
              <w:spacing w:line="240" w:lineRule="auto" w:after="0"/>
              <w:jc w:val="left"/>
            </w:pPr>
            <w:r>
              <w:rPr>
                <w:rFonts w:ascii="Times New Roman" w:hAnsi="Times New Roman"/>
                <w:color w:val="000000"/>
                <w:sz w:val="16"/>
              </w:rPr>
              <w:t>Addressed.</w:t>
            </w:r>
          </w:p>
        </w:tc>
      </w:tr>
      <w:tr>
        <w:tc>
          <w:tcPr>
            <w:tcW w:type="dxa" w:w="3096"/>
            <w:vAlign w:val="top"/>
          </w:tcPr>
          <w:p>
            <w:pPr>
              <w:spacing w:line="240" w:lineRule="auto" w:after="0"/>
              <w:jc w:val="left"/>
            </w:pPr>
            <w:r>
              <w:rPr>
                <w:rFonts w:ascii="Times New Roman" w:hAnsi="Times New Roman"/>
                <w:color w:val="000000"/>
                <w:sz w:val="16"/>
              </w:rPr>
              <w:t>Develop a responsive centralized prototype.</w:t>
            </w:r>
          </w:p>
        </w:tc>
        <w:tc>
          <w:tcPr>
            <w:tcW w:type="dxa" w:w="3096"/>
            <w:vAlign w:val="top"/>
          </w:tcPr>
          <w:p>
            <w:pPr>
              <w:spacing w:line="240" w:lineRule="auto" w:after="0"/>
              <w:jc w:val="left"/>
            </w:pPr>
            <w:r>
              <w:rPr>
                <w:rFonts w:ascii="Times New Roman" w:hAnsi="Times New Roman"/>
                <w:color w:val="000000"/>
                <w:sz w:val="16"/>
              </w:rPr>
              <w:t>Implementation structure and technology stack are specified.</w:t>
            </w:r>
          </w:p>
        </w:tc>
        <w:tc>
          <w:tcPr>
            <w:tcW w:type="dxa" w:w="3096"/>
            <w:vAlign w:val="top"/>
          </w:tcPr>
          <w:p>
            <w:pPr>
              <w:spacing w:line="240" w:lineRule="auto" w:after="0"/>
              <w:jc w:val="left"/>
            </w:pPr>
            <w:r>
              <w:rPr>
                <w:rFonts w:ascii="Times New Roman" w:hAnsi="Times New Roman"/>
                <w:color w:val="000000"/>
                <w:sz w:val="16"/>
              </w:rPr>
              <w:t>To be confirmed with screenshots and tests.</w:t>
            </w:r>
          </w:p>
        </w:tc>
      </w:tr>
      <w:tr>
        <w:tc>
          <w:tcPr>
            <w:tcW w:type="dxa" w:w="3096"/>
            <w:vAlign w:val="top"/>
          </w:tcPr>
          <w:p>
            <w:pPr>
              <w:spacing w:line="240" w:lineRule="auto" w:after="0"/>
              <w:jc w:val="left"/>
            </w:pPr>
            <w:r>
              <w:rPr>
                <w:rFonts w:ascii="Times New Roman" w:hAnsi="Times New Roman"/>
                <w:color w:val="000000"/>
                <w:sz w:val="16"/>
              </w:rPr>
              <w:t>Integrate in-app, email, and SMS options.</w:t>
            </w:r>
          </w:p>
        </w:tc>
        <w:tc>
          <w:tcPr>
            <w:tcW w:type="dxa" w:w="3096"/>
            <w:vAlign w:val="top"/>
          </w:tcPr>
          <w:p>
            <w:pPr>
              <w:spacing w:line="240" w:lineRule="auto" w:after="0"/>
              <w:jc w:val="left"/>
            </w:pPr>
            <w:r>
              <w:rPr>
                <w:rFonts w:ascii="Times New Roman" w:hAnsi="Times New Roman"/>
                <w:color w:val="000000"/>
                <w:sz w:val="16"/>
              </w:rPr>
              <w:t>Notification, preference, delivery, and external-service designs are specified.</w:t>
            </w:r>
          </w:p>
        </w:tc>
        <w:tc>
          <w:tcPr>
            <w:tcW w:type="dxa" w:w="3096"/>
            <w:vAlign w:val="top"/>
          </w:tcPr>
          <w:p>
            <w:pPr>
              <w:spacing w:line="240" w:lineRule="auto" w:after="0"/>
              <w:jc w:val="left"/>
            </w:pPr>
            <w:r>
              <w:rPr>
                <w:rFonts w:ascii="Times New Roman" w:hAnsi="Times New Roman"/>
                <w:color w:val="000000"/>
                <w:sz w:val="16"/>
              </w:rPr>
              <w:t>To be confirmed with provider test evidence.</w:t>
            </w:r>
          </w:p>
        </w:tc>
      </w:tr>
      <w:tr>
        <w:tc>
          <w:tcPr>
            <w:tcW w:type="dxa" w:w="3096"/>
            <w:vAlign w:val="top"/>
          </w:tcPr>
          <w:p>
            <w:pPr>
              <w:spacing w:line="240" w:lineRule="auto" w:after="0"/>
              <w:jc w:val="left"/>
            </w:pPr>
            <w:r>
              <w:rPr>
                <w:rFonts w:ascii="Times New Roman" w:hAnsi="Times New Roman"/>
                <w:color w:val="000000"/>
                <w:sz w:val="16"/>
              </w:rPr>
              <w:t>Implement targeting, tracking, reporting, and audit functions.</w:t>
            </w:r>
          </w:p>
        </w:tc>
        <w:tc>
          <w:tcPr>
            <w:tcW w:type="dxa" w:w="3096"/>
            <w:vAlign w:val="top"/>
          </w:tcPr>
          <w:p>
            <w:pPr>
              <w:spacing w:line="240" w:lineRule="auto" w:after="0"/>
              <w:jc w:val="left"/>
            </w:pPr>
            <w:r>
              <w:rPr>
                <w:rFonts w:ascii="Times New Roman" w:hAnsi="Times New Roman"/>
                <w:color w:val="000000"/>
                <w:sz w:val="16"/>
              </w:rPr>
              <w:t>Audience, recipient, notification, read, report, and audit entities and workflows are defined.</w:t>
            </w:r>
          </w:p>
        </w:tc>
        <w:tc>
          <w:tcPr>
            <w:tcW w:type="dxa" w:w="3096"/>
            <w:vAlign w:val="top"/>
          </w:tcPr>
          <w:p>
            <w:pPr>
              <w:spacing w:line="240" w:lineRule="auto" w:after="0"/>
              <w:jc w:val="left"/>
            </w:pPr>
            <w:r>
              <w:rPr>
                <w:rFonts w:ascii="Times New Roman" w:hAnsi="Times New Roman"/>
                <w:color w:val="000000"/>
                <w:sz w:val="16"/>
              </w:rPr>
              <w:t>To be confirmed with functional tests.</w:t>
            </w:r>
          </w:p>
        </w:tc>
      </w:tr>
      <w:tr>
        <w:tc>
          <w:tcPr>
            <w:tcW w:type="dxa" w:w="3096"/>
            <w:vAlign w:val="top"/>
          </w:tcPr>
          <w:p>
            <w:pPr>
              <w:spacing w:line="240" w:lineRule="auto" w:after="0"/>
              <w:jc w:val="left"/>
            </w:pPr>
            <w:r>
              <w:rPr>
                <w:rFonts w:ascii="Times New Roman" w:hAnsi="Times New Roman"/>
                <w:color w:val="000000"/>
                <w:sz w:val="16"/>
              </w:rPr>
              <w:t>Evaluate system quality and acceptance.</w:t>
            </w:r>
          </w:p>
        </w:tc>
        <w:tc>
          <w:tcPr>
            <w:tcW w:type="dxa" w:w="3096"/>
            <w:vAlign w:val="top"/>
          </w:tcPr>
          <w:p>
            <w:pPr>
              <w:spacing w:line="240" w:lineRule="auto" w:after="0"/>
              <w:jc w:val="left"/>
            </w:pPr>
            <w:r>
              <w:rPr>
                <w:rFonts w:ascii="Times New Roman" w:hAnsi="Times New Roman"/>
                <w:color w:val="000000"/>
                <w:sz w:val="16"/>
              </w:rPr>
              <w:t>Metrics, targets, test cases, and user tasks are defined in Chapter Four.</w:t>
            </w:r>
          </w:p>
        </w:tc>
        <w:tc>
          <w:tcPr>
            <w:tcW w:type="dxa" w:w="3096"/>
            <w:vAlign w:val="top"/>
          </w:tcPr>
          <w:p>
            <w:pPr>
              <w:spacing w:line="240" w:lineRule="auto" w:after="0"/>
              <w:jc w:val="left"/>
            </w:pPr>
            <w:r>
              <w:rPr>
                <w:rFonts w:ascii="Times New Roman" w:hAnsi="Times New Roman"/>
                <w:color w:val="000000"/>
                <w:sz w:val="16"/>
              </w:rPr>
              <w:t>To be confirmed with measured results.</w:t>
            </w:r>
          </w:p>
        </w:tc>
      </w:tr>
    </w:tbl>
    <w:p>
      <w:pPr>
        <w:spacing w:before="60" w:after="160"/>
        <w:jc w:val="center"/>
      </w:pPr>
      <w:r>
        <w:rPr>
          <w:rFonts w:ascii="Times New Roman" w:hAnsi="Times New Roman"/>
          <w:i/>
          <w:color w:val="000000"/>
          <w:sz w:val="20"/>
        </w:rPr>
        <w:t>Table 5.1: Review of project-objective achievement</w:t>
      </w:r>
    </w:p>
    <w:p>
      <w:pPr>
        <w:pStyle w:val="Heading2"/>
      </w:pPr>
      <w:r>
        <w:t>5.4 Recommendations</w:t>
      </w:r>
    </w:p>
    <w:p>
      <w:pPr>
        <w:pStyle w:val="Heading3"/>
      </w:pPr>
      <w:r>
        <w:t>5.4.1 Recommendations for Institutional Implementation</w:t>
      </w:r>
    </w:p>
    <w:p>
      <w:pPr>
        <w:pStyle w:val="ListBullet"/>
        <w:ind w:left="648" w:hanging="288"/>
        <w:jc w:val="both"/>
      </w:pPr>
      <w:r>
        <w:rPr>
          <w:rFonts w:ascii="Times New Roman" w:hAnsi="Times New Roman" w:eastAsia="Times New Roman"/>
          <w:color w:val="000000"/>
          <w:sz w:val="24"/>
        </w:rPr>
        <w:t>Pilot the system in one faculty or department before institution-wide deployment.</w:t>
      </w:r>
    </w:p>
    <w:p>
      <w:pPr>
        <w:pStyle w:val="ListBullet"/>
        <w:ind w:left="648" w:hanging="288"/>
        <w:jc w:val="both"/>
      </w:pPr>
      <w:r>
        <w:rPr>
          <w:rFonts w:ascii="Times New Roman" w:hAnsi="Times New Roman" w:eastAsia="Times New Roman"/>
          <w:color w:val="000000"/>
          <w:sz w:val="24"/>
        </w:rPr>
        <w:t>Define formal policies for announcement ownership, approval, priority, emergency communication, audience selection, retention, and withdrawal.</w:t>
      </w:r>
    </w:p>
    <w:p>
      <w:pPr>
        <w:pStyle w:val="ListBullet"/>
        <w:ind w:left="648" w:hanging="288"/>
        <w:jc w:val="both"/>
      </w:pPr>
      <w:r>
        <w:rPr>
          <w:rFonts w:ascii="Times New Roman" w:hAnsi="Times New Roman" w:eastAsia="Times New Roman"/>
          <w:color w:val="000000"/>
          <w:sz w:val="24"/>
        </w:rPr>
        <w:t>Synchronize verified institutional identities and academic structures from the official Student Information System where possible.</w:t>
      </w:r>
    </w:p>
    <w:p>
      <w:pPr>
        <w:pStyle w:val="ListBullet"/>
        <w:ind w:left="648" w:hanging="288"/>
        <w:jc w:val="both"/>
      </w:pPr>
      <w:r>
        <w:rPr>
          <w:rFonts w:ascii="Times New Roman" w:hAnsi="Times New Roman" w:eastAsia="Times New Roman"/>
          <w:color w:val="000000"/>
          <w:sz w:val="24"/>
        </w:rPr>
        <w:t>Train administrators, lecturers, students, applicants, and support staff and provide short user guides and help content.</w:t>
      </w:r>
    </w:p>
    <w:p>
      <w:pPr>
        <w:pStyle w:val="ListBullet"/>
        <w:ind w:left="648" w:hanging="288"/>
        <w:jc w:val="both"/>
      </w:pPr>
      <w:r>
        <w:rPr>
          <w:rFonts w:ascii="Times New Roman" w:hAnsi="Times New Roman" w:eastAsia="Times New Roman"/>
          <w:color w:val="000000"/>
          <w:sz w:val="24"/>
        </w:rPr>
        <w:t>Keep the web application as the authoritative source and use email or SMS as supporting delivery channels.</w:t>
      </w:r>
    </w:p>
    <w:p>
      <w:pPr>
        <w:pStyle w:val="ListBullet"/>
        <w:ind w:left="648" w:hanging="288"/>
        <w:jc w:val="both"/>
      </w:pPr>
      <w:r>
        <w:rPr>
          <w:rFonts w:ascii="Times New Roman" w:hAnsi="Times New Roman" w:eastAsia="Times New Roman"/>
          <w:color w:val="000000"/>
          <w:sz w:val="24"/>
        </w:rPr>
        <w:t>Review roles and permissions regularly and revoke access promptly when responsibilities change.</w:t>
      </w:r>
    </w:p>
    <w:p>
      <w:pPr>
        <w:pStyle w:val="ListBullet"/>
        <w:ind w:left="648" w:hanging="288"/>
        <w:jc w:val="both"/>
      </w:pPr>
      <w:r>
        <w:rPr>
          <w:rFonts w:ascii="Times New Roman" w:hAnsi="Times New Roman" w:eastAsia="Times New Roman"/>
          <w:color w:val="000000"/>
          <w:sz w:val="24"/>
        </w:rPr>
        <w:t>Establish procedures for delivery failure, incorrect audience selection, confidential notices, incident reporting, and correction of published information.</w:t>
      </w:r>
    </w:p>
    <w:p>
      <w:pPr>
        <w:pStyle w:val="ListBullet"/>
        <w:ind w:left="648" w:hanging="288"/>
        <w:jc w:val="both"/>
      </w:pPr>
      <w:r>
        <w:rPr>
          <w:rFonts w:ascii="Times New Roman" w:hAnsi="Times New Roman" w:eastAsia="Times New Roman"/>
          <w:color w:val="000000"/>
          <w:sz w:val="24"/>
        </w:rPr>
        <w:t>Maintain tested backups, monitoring, provider-status alerts, security updates, and recovery procedures.</w:t>
      </w:r>
    </w:p>
    <w:p>
      <w:pPr>
        <w:pStyle w:val="ListBullet"/>
        <w:ind w:left="648" w:hanging="288"/>
        <w:jc w:val="both"/>
      </w:pPr>
      <w:r>
        <w:rPr>
          <w:rFonts w:ascii="Times New Roman" w:hAnsi="Times New Roman" w:eastAsia="Times New Roman"/>
          <w:color w:val="000000"/>
          <w:sz w:val="24"/>
        </w:rPr>
        <w:t>Carry out privacy and accessibility reviews before production use.</w:t>
      </w:r>
    </w:p>
    <w:p>
      <w:pPr>
        <w:pStyle w:val="Heading3"/>
      </w:pPr>
      <w:r>
        <w:t>5.4.2 Recommendations for System Improvement</w:t>
      </w:r>
    </w:p>
    <w:p>
      <w:pPr>
        <w:pStyle w:val="ListBullet"/>
        <w:ind w:left="648" w:hanging="288"/>
        <w:jc w:val="both"/>
      </w:pPr>
      <w:r>
        <w:rPr>
          <w:rFonts w:ascii="Times New Roman" w:hAnsi="Times New Roman" w:eastAsia="Times New Roman"/>
          <w:color w:val="000000"/>
          <w:sz w:val="24"/>
        </w:rPr>
        <w:t>Add standards-based integration with the university Student Information System and Learning Management System.</w:t>
      </w:r>
    </w:p>
    <w:p>
      <w:pPr>
        <w:pStyle w:val="ListBullet"/>
        <w:ind w:left="648" w:hanging="288"/>
        <w:jc w:val="both"/>
      </w:pPr>
      <w:r>
        <w:rPr>
          <w:rFonts w:ascii="Times New Roman" w:hAnsi="Times New Roman" w:eastAsia="Times New Roman"/>
          <w:color w:val="000000"/>
          <w:sz w:val="24"/>
        </w:rPr>
        <w:t>Introduce configurable approval workflows for high-priority, institution-wide, and emergency notices.</w:t>
      </w:r>
    </w:p>
    <w:p>
      <w:pPr>
        <w:pStyle w:val="ListBullet"/>
        <w:ind w:left="648" w:hanging="288"/>
        <w:jc w:val="both"/>
      </w:pPr>
      <w:r>
        <w:rPr>
          <w:rFonts w:ascii="Times New Roman" w:hAnsi="Times New Roman" w:eastAsia="Times New Roman"/>
          <w:color w:val="000000"/>
          <w:sz w:val="24"/>
        </w:rPr>
        <w:t>Provide a public verification page for notices that the institution chooses to publish externally.</w:t>
      </w:r>
    </w:p>
    <w:p>
      <w:pPr>
        <w:pStyle w:val="ListBullet"/>
        <w:ind w:left="648" w:hanging="288"/>
        <w:jc w:val="both"/>
      </w:pPr>
      <w:r>
        <w:rPr>
          <w:rFonts w:ascii="Times New Roman" w:hAnsi="Times New Roman" w:eastAsia="Times New Roman"/>
          <w:color w:val="000000"/>
          <w:sz w:val="24"/>
        </w:rPr>
        <w:t>Add richer delivery analytics, failure retry policies, and provider comparison for email and SMS.</w:t>
      </w:r>
    </w:p>
    <w:p>
      <w:pPr>
        <w:pStyle w:val="ListBullet"/>
        <w:ind w:left="648" w:hanging="288"/>
        <w:jc w:val="both"/>
      </w:pPr>
      <w:r>
        <w:rPr>
          <w:rFonts w:ascii="Times New Roman" w:hAnsi="Times New Roman" w:eastAsia="Times New Roman"/>
          <w:color w:val="000000"/>
          <w:sz w:val="24"/>
        </w:rPr>
        <w:t>Support multilingual content and language preferences where institutional need is established.</w:t>
      </w:r>
    </w:p>
    <w:p>
      <w:pPr>
        <w:pStyle w:val="ListBullet"/>
        <w:ind w:left="648" w:hanging="288"/>
        <w:jc w:val="both"/>
      </w:pPr>
      <w:r>
        <w:rPr>
          <w:rFonts w:ascii="Times New Roman" w:hAnsi="Times New Roman" w:eastAsia="Times New Roman"/>
          <w:color w:val="000000"/>
          <w:sz w:val="24"/>
        </w:rPr>
        <w:t>Add calendar synchronization and reminder controls for academic schedules.</w:t>
      </w:r>
    </w:p>
    <w:p>
      <w:pPr>
        <w:pStyle w:val="ListBullet"/>
        <w:ind w:left="648" w:hanging="288"/>
        <w:jc w:val="both"/>
      </w:pPr>
      <w:r>
        <w:rPr>
          <w:rFonts w:ascii="Times New Roman" w:hAnsi="Times New Roman" w:eastAsia="Times New Roman"/>
          <w:color w:val="000000"/>
          <w:sz w:val="24"/>
        </w:rPr>
        <w:t>Improve search through full-text indexing, tags, saved filters, and relevance ranking.</w:t>
      </w:r>
    </w:p>
    <w:p>
      <w:pPr>
        <w:pStyle w:val="ListBullet"/>
        <w:ind w:left="648" w:hanging="288"/>
        <w:jc w:val="both"/>
      </w:pPr>
      <w:r>
        <w:rPr>
          <w:rFonts w:ascii="Times New Roman" w:hAnsi="Times New Roman" w:eastAsia="Times New Roman"/>
          <w:color w:val="000000"/>
          <w:sz w:val="24"/>
        </w:rPr>
        <w:t>Provide downloadable and scheduled communication reports for administrators.</w:t>
      </w:r>
    </w:p>
    <w:p>
      <w:pPr>
        <w:pStyle w:val="ListBullet"/>
        <w:ind w:left="648" w:hanging="288"/>
        <w:jc w:val="both"/>
      </w:pPr>
      <w:r>
        <w:rPr>
          <w:rFonts w:ascii="Times New Roman" w:hAnsi="Times New Roman" w:eastAsia="Times New Roman"/>
          <w:color w:val="000000"/>
          <w:sz w:val="24"/>
        </w:rPr>
        <w:t>Consider a native mobile application only after the responsive web prototype has been evaluated successfully.</w:t>
      </w:r>
    </w:p>
    <w:p>
      <w:pPr>
        <w:pStyle w:val="ListBullet"/>
        <w:ind w:left="648" w:hanging="288"/>
        <w:jc w:val="both"/>
      </w:pPr>
      <w:r>
        <w:rPr>
          <w:rFonts w:ascii="Times New Roman" w:hAnsi="Times New Roman" w:eastAsia="Times New Roman"/>
          <w:color w:val="000000"/>
          <w:sz w:val="24"/>
        </w:rPr>
        <w:t>Explore advanced analytics carefully, without using automated conclusions that could violate privacy or misrepresent user engagement.</w:t>
      </w:r>
    </w:p>
    <w:p>
      <w:pPr>
        <w:pStyle w:val="Heading3"/>
      </w:pPr>
      <w:r>
        <w:t>5.4.3 Recommendations for Future Research</w:t>
      </w:r>
    </w:p>
    <w:p>
      <w:pPr>
        <w:pStyle w:val="ListBullet"/>
        <w:ind w:left="648" w:hanging="288"/>
        <w:jc w:val="both"/>
      </w:pPr>
      <w:r>
        <w:rPr>
          <w:rFonts w:ascii="Times New Roman" w:hAnsi="Times New Roman" w:eastAsia="Times New Roman"/>
          <w:color w:val="000000"/>
          <w:sz w:val="24"/>
        </w:rPr>
        <w:t>Compare missed-notice rates before and after deployment using an approved institutional study.</w:t>
      </w:r>
    </w:p>
    <w:p>
      <w:pPr>
        <w:pStyle w:val="ListBullet"/>
        <w:ind w:left="648" w:hanging="288"/>
        <w:jc w:val="both"/>
      </w:pPr>
      <w:r>
        <w:rPr>
          <w:rFonts w:ascii="Times New Roman" w:hAnsi="Times New Roman" w:eastAsia="Times New Roman"/>
          <w:color w:val="000000"/>
          <w:sz w:val="24"/>
        </w:rPr>
        <w:t>Evaluate adoption through perceived usefulness, ease of use, information quality, system quality, service quality, satisfaction, and net benefits.</w:t>
      </w:r>
    </w:p>
    <w:p>
      <w:pPr>
        <w:pStyle w:val="ListBullet"/>
        <w:ind w:left="648" w:hanging="288"/>
        <w:jc w:val="both"/>
      </w:pPr>
      <w:r>
        <w:rPr>
          <w:rFonts w:ascii="Times New Roman" w:hAnsi="Times New Roman" w:eastAsia="Times New Roman"/>
          <w:color w:val="000000"/>
          <w:sz w:val="24"/>
        </w:rPr>
        <w:t>Study the effect of targeted communication on message overload and student response to deadlines.</w:t>
      </w:r>
    </w:p>
    <w:p>
      <w:pPr>
        <w:pStyle w:val="ListBullet"/>
        <w:ind w:left="648" w:hanging="288"/>
        <w:jc w:val="both"/>
      </w:pPr>
      <w:r>
        <w:rPr>
          <w:rFonts w:ascii="Times New Roman" w:hAnsi="Times New Roman" w:eastAsia="Times New Roman"/>
          <w:color w:val="000000"/>
          <w:sz w:val="24"/>
        </w:rPr>
        <w:t>Investigate accessibility and digital-inclusion needs among students who use low-cost devices or unreliable networks.</w:t>
      </w:r>
    </w:p>
    <w:p>
      <w:pPr>
        <w:pStyle w:val="ListBullet"/>
        <w:ind w:left="648" w:hanging="288"/>
        <w:jc w:val="both"/>
      </w:pPr>
      <w:r>
        <w:rPr>
          <w:rFonts w:ascii="Times New Roman" w:hAnsi="Times New Roman" w:eastAsia="Times New Roman"/>
          <w:color w:val="000000"/>
          <w:sz w:val="24"/>
        </w:rPr>
        <w:t>Evaluate the cost, reliability, and user preferences associated with in-app, email, SMS, and future mobile-push channels.</w:t>
      </w:r>
    </w:p>
    <w:p>
      <w:pPr>
        <w:pStyle w:val="ListBullet"/>
        <w:ind w:left="648" w:hanging="288"/>
        <w:jc w:val="both"/>
      </w:pPr>
      <w:r>
        <w:rPr>
          <w:rFonts w:ascii="Times New Roman" w:hAnsi="Times New Roman" w:eastAsia="Times New Roman"/>
          <w:color w:val="000000"/>
          <w:sz w:val="24"/>
        </w:rPr>
        <w:t>Examine governance and privacy implications of read tracking and communication analytics in higher education.</w:t>
      </w:r>
    </w:p>
    <w:p>
      <w:pPr>
        <w:pStyle w:val="Heading2"/>
      </w:pPr>
      <w:r>
        <w:t>5.5 Chapter Summary</w:t>
      </w:r>
    </w:p>
    <w:p>
      <w:pPr>
        <w:spacing w:line="360" w:lineRule="auto" w:after="120"/>
        <w:ind w:firstLine="461"/>
        <w:jc w:val="both"/>
      </w:pPr>
      <w:r>
        <w:rPr>
          <w:rFonts w:ascii="Times New Roman" w:hAnsi="Times New Roman" w:eastAsia="Times New Roman"/>
          <w:i w:val="0"/>
          <w:color w:val="000000"/>
          <w:sz w:val="24"/>
        </w:rPr>
        <w:t>This chapter summarized the Smart Information Dissemination System and concluded that the proposed architecture, processes, database, and evaluation plan provide a strong foundation for a centralized, role-aware, and traceable university communication platform. It reviewed each project objective without making unsupported implementation claims and provided recommendations for institutional piloting, policy, training, integration, security, accessibility, system enhancement, and future research.</w:t>
      </w:r>
    </w:p>
    <w:p>
      <w:r>
        <w:br w:type="page"/>
      </w:r>
    </w:p>
    <w:p>
      <w:pPr>
        <w:spacing w:after="240"/>
        <w:jc w:val="center"/>
      </w:pPr>
      <w:r>
        <w:rPr>
          <w:rFonts w:ascii="Times New Roman" w:hAnsi="Times New Roman" w:eastAsia="Times New Roman"/>
          <w:b/>
          <w:color w:val="000000"/>
          <w:sz w:val="28"/>
        </w:rPr>
        <w:t>REFERENCES</w:t>
      </w:r>
    </w:p>
    <w:p>
      <w:pPr>
        <w:spacing w:line="360" w:lineRule="auto" w:after="120"/>
        <w:ind w:left="720" w:hanging="720"/>
        <w:jc w:val="left"/>
      </w:pPr>
      <w:r>
        <w:rPr>
          <w:rFonts w:ascii="Times New Roman" w:hAnsi="Times New Roman" w:eastAsia="Times New Roman"/>
          <w:color w:val="000000"/>
          <w:sz w:val="24"/>
        </w:rPr>
        <w:t>Davis, F. D. (1989). Perceived usefulness, perceived ease of use, and user acceptance of information technology. MIS Quarterly, 13(3), 319-340.</w:t>
      </w:r>
    </w:p>
    <w:p>
      <w:pPr>
        <w:spacing w:line="360" w:lineRule="auto" w:after="120"/>
        <w:ind w:left="720" w:hanging="720"/>
        <w:jc w:val="left"/>
      </w:pPr>
      <w:r>
        <w:rPr>
          <w:rFonts w:ascii="Times New Roman" w:hAnsi="Times New Roman" w:eastAsia="Times New Roman"/>
          <w:color w:val="000000"/>
          <w:sz w:val="24"/>
        </w:rPr>
        <w:t>DeLone, W. H., &amp; McLean, E. R. (2003). The DeLone and McLean model of information systems success: A ten-year update. Journal of Management Information Systems, 19(4), 9-30.</w:t>
      </w:r>
    </w:p>
    <w:p>
      <w:pPr>
        <w:spacing w:line="360" w:lineRule="auto" w:after="120"/>
        <w:ind w:left="720" w:hanging="720"/>
        <w:jc w:val="left"/>
      </w:pPr>
      <w:r>
        <w:rPr>
          <w:rFonts w:ascii="Times New Roman" w:hAnsi="Times New Roman" w:eastAsia="Times New Roman"/>
          <w:color w:val="000000"/>
          <w:sz w:val="24"/>
        </w:rPr>
        <w:t>Nielsen, J. (1993). Usability engineering. Academic Press.</w:t>
      </w:r>
    </w:p>
    <w:p>
      <w:pPr>
        <w:spacing w:line="360" w:lineRule="auto" w:after="120"/>
        <w:ind w:left="720" w:hanging="720"/>
        <w:jc w:val="left"/>
      </w:pPr>
      <w:r>
        <w:rPr>
          <w:rFonts w:ascii="Times New Roman" w:hAnsi="Times New Roman" w:eastAsia="Times New Roman"/>
          <w:color w:val="000000"/>
          <w:sz w:val="24"/>
        </w:rPr>
        <w:t>OWASP Foundation. (n.d.). OWASP Application Security Verification Standard.</w:t>
      </w:r>
    </w:p>
    <w:p>
      <w:pPr>
        <w:spacing w:line="360" w:lineRule="auto" w:after="120"/>
        <w:ind w:left="720" w:hanging="720"/>
        <w:jc w:val="left"/>
      </w:pPr>
      <w:r>
        <w:rPr>
          <w:rFonts w:ascii="Times New Roman" w:hAnsi="Times New Roman" w:eastAsia="Times New Roman"/>
          <w:color w:val="000000"/>
          <w:sz w:val="24"/>
        </w:rPr>
        <w:t>World Wide Web Consortium. (2024). Web Content Accessibility Guidelines (WCAG) 2.2.</w:t>
      </w:r>
    </w:p>
    <w:sectPr w:rsidR="00FC693F" w:rsidRPr="0006063C" w:rsidSect="00034616">
      <w:footerReference w:type="default" r:id="rId9"/>
      <w:pgSz w:w="12240" w:h="15840"/>
      <w:pgMar w:top="1440" w:right="1440" w:bottom="1224" w:left="1512" w:header="432" w:footer="50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