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7F7F7F"/>
          <w:sz w:val="28"/>
          <w:szCs w:val="28"/>
        </w:rPr>
        <w:t xml:space="preserve">DESIGN REPORT</w:t>
      </w:r>
    </w:p>
    <w:p>
      <w:pPr>
        <w:spacing w:after="120" w:before="240"/>
        <w:jc w:val="center"/>
      </w:pPr>
      <w:r>
        <w:rPr>
          <w:b/>
          <w:bCs/>
          <w:color w:val="1F4E79"/>
          <w:sz w:val="40"/>
          <w:szCs w:val="40"/>
        </w:rPr>
        <w:t xml:space="preserve">Reinforced-Concrete Design of a 40 m Module of the Muelle de Trasmallo to the Spanish Código Estructural</w:t>
      </w:r>
    </w:p>
    <w:p>
      <w:pPr>
        <w:spacing w:after="600"/>
        <w:jc w:val="center"/>
      </w:pPr>
      <w:r>
        <w:rPr>
          <w:color w:val="404040"/>
          <w:sz w:val="24"/>
          <w:szCs w:val="24"/>
        </w:rPr>
        <w:t xml:space="preserve">Port of Cullera (Valencia, Spain) — Verification of piles, transverse beams and edge beams with SAP2000 v27.1 forces, final design, and comparison with the CYPECAD design of Anejo 10</w:t>
      </w:r>
    </w:p>
    <w:p>
      <w:pPr>
        <w:pBdr>
          <w:top w:val="single" w:color="1F4E79" w:sz="6" w:space="12"/>
        </w:pBdr>
        <w:spacing w:before="400"/>
        <w:jc w:val="center"/>
      </w:pPr>
      <w:r>
        <w:rPr>
          <w:sz w:val="20"/>
          <w:szCs w:val="20"/>
        </w:rPr>
        <w:t xml:space="preserve">Code: Código Estructural 2021 (RD 470/2021), Anejo 19 = EN 1992-1-1 with the Spanish values; exposure XS3</w:t>
      </w:r>
    </w:p>
    <w:p>
      <w:pPr>
        <w:jc w:val="center"/>
      </w:pPr>
      <w:r>
        <w:rPr>
          <w:sz w:val="20"/>
          <w:szCs w:val="20"/>
        </w:rPr>
        <w:t xml:space="preserve">Members: 14 precast piles 40×40 HA-50, 5 inverted-T and 2 inverted-L transverse beams, 2 edge beams 25×30 (HA-35, B500SD)</w:t>
      </w:r>
    </w:p>
    <w:p>
      <w:pPr>
        <w:jc w:val="center"/>
      </w:pPr>
      <w:r>
        <w:rPr>
          <w:sz w:val="20"/>
          <w:szCs w:val="20"/>
        </w:rPr>
        <w:t xml:space="preserve">Tools: SAP2000 v27.1 (forces), Python fibre-section engine (checks), CYPECAD (reference design)</w:t>
      </w:r>
    </w:p>
    <w:p>
      <w:pPr>
        <w:jc w:val="center"/>
      </w:pPr>
      <w:r>
        <w:rPr>
          <w:sz w:val="20"/>
          <w:szCs w:val="20"/>
        </w:rPr>
        <w:t xml:space="preserve">Repository: Masrhalsp/MarshalSp, branch claude/add-drive-file-report-3rybju, folder diseno/</w:t>
      </w:r>
    </w:p>
    <w:p>
      <w:pPr>
        <w:spacing w:before="200"/>
        <w:jc w:val="center"/>
      </w:pPr>
      <w:r>
        <w:rPr>
          <w:color w:val="7F7F7F"/>
          <w:sz w:val="20"/>
          <w:szCs w:val="20"/>
        </w:rPr>
        <w:t xml:space="preserve">September 2026</w:t>
      </w:r>
    </w:p>
    <w:p>
      <w:r>
        <w:br w:type="page"/>
      </w:r>
    </w:p>
    <w:p>
      <w:pPr>
        <w:spacing w:after="200"/>
      </w:pPr>
      <w:r>
        <w:rPr>
          <w:b/>
          <w:bCs/>
          <w:color w:val="1F4E79"/>
          <w:sz w:val="32"/>
          <w:szCs w:val="32"/>
        </w:rPr>
        <w:t xml:space="preserve">Contents</w:t>
      </w:r>
    </w:p>
    <w:p>
      <w:pPr>
        <w:spacing w:after="100"/>
      </w:pPr>
      <w:r>
        <w:rPr>
          <w:sz w:val="22"/>
          <w:szCs w:val="22"/>
        </w:rPr>
        <w:t xml:space="preserve">Executive summary</w:t>
      </w:r>
    </w:p>
    <w:p>
      <w:pPr>
        <w:spacing w:after="100"/>
      </w:pPr>
      <w:r>
        <w:rPr>
          <w:sz w:val="22"/>
          <w:szCs w:val="22"/>
        </w:rPr>
        <w:t xml:space="preserve">1. Introduction and scope</w:t>
      </w:r>
    </w:p>
    <w:p>
      <w:pPr>
        <w:spacing w:after="100"/>
      </w:pPr>
      <w:r>
        <w:rPr>
          <w:sz w:val="22"/>
          <w:szCs w:val="22"/>
        </w:rPr>
        <w:t xml:space="preserve">2. Design basis</w:t>
      </w:r>
    </w:p>
    <w:p>
      <w:pPr>
        <w:spacing w:after="100"/>
      </w:pPr>
      <w:r>
        <w:rPr>
          <w:sz w:val="22"/>
          <w:szCs w:val="22"/>
        </w:rPr>
        <w:t xml:space="preserve">3. Reinforcement provided in Anejo 10</w:t>
      </w:r>
    </w:p>
    <w:p>
      <w:pPr>
        <w:spacing w:after="100"/>
      </w:pPr>
      <w:r>
        <w:rPr>
          <w:sz w:val="22"/>
          <w:szCs w:val="22"/>
        </w:rPr>
        <w:t xml:space="preserve">4. Method of verification</w:t>
      </w:r>
    </w:p>
    <w:p>
      <w:pPr>
        <w:spacing w:after="100"/>
      </w:pPr>
      <w:r>
        <w:rPr>
          <w:sz w:val="22"/>
          <w:szCs w:val="22"/>
        </w:rPr>
        <w:t xml:space="preserve">5. Piles</w:t>
      </w:r>
    </w:p>
    <w:p>
      <w:pPr>
        <w:spacing w:after="100"/>
      </w:pPr>
      <w:r>
        <w:rPr>
          <w:sz w:val="22"/>
          <w:szCs w:val="22"/>
        </w:rPr>
        <w:t xml:space="preserve">6. Transverse and edge beams</w:t>
      </w:r>
    </w:p>
    <w:p>
      <w:pPr>
        <w:spacing w:after="100"/>
      </w:pPr>
      <w:r>
        <w:rPr>
          <w:sz w:val="22"/>
          <w:szCs w:val="22"/>
        </w:rPr>
        <w:t xml:space="preserve">7. Final design</w:t>
      </w:r>
    </w:p>
    <w:p>
      <w:pPr>
        <w:spacing w:after="100"/>
      </w:pPr>
      <w:r>
        <w:rPr>
          <w:sz w:val="22"/>
          <w:szCs w:val="22"/>
        </w:rPr>
        <w:t xml:space="preserve">8. SAP2000 concrete design: inputs and expected behaviour</w:t>
      </w:r>
    </w:p>
    <w:p>
      <w:pPr>
        <w:spacing w:after="100"/>
      </w:pPr>
      <w:r>
        <w:rPr>
          <w:sz w:val="22"/>
          <w:szCs w:val="22"/>
        </w:rPr>
        <w:t xml:space="preserve">9. Comparison with Anejo 10 (CYPECAD)</w:t>
      </w:r>
    </w:p>
    <w:p>
      <w:pPr>
        <w:spacing w:after="100"/>
      </w:pPr>
      <w:r>
        <w:rPr>
          <w:sz w:val="22"/>
          <w:szCs w:val="22"/>
        </w:rPr>
        <w:t xml:space="preserve">10. Limitations and open points</w:t>
      </w:r>
    </w:p>
    <w:p>
      <w:pPr>
        <w:spacing w:after="100"/>
      </w:pPr>
      <w:r>
        <w:rPr>
          <w:sz w:val="22"/>
          <w:szCs w:val="22"/>
        </w:rPr>
        <w:t xml:space="preserve">11. Conclusions</w:t>
      </w:r>
    </w:p>
    <w:p>
      <w:pPr>
        <w:spacing w:after="100"/>
      </w:pPr>
      <w:r>
        <w:rPr>
          <w:sz w:val="22"/>
          <w:szCs w:val="22"/>
        </w:rPr>
        <w:t xml:space="preserve">Appendix A. Files and commands</w:t>
      </w:r>
    </w:p>
    <w:p>
      <w:pPr>
        <w:spacing w:after="100"/>
      </w:pPr>
      <w:r>
        <w:rPr>
          <w:sz w:val="22"/>
          <w:szCs w:val="22"/>
        </w:rPr>
        <w:t xml:space="preserve">Appendix B. Clause index</w:t>
      </w:r>
    </w:p>
    <w:p>
      <w:pPr>
        <w:spacing w:after="100" w:before="300"/>
      </w:pPr>
      <w:r>
        <w:rPr>
          <w:b/>
          <w:bCs/>
          <w:color w:val="1F4E79"/>
          <w:sz w:val="24"/>
          <w:szCs w:val="24"/>
        </w:rPr>
        <w:t xml:space="preserve">Notation</w:t>
      </w:r>
    </w:p>
    <w:p>
      <w:pPr>
        <w:spacing w:after="120"/>
        <w:jc w:val="both"/>
      </w:pPr>
      <w:r>
        <w:t xml:space="preserve">η = utilisation (demand/capacity; a check passes when η ≤ 1). CUMPLE / NO CUMPLE = passes / fails (the Spanish words are kept in the tables and figures). ψ0, ψ2 = combination and quasi-permanent factors. Qa = uniform quay live load; TB1–TB3 = bollard-pull load cases. ELU/ELR = ULS combinations of the CYPE / ROM basis; ELS = characteristic combinations; QP = quasi-permanent combination. Eje = axis; pórtico = CYPECAD frame; cabeza / pie / arranque = pile head / foot / fixity section; alma / alas = web / ledges; cerco / rama = closed tie / single leg; c/100 = at 100 mm centres; alveoplaca = precast hollow-core slab plate.</w:t>
      </w:r>
    </w:p>
    <w:p>
      <w:r>
        <w:br w:type="page"/>
      </w:r>
    </w:p>
    <w:p>
      <w:pPr>
        <w:pStyle w:val="Heading1"/>
      </w:pPr>
      <w:r>
        <w:t xml:space="preserve">Executive summary</w:t>
      </w:r>
    </w:p>
    <w:p>
      <w:pPr>
        <w:spacing w:after="120"/>
        <w:jc w:val="both"/>
      </w:pPr>
      <w:r>
        <w:t xml:space="preserve">This report checks the reinforced-concrete members of the 40 m module of the Muelle de Trasmallo (Port of Cullera) against the Spanish </w:t>
      </w:r>
      <w:r>
        <w:rPr>
          <w:b/>
          <w:bCs/>
        </w:rPr>
        <w:t xml:space="preserve">Código Estructural</w:t>
      </w:r>
      <w:r>
        <w:t xml:space="preserve"> (CE 2021). Anejo 19 of the CE is EN 1992-1-1 with the Spanish values written into the text. The internal forces are those of the SAP2000 v27.1 model described in the companion report (</w:t>
      </w:r>
      <w:r>
        <w:rPr>
          <w:rFonts w:ascii="Consolas" w:cs="Consolas" w:eastAsia="Consolas" w:hAnsi="Consolas"/>
          <w:sz w:val="19"/>
          <w:szCs w:val="19"/>
        </w:rPr>
        <w:t xml:space="preserve">documentacion/02_Technical_Report_EN.docx</w:t>
      </w:r>
      <w:r>
        <w:t xml:space="preserve">). That model reproduces the CYPECAD analysis of Anejo 10 within 0–5 %. The reinforcement checked is the one on the Anejo 10 drawings and listings. All files are in the repository folder </w:t>
      </w:r>
      <w:r>
        <w:rPr>
          <w:rFonts w:ascii="Consolas" w:cs="Consolas" w:eastAsia="Consolas" w:hAnsi="Consolas"/>
          <w:sz w:val="19"/>
          <w:szCs w:val="19"/>
        </w:rPr>
        <w:t xml:space="preserve">diseno/</w:t>
      </w:r>
      <w:r>
        <w:t xml:space="preserve">.</w:t>
      </w:r>
    </w:p>
    <w:p>
      <w:pPr>
        <w:spacing w:after="120"/>
        <w:jc w:val="both"/>
      </w:pPr>
      <w:r>
        <w:rPr>
          <w:b/>
          <w:bCs/>
        </w:rPr>
        <w:t xml:space="preserve">Scope.</w:t>
      </w:r>
      <w:r>
        <w:t xml:space="preserve"> The work answers seven questions:</w:t>
      </w:r>
    </w:p>
    <w:p>
      <w:pPr>
        <w:pStyle w:val="ListParagraph"/>
        <w:numPr>
          <w:ilvl w:val="0"/>
          <w:numId w:val="2"/>
        </w:numPr>
        <w:spacing w:after="60"/>
        <w:jc w:val="both"/>
      </w:pPr>
      <w:r>
        <w:t xml:space="preserve">Required pile reinforcement for axial force and biaxial bending, first and second order.</w:t>
      </w:r>
    </w:p>
    <w:p>
      <w:pPr>
        <w:pStyle w:val="ListParagraph"/>
        <w:numPr>
          <w:ilvl w:val="0"/>
          <w:numId w:val="2"/>
        </w:numPr>
        <w:spacing w:after="60"/>
        <w:jc w:val="both"/>
      </w:pPr>
      <w:r>
        <w:t xml:space="preserve">Design of the transverse-beam and edge-beam reinforcement.</w:t>
      </w:r>
    </w:p>
    <w:p>
      <w:pPr>
        <w:pStyle w:val="ListParagraph"/>
        <w:numPr>
          <w:ilvl w:val="0"/>
          <w:numId w:val="2"/>
        </w:numPr>
        <w:spacing w:after="60"/>
        <w:jc w:val="both"/>
      </w:pPr>
      <w:r>
        <w:t xml:space="preserve">As required against As provided, section by section.</w:t>
      </w:r>
    </w:p>
    <w:p>
      <w:pPr>
        <w:pStyle w:val="ListParagraph"/>
        <w:numPr>
          <w:ilvl w:val="0"/>
          <w:numId w:val="2"/>
        </w:numPr>
        <w:spacing w:after="60"/>
        <w:jc w:val="both"/>
      </w:pPr>
      <w:r>
        <w:t xml:space="preserve">Resistance of the RC sections: N-M interaction, bending, shear and torsion.</w:t>
      </w:r>
    </w:p>
    <w:p>
      <w:pPr>
        <w:pStyle w:val="ListParagraph"/>
        <w:numPr>
          <w:ilvl w:val="0"/>
          <w:numId w:val="2"/>
        </w:numPr>
        <w:spacing w:after="60"/>
        <w:jc w:val="both"/>
      </w:pPr>
      <w:r>
        <w:t xml:space="preserve">Crack control for exposure class XS3 (wmax = 0.1 mm).</w:t>
      </w:r>
    </w:p>
    <w:p>
      <w:pPr>
        <w:pStyle w:val="ListParagraph"/>
        <w:numPr>
          <w:ilvl w:val="0"/>
          <w:numId w:val="2"/>
        </w:numPr>
        <w:spacing w:after="60"/>
        <w:jc w:val="both"/>
      </w:pPr>
      <w:r>
        <w:t xml:space="preserve">Shear design with the provided transverse reinforcement, including the suspension steel for the hollow-core plates that bear on the beam ledges.</w:t>
      </w:r>
    </w:p>
    <w:p>
      <w:pPr>
        <w:pStyle w:val="ListParagraph"/>
        <w:numPr>
          <w:ilvl w:val="0"/>
          <w:numId w:val="2"/>
        </w:numPr>
        <w:spacing w:after="60"/>
        <w:jc w:val="both"/>
      </w:pPr>
      <w:r>
        <w:t xml:space="preserve">A final design to the Código Estructural, with the changes needed.</w:t>
      </w:r>
    </w:p>
    <w:p>
      <w:pPr>
        <w:spacing w:after="120"/>
        <w:jc w:val="both"/>
      </w:pPr>
      <w:r>
        <w:rPr>
          <w:b/>
          <w:bCs/>
        </w:rPr>
        <w:t xml:space="preserve">Method.</w:t>
      </w:r>
      <w:r>
        <w:t xml:space="preserve"> Section resistances come from a fibre-section engine written for this project. Run with CYPECAD’s own conventions, it reproduces every capacity printed in Anejo 10 exactly (0.00 %). The formula validation gives 151 PASS and 0 FAIL (plus 25 information rows), and all 279 parity rows pass (203 for piles, 76 for beams). The verdict is then computed strictly to the code text (“Mode.CODIGO”) with the load basis recommended for port works, ROM 2.0-11 (ψ0,Qa = 1.0, ψ2,Qa = 0.8). The Anejo 10 basis (ψ2,Qa = 0.3, a building value from the CTE) is kept for parity and as a sensitivity case.</w:t>
      </w:r>
    </w:p>
    <w:p>
      <w:pPr>
        <w:spacing w:after="120"/>
        <w:jc w:val="both"/>
      </w:pPr>
      <w:r>
        <w:rPr>
          <w:b/>
          <w:bCs/>
        </w:rPr>
        <w:t xml:space="preserve">Final design.</w:t>
      </w:r>
      <w:r>
        <w:t xml:space="preserve"> Table 1 lists the final reinforcement of each member group, the change from Anejo 10 and the governing utilisation.</w:t>
      </w:r>
    </w:p>
    <w:p>
      <w:pPr>
        <w:keepNext/>
        <w:spacing w:after="80" w:before="160"/>
        <w:jc w:val="center"/>
      </w:pPr>
      <w:r>
        <w:rPr>
          <w:i/>
          <w:iCs/>
          <w:color w:val="404040"/>
          <w:sz w:val="18"/>
          <w:szCs w:val="18"/>
        </w:rPr>
        <w:t xml:space="preserve">Table 1 – Final design (verdict case ROM basis, Mode.CODIGO, XS3).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126"/>
        <w:gridCol w:w="1600"/>
        <w:gridCol w:w="1300"/>
      </w:tblGrid>
      <w:tr>
        <w:trPr>
          <w:cantSplit/>
          <w:tblHeader/>
        </w:trPr>
        <w:tc>
          <w:tcPr>
            <w:tcW w:type="dxa" w:w="1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7"/>
                <w:szCs w:val="17"/>
              </w:rPr>
              <w:t xml:space="preserve">Element</w:t>
            </w:r>
          </w:p>
        </w:tc>
        <w:tc>
          <w:tcPr>
            <w:tcW w:type="dxa" w:w="2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7"/>
                <w:szCs w:val="17"/>
              </w:rPr>
              <w:t xml:space="preserve">Final reinforcement</w:t>
            </w:r>
          </w:p>
        </w:tc>
        <w:tc>
          <w:tcPr>
            <w:tcW w:type="dxa" w:w="21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7"/>
                <w:szCs w:val="17"/>
              </w:rPr>
              <w:t xml:space="preserve">Change vs Anejo 10</w:t>
            </w:r>
          </w:p>
        </w:tc>
        <w:tc>
          <w:tcPr>
            <w:tcW w:type="dxa" w:w="1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7"/>
                <w:szCs w:val="17"/>
              </w:rPr>
              <w:t xml:space="preserve">Governing η</w:t>
            </w:r>
          </w:p>
        </w:tc>
        <w:tc>
          <w:tcPr>
            <w:tcW w:type="dxa" w:w="13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7"/>
                <w:szCs w:val="17"/>
              </w:rPr>
              <w:t xml:space="preserve">Verdict</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Piles P1–P18 (14)</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12Ø25; 3 ties Ø10 c/150, </w:t>
            </w:r>
            <w:r>
              <w:rPr>
                <w:b/>
                <w:bCs/>
                <w:sz w:val="17"/>
                <w:szCs w:val="17"/>
              </w:rPr>
              <w:t xml:space="preserve">c/100 in the top 0.40 m</w:t>
            </w:r>
            <w:r>
              <w:rPr>
                <w:sz w:val="17"/>
                <w:szCs w:val="17"/>
              </w:rPr>
              <w:t xml:space="preserve">; fixity section 1eØ8</w:t>
            </w:r>
          </w:p>
        </w:tc>
        <w:tc>
          <w:tcPr>
            <w:tcW w:type="dxa" w:w="21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ties tightened at the head (confinement, A19.7.2(2)), +2.8 kg/pile</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0.987 (N-M 2nd order, P3 head, ELR08)</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b/>
                <w:bCs/>
                <w:color w:val="2E7D32"/>
                <w:sz w:val="17"/>
                <w:szCs w:val="17"/>
              </w:rPr>
              <w:t xml:space="preserve">CUMPLE</w:t>
            </w:r>
            <w:r>
              <w:rPr>
                <w:sz w:val="17"/>
                <w:szCs w:val="17"/>
              </w:rPr>
              <w:t xml:space="preserve"> (with confinement ties)</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Inner beams, axes 2–6</w:t>
            </w:r>
          </w:p>
        </w:tc>
        <w:tc>
          <w:tcPr>
            <w:tcW w:type="dxa" w:w="2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top 5Ø20; </w:t>
            </w:r>
            <w:r>
              <w:rPr>
                <w:b/>
                <w:bCs/>
                <w:sz w:val="17"/>
                <w:szCs w:val="17"/>
              </w:rPr>
              <w:t xml:space="preserve">bottom 8Ø20 web + 4Ø16 ledges (33.18 cm²)</w:t>
            </w:r>
            <w:r>
              <w:rPr>
                <w:sz w:val="17"/>
                <w:szCs w:val="17"/>
              </w:rPr>
              <w:t xml:space="preserve">; sides 2+2Ø10; links Ø10 c/100 (3 legs + ledge hoop)</w:t>
            </w:r>
          </w:p>
        </w:tc>
        <w:tc>
          <w:tcPr>
            <w:tcW w:type="dxa" w:w="21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bottom 7Ø20 (21.99 cm²) → 8Ø20 + 4Ø16; 32.1 → 40.8 kg/m</w:t>
            </w:r>
          </w:p>
        </w:tc>
        <w:tc>
          <w:tcPr>
            <w:tcW w:type="dxa" w:w="16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0.962 (wk = 0.096 mm at ψ2 0.8)</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b/>
                <w:bCs/>
                <w:color w:val="2E7D32"/>
                <w:sz w:val="17"/>
                <w:szCs w:val="17"/>
              </w:rPr>
              <w:t xml:space="preserve">CUMPLE</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End beams, axes 1 and 7</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top 5Ø20; bottom 5Ø20 + 1Ø20</w:t>
            </w:r>
          </w:p>
        </w:tc>
        <w:tc>
          <w:tcPr>
            <w:tcW w:type="dxa" w:w="21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none (if the plates bear on the ledge: top 4Ø25)</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0.973 (torsion tension chord)</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b/>
                <w:bCs/>
                <w:color w:val="2E7D32"/>
                <w:sz w:val="17"/>
                <w:szCs w:val="17"/>
              </w:rPr>
              <w:t xml:space="preserve">CUMPLE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Edge beams 25×30</w:t>
            </w:r>
          </w:p>
        </w:tc>
        <w:tc>
          <w:tcPr>
            <w:tcW w:type="dxa" w:w="2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b/>
                <w:bCs/>
                <w:sz w:val="17"/>
                <w:szCs w:val="17"/>
              </w:rPr>
              <w:t xml:space="preserve">top 3Ø25 over the supports</w:t>
            </w:r>
            <w:r>
              <w:rPr>
                <w:sz w:val="17"/>
                <w:szCs w:val="17"/>
              </w:rPr>
              <w:t xml:space="preserve">; bottom 2Ø16; tie Ø8 c/150</w:t>
            </w:r>
          </w:p>
        </w:tc>
        <w:tc>
          <w:tcPr>
            <w:tcW w:type="dxa" w:w="21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top 2Ø16 → 3Ø25 (wk 0.067 mm)</w:t>
            </w:r>
          </w:p>
        </w:tc>
        <w:tc>
          <w:tcPr>
            <w:tcW w:type="dxa" w:w="16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center"/>
            </w:pPr>
            <w:r>
              <w:rPr>
                <w:sz w:val="17"/>
                <w:szCs w:val="17"/>
              </w:rPr>
              <w:t xml:space="preserve">0.872 (link spacing)</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center"/>
            </w:pPr>
            <w:r>
              <w:rPr>
                <w:b/>
                <w:bCs/>
                <w:color w:val="2E7D32"/>
                <w:sz w:val="17"/>
                <w:szCs w:val="17"/>
              </w:rPr>
              <w:t xml:space="preserve">CUMPLE</w:t>
            </w:r>
            <w:r>
              <w:rPr>
                <w:sz w:val="17"/>
                <w:szCs w:val="17"/>
              </w:rPr>
              <w:t xml:space="preserve"> (conditional, F5)</w:t>
            </w:r>
          </w:p>
        </w:tc>
      </w:tr>
    </w:tbl>
    <w:p>
      <w:pPr>
        <w:spacing w:after="120"/>
        <w:jc w:val="both"/>
      </w:pPr>
      <w:r>
        <w:rPr>
          <w:b/>
          <w:bCs/>
        </w:rPr>
        <w:t xml:space="preserve">Key results</w:t>
      </w:r>
    </w:p>
    <w:p>
      <w:pPr>
        <w:pStyle w:val="ListParagraph"/>
        <w:numPr>
          <w:ilvl w:val="0"/>
          <w:numId w:val="3"/>
        </w:numPr>
        <w:spacing w:after="60"/>
        <w:jc w:val="both"/>
      </w:pPr>
      <w:r>
        <w:rPr>
          <w:b/>
          <w:bCs/>
        </w:rPr>
        <w:t xml:space="preserve">Piles (12Ø25):</w:t>
      </w:r>
      <w:r>
        <w:t xml:space="preserve"> all ULS checks pass in every basis. The governing N-M second-order utilisation is η = 0.987, at the head of P3 in the ROM basis. The required steel is 58.43 cm² against 58.91 cm² provided, so 12Ø25 is both necessary and sufficient. Shear gives η = 0.814. The piles stay uncracked under the quasi-permanent combination.</w:t>
      </w:r>
    </w:p>
    <w:p>
      <w:pPr>
        <w:pStyle w:val="ListParagraph"/>
        <w:numPr>
          <w:ilvl w:val="0"/>
          <w:numId w:val="3"/>
        </w:numPr>
        <w:spacing w:after="60"/>
        <w:jc w:val="both"/>
      </w:pPr>
      <w:r>
        <w:rPr>
          <w:b/>
          <w:bCs/>
        </w:rPr>
        <w:t xml:space="preserve">Pile stresses:</w:t>
      </w:r>
      <w:r>
        <w:t xml:space="preserve"> the characteristic concrete stress limit σc ≤ 0.6·fck is exceeded at the heads of P1, P2, P3 and P16. The worst ratio is 1.109 with the short-term Ecm and 0.966 with the creep-weighted Ec,eff. The final design confines the pile heads with ties Ø10 at 100 mm over the top 0.40 m.</w:t>
      </w:r>
    </w:p>
    <w:p>
      <w:pPr>
        <w:pStyle w:val="ListParagraph"/>
        <w:numPr>
          <w:ilvl w:val="0"/>
          <w:numId w:val="3"/>
        </w:numPr>
        <w:spacing w:after="60"/>
        <w:jc w:val="both"/>
      </w:pPr>
      <w:r>
        <w:rPr>
          <w:b/>
          <w:bCs/>
        </w:rPr>
        <w:t xml:space="preserve">Inner transverse beams (axes 2–6):</w:t>
      </w:r>
      <w:r>
        <w:t xml:space="preserve"> ULS bending (max 0.88), shear including the suspension steel (max 0.72) and deflection pass. Crack control fails with ψ2,Qa = 0.8: wk = 0.155–0.172 mm &gt; 0.1 mm. The provided 7Ø20 bottom steel passes only for ψ2,Qa ≤ 0.58–0.70. The bottom steel becomes </w:t>
      </w:r>
      <w:r>
        <w:rPr>
          <w:b/>
          <w:bCs/>
        </w:rPr>
        <w:t xml:space="preserve">8Ø20 web + 4Ø16 ledges (33.18 cm²)</w:t>
      </w:r>
      <w:r>
        <w:t xml:space="preserve">, which gives wk = 0.096 mm.</w:t>
      </w:r>
    </w:p>
    <w:p>
      <w:pPr>
        <w:pStyle w:val="ListParagraph"/>
        <w:numPr>
          <w:ilvl w:val="0"/>
          <w:numId w:val="3"/>
        </w:numPr>
        <w:spacing w:after="60"/>
        <w:jc w:val="both"/>
      </w:pPr>
      <w:r>
        <w:rPr>
          <w:b/>
          <w:bCs/>
        </w:rPr>
        <w:t xml:space="preserve">End beams (axes 1, 7):</w:t>
      </w:r>
      <w:r>
        <w:t xml:space="preserve"> they pass with the provided steel. The governing check is the torsion tension chord, η = 0.973.</w:t>
      </w:r>
    </w:p>
    <w:p>
      <w:pPr>
        <w:pStyle w:val="ListParagraph"/>
        <w:numPr>
          <w:ilvl w:val="0"/>
          <w:numId w:val="3"/>
        </w:numPr>
        <w:spacing w:after="60"/>
        <w:jc w:val="both"/>
      </w:pPr>
      <w:r>
        <w:rPr>
          <w:b/>
          <w:bCs/>
        </w:rPr>
        <w:t xml:space="preserve">Edge beams 25×30:</w:t>
      </w:r>
      <w:r>
        <w:t xml:space="preserve"> they fail crack control under the SAP load sharing, with wk = 0.31 mm at the supports. The top steel over the supports becomes </w:t>
      </w:r>
      <w:r>
        <w:rPr>
          <w:b/>
          <w:bCs/>
        </w:rPr>
        <w:t xml:space="preserve">3Ø25</w:t>
      </w:r>
      <w:r>
        <w:t xml:space="preserve">, giving wk = 0.067 mm. This change depends on the SAP load-sharing model.</w:t>
      </w:r>
    </w:p>
    <w:p>
      <w:pPr>
        <w:pBdr>
          <w:left w:val="single" w:color="1F4E79" w:sz="18" w:space="8"/>
        </w:pBdr>
        <w:shd w:fill="EEF3F8" w:color="auto" w:val="clear"/>
        <w:spacing w:after="160" w:before="80"/>
        <w:ind w:left="284"/>
        <w:jc w:val="both"/>
      </w:pPr>
      <w:r>
        <w:rPr>
          <w:b/>
          <w:bCs/>
        </w:rPr>
        <w:t xml:space="preserve">Conclusion.</w:t>
      </w:r>
      <w:r>
        <w:t xml:space="preserve"> With three changes the module meets the Código Estructural at ULS and at SLS for exposure XS3, under the ROM 2.0-11 port load basis. The changes are confinement ties at the pile heads, stronger bottom steel in the inner beams and 3Ø25 top bars in the edge beams. With the Anejo 10 assumption ψ2,Qa = 0.3, the original inner-beam steel passes, as CYPECAD found. The difference comes from the quasi-permanent factor of the quay load, not from an error in the analysis. The pile stress limit does not depend on the basis, and CYPECAD did not check it.</w:t>
      </w:r>
    </w:p>
    <w:p>
      <w:pPr>
        <w:pStyle w:val="Heading1"/>
      </w:pPr>
      <w:r>
        <w:t xml:space="preserve">1. Introduction and scope</w:t>
      </w:r>
    </w:p>
    <w:p>
      <w:pPr>
        <w:spacing w:after="120"/>
        <w:jc w:val="both"/>
      </w:pPr>
      <w:r>
        <w:t xml:space="preserve">The Muelle de Trasmallo is a pile-supported reinforced-concrete quay. Its structural design (Anejo 10, “Cálculos estructurales”) was made with CYPECAD on a 40 m module between expansion joints. A previous stage of this work built an equivalent SAP2000 v27.1 model and verified it against the CYPECAD listing. This stage uses the SAP2000 forces to do three things: check the Anejo 10 reinforcement against the Código Estructural (CE), find the reinforcement actually required, and propose a final design.</w:t>
      </w:r>
    </w:p>
    <w:p>
      <w:pPr>
        <w:keepNext/>
        <w:spacing w:after="80" w:before="160"/>
        <w:jc w:val="center"/>
      </w:pPr>
      <w:r>
        <w:rPr>
          <w:i/>
          <w:iCs/>
          <w:color w:val="404040"/>
          <w:sz w:val="18"/>
          <w:szCs w:val="18"/>
        </w:rPr>
        <w:t xml:space="preserve">Table 2 – Members checked.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500"/>
        <w:gridCol w:w="3326"/>
      </w:tblGrid>
      <w:tr>
        <w:trPr>
          <w:cantSplit/>
          <w:tblHeader/>
        </w:trPr>
        <w:tc>
          <w:tcPr>
            <w:tcW w:type="dxa" w:w="19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8"/>
                <w:szCs w:val="18"/>
              </w:rPr>
              <w:t xml:space="preserve">Member</w:t>
            </w:r>
          </w:p>
        </w:tc>
        <w:tc>
          <w:tcPr>
            <w:tcW w:type="dxa" w:w="13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8"/>
                <w:szCs w:val="18"/>
              </w:rPr>
              <w:t xml:space="preserve">Label</w:t>
            </w:r>
          </w:p>
        </w:tc>
        <w:tc>
          <w:tcPr>
            <w:tcW w:type="dxa" w:w="2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8"/>
                <w:szCs w:val="18"/>
              </w:rPr>
              <w:t xml:space="preserve">Section</w:t>
            </w:r>
          </w:p>
        </w:tc>
        <w:tc>
          <w:tcPr>
            <w:tcW w:type="dxa" w:w="33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8"/>
                <w:szCs w:val="18"/>
              </w:rPr>
              <w:t xml:space="preserve">Remarks</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8"/>
                <w:szCs w:val="18"/>
              </w:rPr>
              <w:t xml:space="preserve">Piles</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8"/>
                <w:szCs w:val="18"/>
              </w:rPr>
              <w:t xml:space="preserve">P1…P18 (14)</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8"/>
                <w:szCs w:val="18"/>
              </w:rPr>
              <w:t xml:space="preserve">precast 40×40, HA-50</w:t>
            </w:r>
          </w:p>
        </w:tc>
        <w:tc>
          <w:tcPr>
            <w:tcW w:type="dxa" w:w="33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8"/>
                <w:szCs w:val="18"/>
              </w:rPr>
              <w:t xml:space="preserve">sea row P1, P3, P5, P7, P13, P15, P16 (Y = 0); land row P2, P4, P6, P8, P14, P17, P18 (Y = 3.45 m); flexible length 6.70 m</w:t>
            </w:r>
          </w:p>
        </w:tc>
      </w:tr>
      <w:tr>
        <w:trPr>
          <w:cantSplit/>
        </w:trPr>
        <w:tc>
          <w:tcPr>
            <w:tcW w:type="dxa" w:w="1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8"/>
                <w:szCs w:val="18"/>
              </w:rPr>
              <w:t xml:space="preserve">Inner transverse beams</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8"/>
                <w:szCs w:val="18"/>
              </w:rPr>
              <w:t xml:space="preserve">VT2–VT6</w:t>
            </w:r>
          </w:p>
        </w:tc>
        <w:tc>
          <w:tcPr>
            <w:tcW w:type="dxa" w:w="2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8"/>
                <w:szCs w:val="18"/>
              </w:rPr>
              <w:t xml:space="preserve">inverted T 50x55+15x30+15x30, HA-35</w:t>
            </w:r>
          </w:p>
        </w:tc>
        <w:tc>
          <w:tcPr>
            <w:tcW w:type="dxa" w:w="33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8"/>
                <w:szCs w:val="18"/>
              </w:rPr>
              <w:t xml:space="preserve">axes 2–6 (CYPE pórticos 4–8); hollow-core plates bear on both ledges</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8"/>
                <w:szCs w:val="18"/>
              </w:rPr>
              <w:t xml:space="preserve">End transverse beams</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8"/>
                <w:szCs w:val="18"/>
              </w:rPr>
              <w:t xml:space="preserve">VT1, VT7</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8"/>
                <w:szCs w:val="18"/>
              </w:rPr>
              <w:t xml:space="preserve">inverted L 80x55+15x30, HA-35</w:t>
            </w:r>
          </w:p>
        </w:tc>
        <w:tc>
          <w:tcPr>
            <w:tcW w:type="dxa" w:w="33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8"/>
                <w:szCs w:val="18"/>
              </w:rPr>
              <w:t xml:space="preserve">axes 1 and 7 (pórticos 3 and 9); one ledge</w:t>
            </w:r>
          </w:p>
        </w:tc>
      </w:tr>
      <w:tr>
        <w:trPr>
          <w:cantSplit/>
        </w:trPr>
        <w:tc>
          <w:tcPr>
            <w:tcW w:type="dxa" w:w="1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8"/>
                <w:szCs w:val="18"/>
              </w:rPr>
              <w:t xml:space="preserve">Edge beams</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8"/>
                <w:szCs w:val="18"/>
              </w:rPr>
              <w:t xml:space="preserve">VBM, VBT</w:t>
            </w:r>
          </w:p>
        </w:tc>
        <w:tc>
          <w:tcPr>
            <w:tcW w:type="dxa" w:w="2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8"/>
                <w:szCs w:val="18"/>
              </w:rPr>
              <w:t xml:space="preserve">25×30, HA-35</w:t>
            </w:r>
          </w:p>
        </w:tc>
        <w:tc>
          <w:tcPr>
            <w:tcW w:type="dxa" w:w="33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8"/>
                <w:szCs w:val="18"/>
              </w:rPr>
              <w:t xml:space="preserve">sea edge (pórtico 1) and land edge (pórtico 10); six spans of 6.5 m</w:t>
            </w:r>
          </w:p>
        </w:tc>
      </w:tr>
    </w:tbl>
    <w:p>
      <w:pPr>
        <w:spacing w:after="80"/>
      </w:pPr>
    </w:p>
    <w:p>
      <w:pPr>
        <w:spacing w:after="120"/>
        <w:jc w:val="both"/>
      </w:pPr>
      <w:r>
        <w:rPr>
          <w:b/>
          <w:bCs/>
        </w:rPr>
        <w:t xml:space="preserve">Out of scope:</w:t>
      </w:r>
    </w:p>
    <w:p>
      <w:pPr>
        <w:pStyle w:val="ListParagraph"/>
        <w:numPr>
          <w:ilvl w:val="0"/>
          <w:numId w:val="3"/>
        </w:numPr>
        <w:spacing w:after="60"/>
        <w:jc w:val="both"/>
      </w:pPr>
      <w:r>
        <w:t xml:space="preserve">the hollow-core slab (alveoplaca P25-1 + 5 cm topping), which is a manufacturer’s product;</w:t>
      </w:r>
    </w:p>
    <w:p>
      <w:pPr>
        <w:pStyle w:val="ListParagraph"/>
        <w:numPr>
          <w:ilvl w:val="0"/>
          <w:numId w:val="3"/>
        </w:numPr>
        <w:spacing w:after="60"/>
        <w:jc w:val="both"/>
      </w:pPr>
      <w:r>
        <w:t xml:space="preserve">the geotechnical capacity of the piles;</w:t>
      </w:r>
    </w:p>
    <w:p>
      <w:pPr>
        <w:pStyle w:val="ListParagraph"/>
        <w:numPr>
          <w:ilvl w:val="0"/>
          <w:numId w:val="3"/>
        </w:numPr>
        <w:spacing w:after="60"/>
        <w:jc w:val="both"/>
      </w:pPr>
      <w:r>
        <w:t xml:space="preserve">seismic action, which is not required (see the analysis report);</w:t>
      </w:r>
    </w:p>
    <w:p>
      <w:pPr>
        <w:pStyle w:val="ListParagraph"/>
        <w:numPr>
          <w:ilvl w:val="0"/>
          <w:numId w:val="3"/>
        </w:numPr>
        <w:spacing w:after="60"/>
        <w:jc w:val="both"/>
      </w:pPr>
      <w:r>
        <w:t xml:space="preserve">fatigue;</w:t>
      </w:r>
    </w:p>
    <w:p>
      <w:pPr>
        <w:pStyle w:val="ListParagraph"/>
        <w:numPr>
          <w:ilvl w:val="0"/>
          <w:numId w:val="3"/>
        </w:numPr>
        <w:spacing w:after="60"/>
        <w:jc w:val="both"/>
      </w:pPr>
      <w:r>
        <w:t xml:space="preserve">anchorage and lap lengths, which Anejo 10 does not print.</w:t>
      </w:r>
    </w:p>
    <w:p>
      <w:pPr>
        <w:spacing w:after="120"/>
        <w:jc w:val="both"/>
      </w:pPr>
      <w:r>
        <w:t xml:space="preserve">The Anejo 10 hand check of the “viga cantil” is only commented on in §9.</w:t>
      </w:r>
    </w:p>
    <w:p>
      <w:pPr>
        <w:pStyle w:val="Heading1"/>
      </w:pPr>
      <w:r>
        <w:t xml:space="preserve">2. Design basis</w:t>
      </w:r>
    </w:p>
    <w:p>
      <w:pPr>
        <w:pStyle w:val="Heading2"/>
      </w:pPr>
      <w:r>
        <w:t xml:space="preserve">2.1 Code and Spanish values</w:t>
      </w:r>
    </w:p>
    <w:p>
      <w:pPr>
        <w:spacing w:after="120"/>
        <w:jc w:val="both"/>
      </w:pPr>
      <w:r>
        <w:t xml:space="preserve">The legal basis is Real Decreto 470/2021, </w:t>
      </w:r>
      <w:r>
        <w:rPr>
          <w:b/>
          <w:bCs/>
        </w:rPr>
        <w:t xml:space="preserve">Código Estructural</w:t>
      </w:r>
      <w:r>
        <w:t xml:space="preserve">. The parts used are:</w:t>
      </w:r>
    </w:p>
    <w:p>
      <w:pPr>
        <w:pStyle w:val="ListParagraph"/>
        <w:numPr>
          <w:ilvl w:val="0"/>
          <w:numId w:val="3"/>
        </w:numPr>
        <w:spacing w:after="60"/>
        <w:jc w:val="both"/>
      </w:pPr>
      <w:r>
        <w:t xml:space="preserve">Anejo 18: basis of design and combinations;</w:t>
      </w:r>
    </w:p>
    <w:p>
      <w:pPr>
        <w:pStyle w:val="ListParagraph"/>
        <w:numPr>
          <w:ilvl w:val="0"/>
          <w:numId w:val="3"/>
        </w:numPr>
        <w:spacing w:after="60"/>
        <w:jc w:val="both"/>
      </w:pPr>
      <w:r>
        <w:t xml:space="preserve">Anejo 19 (clauses cited as A19.x.y): concrete design, i.e. EN 1992-1-1 with the Spanish nationally determined parameters written into the text;</w:t>
      </w:r>
    </w:p>
    <w:p>
      <w:pPr>
        <w:pStyle w:val="ListParagraph"/>
        <w:numPr>
          <w:ilvl w:val="0"/>
          <w:numId w:val="3"/>
        </w:numPr>
        <w:spacing w:after="60"/>
        <w:jc w:val="both"/>
      </w:pPr>
      <w:r>
        <w:t xml:space="preserve">Artículo 27: crack-width limits.</w:t>
      </w:r>
    </w:p>
    <w:p>
      <w:pPr>
        <w:spacing w:after="120"/>
        <w:jc w:val="both"/>
      </w:pPr>
      <w:r>
        <w:t xml:space="preserve">Table 3 lists the values that differ from the EN recommended values or from the older Spanish National Annex (AN/UNE-EN 1992-1-1). They are applied throughout. The formulas and their BOE page references are collected in </w:t>
      </w:r>
      <w:r>
        <w:rPr>
          <w:rFonts w:ascii="Consolas" w:cs="Consolas" w:eastAsia="Consolas" w:hAnsi="Consolas"/>
          <w:sz w:val="19"/>
          <w:szCs w:val="19"/>
        </w:rPr>
        <w:t xml:space="preserve">diseno/investigacion/codigo_estructural_spec.md</w:t>
      </w:r>
      <w:r>
        <w:t xml:space="preserve">.</w:t>
      </w:r>
    </w:p>
    <w:p>
      <w:pPr>
        <w:keepNext/>
        <w:spacing w:after="80" w:before="160"/>
        <w:jc w:val="center"/>
      </w:pPr>
      <w:r>
        <w:rPr>
          <w:i/>
          <w:iCs/>
          <w:color w:val="404040"/>
          <w:sz w:val="18"/>
          <w:szCs w:val="18"/>
        </w:rPr>
        <w:t xml:space="preserve">Table 3 – Spanish values of the Código Estructural used in the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700"/>
        <w:gridCol w:w="2726"/>
      </w:tblGrid>
      <w:tr>
        <w:trPr>
          <w:cantSplit/>
          <w:tblHeader/>
        </w:trPr>
        <w:tc>
          <w:tcPr>
            <w:tcW w:type="dxa" w:w="1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7"/>
                <w:szCs w:val="17"/>
              </w:rPr>
              <w:t xml:space="preserve">Parameter</w:t>
            </w:r>
          </w:p>
        </w:tc>
        <w:tc>
          <w:tcPr>
            <w:tcW w:type="dxa" w:w="3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7"/>
                <w:szCs w:val="17"/>
              </w:rPr>
              <w:t xml:space="preserve">CE value</w:t>
            </w:r>
          </w:p>
        </w:tc>
        <w:tc>
          <w:tcPr>
            <w:tcW w:type="dxa" w:w="1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7"/>
                <w:szCs w:val="17"/>
              </w:rPr>
              <w:t xml:space="preserve">Clause</w:t>
            </w:r>
          </w:p>
        </w:tc>
        <w:tc>
          <w:tcPr>
            <w:tcW w:type="dxa" w:w="27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7"/>
                <w:szCs w:val="17"/>
              </w:rPr>
              <w:t xml:space="preserve">Remark</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γc, γs (persistent)</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1.5 / 1.15</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A19.2.4.2.4</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as CYPECAD</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αcc, αct</w:t>
            </w:r>
          </w:p>
        </w:tc>
        <w:tc>
          <w:tcPr>
            <w:tcW w:type="dxa" w:w="30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1.00 / 1.00</w:t>
            </w:r>
          </w:p>
        </w:tc>
        <w:tc>
          <w:tcPr>
            <w:tcW w:type="dxa" w:w="1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A19.3.1.6</w:t>
            </w:r>
          </w:p>
        </w:tc>
        <w:tc>
          <w:tcPr>
            <w:tcW w:type="dxa" w:w="27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fcd = fck/1.5</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Strut angle</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0.5 ≤ cot θ ≤ 2.0</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A19.6.2.3 (6.7)</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EN: 1 ≤ cot θ ≤ 2.5; CYPECAD uses cot θ = 1</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VRd,c</w:t>
            </w:r>
          </w:p>
        </w:tc>
        <w:tc>
          <w:tcPr>
            <w:tcW w:type="dxa" w:w="30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CRd,c = 0.18/γc; k1 = 0.15; vmin = 0.035·k^1.5·fck^0.5</w:t>
            </w:r>
          </w:p>
        </w:tc>
        <w:tc>
          <w:tcPr>
            <w:tcW w:type="dxa" w:w="1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A19.6.2.2</w:t>
            </w:r>
          </w:p>
        </w:tc>
        <w:tc>
          <w:tcPr>
            <w:tcW w:type="dxa" w:w="27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the AN value vmin = 0.075/γc·… does not apply</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ν1 and fywd</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ν1 = 0.6 with fywd = 0.8·fywk = 400 MPa</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A19.6.2.3, NOTA to (6.10)</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as CYPECAD; torsion uses ν = 0.6(1 − fck/250) = 0.516</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Beam As,min</w:t>
            </w:r>
          </w:p>
        </w:tc>
        <w:tc>
          <w:tcPr>
            <w:tcW w:type="dxa" w:w="30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(W/z)·fctm,fl/fyd</w:t>
            </w:r>
          </w:p>
        </w:tc>
        <w:tc>
          <w:tcPr>
            <w:tcW w:type="dxa" w:w="1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A19.9.2.1.1 (9.1)</w:t>
            </w:r>
          </w:p>
        </w:tc>
        <w:tc>
          <w:tcPr>
            <w:tcW w:type="dxa" w:w="27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Spanish formula; z = 0.8h (CYPECAD 0.9d)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Links</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ρw,min = 0.08·√fck/fyk; β3 = 0.5; sl,max = st,max = 0.75d ≤ 600 mm</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A19.9.2.2</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Column bars</w:t>
            </w:r>
          </w:p>
        </w:tc>
        <w:tc>
          <w:tcPr>
            <w:tcW w:type="dxa" w:w="30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Ø ≥ 12 mm; As ≥ 0.10·NEd/fyd; As ≤ 0.04·Ac</w:t>
            </w:r>
          </w:p>
        </w:tc>
        <w:tc>
          <w:tcPr>
            <w:tcW w:type="dxa" w:w="1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A19.9.5.2</w:t>
            </w:r>
          </w:p>
        </w:tc>
        <w:tc>
          <w:tcPr>
            <w:tcW w:type="dxa" w:w="27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CYPECAD uses the AN limits 0.004·Ac and fcd·Ac/fyd</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Column ties</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Øt ≥ max(6, Ømax/4); scl,max = min(15Ømin, 300 mm, b); ×0.6 near beams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A19.9.5.3</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end-zone length = larger section dimension</w:t>
            </w: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Slenderness limit</w:t>
            </w:r>
          </w:p>
        </w:tc>
        <w:tc>
          <w:tcPr>
            <w:tcW w:type="dxa" w:w="30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λlim = 20·A·B·C/√n, B = √(1 + 2ω)</w:t>
            </w:r>
          </w:p>
        </w:tc>
        <w:tc>
          <w:tcPr>
            <w:tcW w:type="dxa" w:w="1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A19.5.8.3.1 (5.13)</w:t>
            </w:r>
          </w:p>
        </w:tc>
        <w:tc>
          <w:tcPr>
            <w:tcW w:type="dxa" w:w="27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the BOE prints 1 + √(1 + 2ω), an erratum</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Stress limits</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σc ≤ 0.6·fck (characteristic, XS); σs ≤ 0.8·fyk</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A19.7.2</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p>
        </w:tc>
      </w:tr>
      <w:tr>
        <w:trPr>
          <w:cantSplit/>
        </w:trPr>
        <w:tc>
          <w:tcPr>
            <w:tcW w:type="dxa" w:w="16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Crack width</w:t>
            </w:r>
          </w:p>
        </w:tc>
        <w:tc>
          <w:tcPr>
            <w:tcW w:type="dxa" w:w="30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wmax = 0.1 mm (XS3, quasi-permanent)</w:t>
            </w:r>
          </w:p>
        </w:tc>
        <w:tc>
          <w:tcPr>
            <w:tcW w:type="dxa" w:w="1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CE Art. 27, Tabla 27.2</w:t>
            </w:r>
          </w:p>
        </w:tc>
        <w:tc>
          <w:tcPr>
            <w:tcW w:type="dxa" w:w="27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strictest class of the table</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7"/>
                <w:szCs w:val="17"/>
              </w:rPr>
              <w:t xml:space="preserve">Deflection</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7"/>
                <w:szCs w:val="17"/>
              </w:rPr>
              <w:t xml:space="preserve">total ≤ L/250; active ≤ L/500</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7"/>
                <w:szCs w:val="17"/>
              </w:rPr>
              <w:t xml:space="preserve">A19.7.4.1</w:t>
            </w:r>
          </w:p>
        </w:tc>
        <w:tc>
          <w:tcPr>
            <w:tcW w:type="dxa" w:w="27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p>
        </w:tc>
      </w:tr>
    </w:tbl>
    <w:p>
      <w:pPr>
        <w:pStyle w:val="Heading2"/>
      </w:pPr>
      <w:r>
        <w:t xml:space="preserve">2.2 Materials</w:t>
      </w:r>
    </w:p>
    <w:p>
      <w:pPr>
        <w:keepNext/>
        <w:spacing w:after="80" w:before="160"/>
        <w:jc w:val="center"/>
      </w:pPr>
      <w:r>
        <w:rPr>
          <w:i/>
          <w:iCs/>
          <w:color w:val="404040"/>
          <w:sz w:val="18"/>
          <w:szCs w:val="18"/>
        </w:rPr>
        <w:t xml:space="preserve">Table 4 – Materials (limestone aggregate, as listed by CYPECAD).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1500"/>
        <w:gridCol w:w="1900"/>
        <w:gridCol w:w="1426"/>
      </w:tblGrid>
      <w:tr>
        <w:trPr>
          <w:cantSplit/>
          <w:tblHeader/>
        </w:trPr>
        <w:tc>
          <w:tcPr>
            <w:tcW w:type="dxa" w:w="1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9"/>
                <w:szCs w:val="19"/>
              </w:rPr>
              <w:t xml:space="preserve">Material</w:t>
            </w:r>
          </w:p>
        </w:tc>
        <w:tc>
          <w:tcPr>
            <w:tcW w:type="dxa" w:w="1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9"/>
                <w:szCs w:val="19"/>
              </w:rPr>
              <w:t xml:space="preserve">Use</w:t>
            </w:r>
          </w:p>
        </w:tc>
        <w:tc>
          <w:tcPr>
            <w:tcW w:type="dxa" w:w="1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9"/>
                <w:szCs w:val="19"/>
              </w:rPr>
              <w:t xml:space="preserve">fck / fyk (MPa)</w:t>
            </w:r>
          </w:p>
        </w:tc>
        <w:tc>
          <w:tcPr>
            <w:tcW w:type="dxa" w:w="1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9"/>
                <w:szCs w:val="19"/>
              </w:rPr>
              <w:t xml:space="preserve">fcd / fyd (MPa)</w:t>
            </w:r>
          </w:p>
        </w:tc>
        <w:tc>
          <w:tcPr>
            <w:tcW w:type="dxa" w:w="19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9"/>
                <w:szCs w:val="19"/>
              </w:rPr>
              <w:t xml:space="preserve">fctm (MPa)</w:t>
            </w:r>
          </w:p>
        </w:tc>
        <w:tc>
          <w:tcPr>
            <w:tcW w:type="dxa" w:w="14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9"/>
                <w:szCs w:val="19"/>
              </w:rPr>
              <w:t xml:space="preserve">Ecm / Es (MPa)</w:t>
            </w:r>
          </w:p>
        </w:tc>
      </w:tr>
      <w:tr>
        <w:trPr>
          <w:cantSplit/>
        </w:trPr>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9"/>
                <w:szCs w:val="19"/>
              </w:rPr>
              <w:t xml:space="preserve">HA-50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9"/>
                <w:szCs w:val="19"/>
              </w:rPr>
              <w:t xml:space="preserve">precast piles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50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33.33</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4.07</w:t>
            </w:r>
          </w:p>
        </w:tc>
        <w:tc>
          <w:tcPr>
            <w:tcW w:type="dxa" w:w="14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33 550</w:t>
            </w:r>
          </w:p>
        </w:tc>
      </w:tr>
      <w:tr>
        <w:trPr>
          <w:cantSplit/>
        </w:trPr>
        <w:tc>
          <w:tcPr>
            <w:tcW w:type="dxa" w:w="1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9"/>
                <w:szCs w:val="19"/>
              </w:rPr>
              <w:t xml:space="preserve">HA-35</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9"/>
                <w:szCs w:val="19"/>
              </w:rPr>
              <w:t xml:space="preserve">beams</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9"/>
                <w:szCs w:val="19"/>
              </w:rPr>
              <w:t xml:space="preserve">35</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9"/>
                <w:szCs w:val="19"/>
              </w:rPr>
              <w:t xml:space="preserve">23.33</w:t>
            </w:r>
          </w:p>
        </w:tc>
        <w:tc>
          <w:tcPr>
            <w:tcW w:type="dxa" w:w="1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9"/>
                <w:szCs w:val="19"/>
              </w:rPr>
              <w:t xml:space="preserve">3.21 (fctm,fl = 3.37, h = 550)</w:t>
            </w:r>
          </w:p>
        </w:tc>
        <w:tc>
          <w:tcPr>
            <w:tcW w:type="dxa" w:w="14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9"/>
                <w:szCs w:val="19"/>
              </w:rPr>
              <w:t xml:space="preserve">30 669</w:t>
            </w:r>
          </w:p>
        </w:tc>
      </w:tr>
      <w:tr>
        <w:trPr>
          <w:cantSplit/>
        </w:trPr>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9"/>
                <w:szCs w:val="19"/>
              </w:rPr>
              <w:t xml:space="preserve">B500SD</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9"/>
                <w:szCs w:val="19"/>
              </w:rPr>
              <w:t xml:space="preserve">all bars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9"/>
                <w:szCs w:val="19"/>
              </w:rPr>
              <w:t xml:space="preserve">500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9"/>
                <w:szCs w:val="19"/>
              </w:rPr>
              <w:t xml:space="preserve">434.78</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9"/>
                <w:szCs w:val="19"/>
              </w:rPr>
              <w:t xml:space="preserve">—</w:t>
            </w:r>
          </w:p>
        </w:tc>
        <w:tc>
          <w:tcPr>
            <w:tcW w:type="dxa" w:w="14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9"/>
                <w:szCs w:val="19"/>
              </w:rPr>
              <w:t xml:space="preserve">200 000</w:t>
            </w:r>
          </w:p>
        </w:tc>
      </w:tr>
    </w:tbl>
    <w:p>
      <w:pPr>
        <w:spacing w:after="80"/>
      </w:pPr>
    </w:p>
    <w:p>
      <w:pPr>
        <w:spacing w:after="120"/>
        <w:jc w:val="both"/>
      </w:pPr>
      <w:r>
        <w:t xml:space="preserve">Concrete follows the parabola-rectangle law with εc2 = 2.0 ‰ and εcu2 = 3.5 ‰. Steel has a horizontal top branch (A19.3.2.7(2)b). Ecm = 0.9 × 22·(fcm/10)^0.3 GPa, i.e. the limestone factor 0.9 (A19.3.1.3(2)). The modular ratio is αe = Es/Ecm = 6.52 for HA-35. The maximum aggregate size is 20 mm.</w:t>
      </w:r>
    </w:p>
    <w:p>
      <w:pPr>
        <w:pStyle w:val="Heading2"/>
      </w:pPr>
      <w:r>
        <w:t xml:space="preserve">2.3 Exposure and cover</w:t>
      </w:r>
    </w:p>
    <w:p>
      <w:pPr>
        <w:spacing w:after="120"/>
        <w:jc w:val="both"/>
      </w:pPr>
      <w:r>
        <w:t xml:space="preserve">The exposure class is </w:t>
      </w:r>
      <w:r>
        <w:rPr>
          <w:b/>
          <w:bCs/>
        </w:rPr>
        <w:t xml:space="preserve">XS3</w:t>
      </w:r>
      <w:r>
        <w:t xml:space="preserve"> (marine tidal, splash and spray zone), as in the project specification “HA-50/F/12/XS3”. The geometric cover to the ties is 50 mm, so the longitudinal bars lie at 50 mm + tie diameter from the face (c = 60 mm in the crack-width formula). XS3 has the strictest crack-width limit of the CE: wmax = 0.1 mm under the quasi-permanent combination. In XS classes the concrete stress under the characteristic combination is also limited to 0.6·fck, to avoid longitudinal cracking.</w:t>
      </w:r>
    </w:p>
    <w:p>
      <w:pPr>
        <w:pStyle w:val="Heading2"/>
      </w:pPr>
      <w:r>
        <w:t xml:space="preserve">2.4 Actions and combinations</w:t>
      </w:r>
    </w:p>
    <w:p>
      <w:pPr>
        <w:keepNext/>
        <w:spacing w:after="80" w:before="160"/>
        <w:jc w:val="center"/>
      </w:pPr>
      <w:r>
        <w:rPr>
          <w:i/>
          <w:iCs/>
          <w:color w:val="404040"/>
          <w:sz w:val="18"/>
          <w:szCs w:val="18"/>
        </w:rPr>
        <w:t xml:space="preserve">Table 5 – Basic load cases (from the analysis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cantSplit/>
          <w:tblHeader/>
        </w:trPr>
        <w:tc>
          <w:tcPr>
            <w:tcW w:type="dxa" w:w="14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9"/>
                <w:szCs w:val="19"/>
              </w:rPr>
              <w:t xml:space="preserve">Case</w:t>
            </w:r>
          </w:p>
        </w:tc>
        <w:tc>
          <w:tcPr>
            <w:tcW w:type="dxa" w:w="76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9"/>
                <w:szCs w:val="19"/>
              </w:rPr>
              <w:t xml:space="preserve">Description</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9"/>
                <w:szCs w:val="19"/>
              </w:rPr>
              <w:t xml:space="preserve">PP</w:t>
            </w:r>
          </w:p>
        </w:tc>
        <w:tc>
          <w:tcPr>
            <w:tcW w:type="dxa" w:w="7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9"/>
                <w:szCs w:val="19"/>
              </w:rPr>
              <w:t xml:space="preserve">self weight (RC members and hollow-core plates 4.10 kN/m²)</w:t>
            </w:r>
          </w:p>
        </w:tc>
      </w:tr>
      <w:tr>
        <w:trPr>
          <w:cantSplit/>
        </w:trPr>
        <w:tc>
          <w:tcPr>
            <w:tcW w:type="dxa" w:w="14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9"/>
                <w:szCs w:val="19"/>
              </w:rPr>
              <w:t xml:space="preserve">CM</w:t>
            </w:r>
          </w:p>
        </w:tc>
        <w:tc>
          <w:tcPr>
            <w:tcW w:type="dxa" w:w="76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9"/>
                <w:szCs w:val="19"/>
              </w:rPr>
              <w:t xml:space="preserve">superimposed dead load 1.75 kN/m²</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9"/>
                <w:szCs w:val="19"/>
              </w:rPr>
              <w:t xml:space="preserve">Qa</w:t>
            </w:r>
          </w:p>
        </w:tc>
        <w:tc>
          <w:tcPr>
            <w:tcW w:type="dxa" w:w="7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9"/>
                <w:szCs w:val="19"/>
              </w:rPr>
              <w:t xml:space="preserve">uniform quay live load 15 kN/m²</w:t>
            </w:r>
          </w:p>
        </w:tc>
      </w:tr>
      <w:tr>
        <w:trPr>
          <w:cantSplit/>
        </w:trPr>
        <w:tc>
          <w:tcPr>
            <w:tcW w:type="dxa" w:w="14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9"/>
                <w:szCs w:val="19"/>
              </w:rPr>
              <w:t xml:space="preserve">TB1</w:t>
            </w:r>
          </w:p>
        </w:tc>
        <w:tc>
          <w:tcPr>
            <w:tcW w:type="dxa" w:w="76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9"/>
                <w:szCs w:val="19"/>
              </w:rPr>
              <w:t xml:space="preserve">bollard pull, horizontal (75 kN per bollard), plus the pile-head loads of the listing</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9"/>
                <w:szCs w:val="19"/>
              </w:rPr>
              <w:t xml:space="preserve">TB2 / TB3</w:t>
            </w:r>
          </w:p>
        </w:tc>
        <w:tc>
          <w:tcPr>
            <w:tcW w:type="dxa" w:w="7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9"/>
                <w:szCs w:val="19"/>
              </w:rPr>
              <w:t xml:space="preserve">bollard pull, vertical component (±53 kN)</w:t>
            </w:r>
          </w:p>
        </w:tc>
      </w:tr>
    </w:tbl>
    <w:p>
      <w:pPr>
        <w:spacing w:after="80"/>
      </w:pPr>
    </w:p>
    <w:p>
      <w:pPr>
        <w:spacing w:after="120"/>
        <w:jc w:val="both"/>
      </w:pPr>
      <w:r>
        <w:t xml:space="preserve">ULS combinations follow CE Anejo 18, expression 6.10:</w:t>
      </w:r>
    </w:p>
    <w:p>
      <w:pPr>
        <w:keepLines/>
        <w:tabs>
          <w:tab w:val="right" w:pos="9026"/>
        </w:tabs>
        <w:spacing w:after="120" w:before="80"/>
        <w:ind w:left="567"/>
        <w:jc w:val="left"/>
      </w:pPr>
      <w:r>
        <w:rPr>
          <w:rFonts w:ascii="Cambria Math" w:cs="Cambria Math" w:eastAsia="Cambria Math" w:hAnsi="Cambria Math"/>
          <w:i/>
          <w:iCs/>
        </w:rPr>
        <w:t xml:space="preserve">Ed = Σ γG·Gk + γQ,1·Qk,1 + Σ γQ,i·ψ0,i·Qk,i,   γG = 1.35 / 1.00,  γQ = 1.50 / 0</w:t>
      </w:r>
      <w:r>
        <w:rPr>
          <w:rFonts w:ascii="Cambria Math" w:cs="Cambria Math" w:eastAsia="Cambria Math" w:hAnsi="Cambria Math"/>
        </w:rPr>
        <w:t xml:space="preserve">	(1)</w:t>
      </w:r>
    </w:p>
    <w:p>
      <w:pPr>
        <w:spacing w:after="120"/>
        <w:jc w:val="both"/>
      </w:pPr>
      <w:r>
        <w:t xml:space="preserve">There are 22 ULS combinations: ELU01–22 in the CYPE basis and ELR01–22 in the ROM basis. The ROM set has the same structure with ψ0,Qa = 1.0. For example, ELR08 = 1.35PP + 1.35CM + 1.5Qa + 1.5TB1 (CYPECAD’s ELU08 has 1.05Qa), and ELR05 = PP + CM + 1.5TB1.</w:t>
      </w:r>
    </w:p>
    <w:p>
      <w:pPr>
        <w:spacing w:after="120"/>
        <w:jc w:val="both"/>
      </w:pPr>
      <w:r>
        <w:t xml:space="preserve">The stress limits use the characteristic combinations ELS01–08, with all factors 1.0 as in the SAP model; for example ELS04 = PP + CM + Qa + TB1. Cracking and deflection use the quasi-permanent combination QP = PP + CM + ψ2,Qa·Qa + ψ2,TB·TB.</w:t>
      </w:r>
    </w:p>
    <w:p>
      <w:pPr>
        <w:pStyle w:val="Heading2"/>
      </w:pPr>
      <w:r>
        <w:t xml:space="preserve">2.5 The two ψ bases (decision F0)</w:t>
      </w:r>
    </w:p>
    <w:p>
      <w:pPr>
        <w:keepNext/>
        <w:spacing w:after="80" w:before="160"/>
        <w:jc w:val="center"/>
      </w:pPr>
      <w:r>
        <w:rPr>
          <w:i/>
          <w:iCs/>
          <w:color w:val="404040"/>
          <w:sz w:val="18"/>
          <w:szCs w:val="18"/>
        </w:rPr>
        <w:t xml:space="preserve">Table 6 – Combination factors of the two bases.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cantSplit/>
          <w:tblHeader/>
        </w:trPr>
        <w:tc>
          <w:tcPr>
            <w:tcW w:type="dxa" w:w="2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9"/>
                <w:szCs w:val="19"/>
              </w:rPr>
              <w:t xml:space="preserve">Factor</w:t>
            </w:r>
          </w:p>
        </w:tc>
        <w:tc>
          <w:tcPr>
            <w:tcW w:type="dxa" w:w="33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9"/>
                <w:szCs w:val="19"/>
              </w:rPr>
              <w:t xml:space="preserve">“CYPE” basis (Anejo 10)</w:t>
            </w:r>
          </w:p>
        </w:tc>
        <w:tc>
          <w:tcPr>
            <w:tcW w:type="dxa" w:w="37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9"/>
                <w:szCs w:val="19"/>
              </w:rPr>
              <w:t xml:space="preserve">“ROM” basis (ROM 2.0-11)</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9"/>
                <w:szCs w:val="19"/>
              </w:rPr>
              <w:t xml:space="preserve">ψ0 quay load Qa</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9"/>
                <w:szCs w:val="19"/>
              </w:rPr>
              <w:t xml:space="preserve">0.7</w:t>
            </w:r>
          </w:p>
        </w:tc>
        <w:tc>
          <w:tcPr>
            <w:tcW w:type="dxa" w:w="37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9"/>
                <w:szCs w:val="19"/>
              </w:rPr>
              <w:t xml:space="preserve">1.0</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9"/>
                <w:szCs w:val="19"/>
              </w:rPr>
              <w:t xml:space="preserve">ψ2 quay load Qa</w:t>
            </w:r>
          </w:p>
        </w:tc>
        <w:tc>
          <w:tcPr>
            <w:tcW w:type="dxa" w:w="3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9"/>
                <w:szCs w:val="19"/>
              </w:rPr>
              <w:t xml:space="preserve">0.3</w:t>
            </w:r>
          </w:p>
        </w:tc>
        <w:tc>
          <w:tcPr>
            <w:tcW w:type="dxa" w:w="37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9"/>
                <w:szCs w:val="19"/>
              </w:rPr>
              <w:t xml:space="preserve">0.8</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9"/>
                <w:szCs w:val="19"/>
              </w:rPr>
              <w:t xml:space="preserve">ψ0 bollard pull</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9"/>
                <w:szCs w:val="19"/>
              </w:rPr>
              <w:t xml:space="preserve">0.6</w:t>
            </w:r>
          </w:p>
        </w:tc>
        <w:tc>
          <w:tcPr>
            <w:tcW w:type="dxa" w:w="37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9"/>
                <w:szCs w:val="19"/>
              </w:rPr>
              <w:t xml:space="preserve">0.6</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9"/>
                <w:szCs w:val="19"/>
              </w:rPr>
              <w:t xml:space="preserve">ψ2 bollard pull</w:t>
            </w:r>
          </w:p>
        </w:tc>
        <w:tc>
          <w:tcPr>
            <w:tcW w:type="dxa" w:w="3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9"/>
                <w:szCs w:val="19"/>
              </w:rPr>
              <w:t xml:space="preserve">0 (entered as wind)</w:t>
            </w:r>
          </w:p>
        </w:tc>
        <w:tc>
          <w:tcPr>
            <w:tcW w:type="dxa" w:w="37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9"/>
                <w:szCs w:val="19"/>
              </w:rPr>
              <w:t xml:space="preserve">0 (0.5 as sensitivity, §5.8)</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9"/>
                <w:szCs w:val="19"/>
              </w:rPr>
              <w:t xml:space="preserve">Source</w:t>
            </w:r>
          </w:p>
        </w:tc>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9"/>
                <w:szCs w:val="19"/>
              </w:rPr>
              <w:t xml:space="preserve">CTE DB SE Tabla 4.2, categories A/B (residential, offices)</w:t>
            </w:r>
          </w:p>
        </w:tc>
        <w:tc>
          <w:tcPr>
            <w:tcW w:type="dxa" w:w="37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9"/>
                <w:szCs w:val="19"/>
              </w:rPr>
              <w:t xml:space="preserve">ROM 2.0-11 Tabla 4.6.4.1, storage and operation loads without statistics (EN 1990 category E also gives ψ2 = 0.8)</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9"/>
                <w:szCs w:val="19"/>
              </w:rPr>
              <w:t xml:space="preserve">Use</w:t>
            </w:r>
          </w:p>
        </w:tc>
        <w:tc>
          <w:tcPr>
            <w:tcW w:type="dxa" w:w="3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9"/>
                <w:szCs w:val="19"/>
              </w:rPr>
              <w:t xml:space="preserve">parity with CYPECAD</w:t>
            </w:r>
          </w:p>
        </w:tc>
        <w:tc>
          <w:tcPr>
            <w:tcW w:type="dxa" w:w="37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9"/>
                <w:szCs w:val="19"/>
              </w:rPr>
              <w:t xml:space="preserve">final verdict</w:t>
            </w:r>
          </w:p>
        </w:tc>
      </w:tr>
    </w:tbl>
    <w:p>
      <w:pPr>
        <w:spacing w:after="80"/>
      </w:pPr>
    </w:p>
    <w:p>
      <w:pPr>
        <w:spacing w:after="120"/>
        <w:jc w:val="both"/>
      </w:pPr>
      <w:r>
        <w:rPr>
          <w:b/>
          <w:bCs/>
        </w:rPr>
        <w:t xml:space="preserve">Why two bases.</w:t>
      </w:r>
      <w:r>
        <w:t xml:space="preserve"> CYPECAD’s factors are building values from the CTE. Its printed quasi-permanent combination, “…+0.3·Sobrecarga de uso”, confirms ψ2 = 0.3. The CE Anejo 18 has no appendix for port works; the sector reference is the Puertos del Estado ROM series. For a quay that stores fishing gear and carries vehicles, ROM 2.0-11 gives ψ2 = 0.8 when no load statistics exist. The quasi-permanent value drives the crack check, so the choice matters: at ψ2,Qa = 0.3 the inner beams stay uncracked, at 0.8 they crack (§6.5).</w:t>
      </w:r>
    </w:p>
    <w:p>
      <w:pPr>
        <w:pBdr>
          <w:left w:val="single" w:color="1F4E79" w:sz="18" w:space="8"/>
        </w:pBdr>
        <w:shd w:fill="EEF3F8" w:color="auto" w:val="clear"/>
        <w:spacing w:after="160" w:before="80"/>
        <w:ind w:left="284"/>
        <w:jc w:val="both"/>
      </w:pPr>
      <w:r>
        <w:rPr>
          <w:b/>
          <w:bCs/>
        </w:rPr>
        <w:t xml:space="preserve">Decision F0 — verdict basis.</w:t>
      </w:r>
      <w:r>
        <w:t xml:space="preserve"> The final verdict uses the code-strict section (Mode.CODIGO), the ROM basis, and XS3 wmax = 0.1 mm (CE Art. 27, Tabla 27.2) under the quasi-permanent combination. Two other cases are also computed. “CYPE/cype” uses CYPECAD’s section conventions with the Anejo 10 loads and is for parity. “CYPE/codigo” uses the code-strict section with the Anejo 10 loads, which isolates the effect of the section conventions.</w:t>
      </w:r>
    </w:p>
    <w:p>
      <w:pPr>
        <w:pStyle w:val="Heading2"/>
      </w:pPr>
      <w:r>
        <w:t xml:space="preserve">2.6 Internal forces and design sections</w:t>
      </w:r>
    </w:p>
    <w:p>
      <w:pPr>
        <w:spacing w:after="120"/>
        <w:jc w:val="both"/>
      </w:pPr>
      <w:r>
        <w:t xml:space="preserve">The forces are the SAP2000 v27.1 results of the analysis model (</w:t>
      </w:r>
      <w:r>
        <w:rPr>
          <w:rFonts w:ascii="Consolas" w:cs="Consolas" w:eastAsia="Consolas" w:hAnsi="Consolas"/>
          <w:sz w:val="19"/>
          <w:szCs w:val="19"/>
        </w:rPr>
        <w:t xml:space="preserve">sap2000/resultados_sap</w:t>
      </w:r>
      <w:r>
        <w:t xml:space="preserve">). The script </w:t>
      </w:r>
      <w:r>
        <w:rPr>
          <w:rFonts w:ascii="Consolas" w:cs="Consolas" w:eastAsia="Consolas" w:hAnsi="Consolas"/>
          <w:sz w:val="19"/>
          <w:szCs w:val="19"/>
        </w:rPr>
        <w:t xml:space="preserve">diseno/esfuerzos.py</w:t>
      </w:r>
      <w:r>
        <w:t xml:space="preserve"> converts them to the CYPECAD sign convention (N positive in compression, hogging moment negative) and builds the combinations of both bases.</w:t>
      </w:r>
    </w:p>
    <w:p>
      <w:pPr>
        <w:spacing w:after="120"/>
        <w:jc w:val="both"/>
      </w:pPr>
      <w:r>
        <w:t xml:space="preserve">The piles are checked at the head (z = 6.70 m, beam soffit), at the foot and fixity section (z = 0) and at intermediate stations. The beams are checked at the pile faces (y = ±0.20 m, 3.25 m and 3.65 m; A19.5.3.2.2(3)) and at the maximum span moment; shear is checked at d from the face. The moments at the pile axes (rigid node) are reported for information only (§6.9).</w:t>
      </w:r>
    </w:p>
    <w:p>
      <w:pPr>
        <w:pStyle w:val="Heading1"/>
      </w:pPr>
      <w:r>
        <w:t xml:space="preserve">3. Reinforcement provided in Anejo 10</w:t>
      </w:r>
    </w:p>
    <w:p>
      <w:pPr>
        <w:spacing w:after="120"/>
        <w:jc w:val="both"/>
      </w:pPr>
      <w:r>
        <w:t xml:space="preserve">The reinforcement was transcribed from the CYPECAD listings (Apéndice 1 §2–§3) and the beam drawings (images 203–212 of Anejo 10). Each value is stored with its source in </w:t>
      </w:r>
      <w:r>
        <w:rPr>
          <w:rFonts w:ascii="Consolas" w:cs="Consolas" w:eastAsia="Consolas" w:hAnsi="Consolas"/>
          <w:sz w:val="19"/>
          <w:szCs w:val="19"/>
        </w:rPr>
        <w:t xml:space="preserve">diseno/ref/cype_design_reference.json</w:t>
      </w:r>
      <w:r>
        <w:t xml:space="preserve">. Bar counts that come from “Área Real” are cross-checked with the drawings.</w:t>
      </w:r>
    </w:p>
    <w:p>
      <w:pPr>
        <w:keepNext/>
        <w:spacing w:after="80" w:before="160"/>
        <w:jc w:val="center"/>
      </w:pPr>
      <w:r>
        <w:rPr>
          <w:i/>
          <w:iCs/>
          <w:color w:val="404040"/>
          <w:sz w:val="18"/>
          <w:szCs w:val="18"/>
        </w:rPr>
        <w:t xml:space="preserve">Table 7 – Reinforcement of Anejo 10 (checked as provided).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800"/>
        <w:gridCol w:w="1650"/>
        <w:gridCol w:w="1976"/>
      </w:tblGrid>
      <w:tr>
        <w:trPr>
          <w:cantSplit/>
          <w:tblHeader/>
        </w:trPr>
        <w:tc>
          <w:tcPr>
            <w:tcW w:type="dxa" w:w="19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7"/>
                <w:szCs w:val="17"/>
              </w:rPr>
              <w:t xml:space="preserve">Member</w:t>
            </w:r>
          </w:p>
        </w:tc>
        <w:tc>
          <w:tcPr>
            <w:tcW w:type="dxa" w:w="1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7"/>
                <w:szCs w:val="17"/>
              </w:rPr>
              <w:t xml:space="preserve">Top</w:t>
            </w:r>
          </w:p>
        </w:tc>
        <w:tc>
          <w:tcPr>
            <w:tcW w:type="dxa" w:w="1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7"/>
                <w:szCs w:val="17"/>
              </w:rPr>
              <w:t xml:space="preserve">Bottom</w:t>
            </w:r>
          </w:p>
        </w:tc>
        <w:tc>
          <w:tcPr>
            <w:tcW w:type="dxa" w:w="165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7"/>
                <w:szCs w:val="17"/>
              </w:rPr>
              <w:t xml:space="preserve">Side</w:t>
            </w:r>
          </w:p>
        </w:tc>
        <w:tc>
          <w:tcPr>
            <w:tcW w:type="dxa" w:w="197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7"/>
                <w:szCs w:val="17"/>
              </w:rPr>
              <w:t xml:space="preserve">Transverse</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Piles P1–P18, 40×40</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12Ø25 total, 4 per face (As = 58.91 cm², ρ = 3.68 %)</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w:t>
            </w:r>
          </w:p>
        </w:tc>
        <w:tc>
          <w:tcPr>
            <w:tcW w:type="dxa" w:w="1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3 closed ties Ø10 (2eØ10 + 1eØ10) c/150; fixity section 1eØ8</w:t>
            </w:r>
          </w:p>
        </w:tc>
      </w:tr>
      <w:tr>
        <w:trPr>
          <w:cantSplit/>
        </w:trPr>
        <w:tc>
          <w:tcPr>
            <w:tcW w:type="dxa" w:w="1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Inner beams VT2–VT6, 50x55+15x30+15x30</w:t>
            </w:r>
          </w:p>
        </w:tc>
        <w:tc>
          <w:tcPr>
            <w:tcW w:type="dxa" w:w="1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5Ø20 (15.71 cm²)</w:t>
            </w:r>
          </w:p>
        </w:tc>
        <w:tc>
          <w:tcPr>
            <w:tcW w:type="dxa" w:w="18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5Ø20 web + 2Ø20 ledges = 7Ø20 (21.99 cm²)</w:t>
            </w:r>
          </w:p>
        </w:tc>
        <w:tc>
          <w:tcPr>
            <w:tcW w:type="dxa" w:w="165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2Ø10 + 2Ø10 at 235 mm (ledges / skin)</w:t>
            </w:r>
          </w:p>
        </w:tc>
        <w:tc>
          <w:tcPr>
            <w:tcW w:type="dxa" w:w="197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web hoop Ø10 + leg Ø10 (3 legs) + ledge hoop Ø10, c/100 (23.56 cm²/m)</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End beams VT1, VT7, 80x55+15x30</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5Ø20 (15.71 cm²)</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5Ø20 web + 1Ø20 ledge (18.85 cm²)</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1Ø20 at the ledge top + 2Ø10 at 235 mm</w:t>
            </w:r>
          </w:p>
        </w:tc>
        <w:tc>
          <w:tcPr>
            <w:tcW w:type="dxa" w:w="19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as inner beams</w:t>
            </w:r>
          </w:p>
        </w:tc>
      </w:tr>
      <w:tr>
        <w:trPr>
          <w:cantSplit/>
        </w:trPr>
        <w:tc>
          <w:tcPr>
            <w:tcW w:type="dxa" w:w="1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Edge beams VBM, VBT, 25×30</w:t>
            </w:r>
          </w:p>
        </w:tc>
        <w:tc>
          <w:tcPr>
            <w:tcW w:type="dxa" w:w="1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2Ø16 (4.02 cm²)</w:t>
            </w:r>
          </w:p>
        </w:tc>
        <w:tc>
          <w:tcPr>
            <w:tcW w:type="dxa" w:w="18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2Ø16 (4.02 cm²)</w:t>
            </w:r>
          </w:p>
        </w:tc>
        <w:tc>
          <w:tcPr>
            <w:tcW w:type="dxa" w:w="165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w:t>
            </w:r>
          </w:p>
        </w:tc>
        <w:tc>
          <w:tcPr>
            <w:tcW w:type="dxa" w:w="197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1eØ8 c/150 (6.70 cm²/m)</w:t>
            </w:r>
          </w:p>
        </w:tc>
      </w:tr>
    </w:tbl>
    <w:p>
      <w:pPr>
        <w:keepNext/>
        <w:spacing w:after="80" w:before="160"/>
        <w:jc w:val="center"/>
      </w:pPr>
      <w:r>
        <w:rPr>
          <w:i/>
          <w:iCs/>
          <w:color w:val="404040"/>
          <w:sz w:val="18"/>
          <w:szCs w:val="18"/>
        </w:rPr>
        <w:t xml:space="preserve">Table 8 – Axes, CYPECAD frames and piles.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500"/>
        <w:gridCol w:w="2026"/>
        <w:gridCol w:w="1800"/>
        <w:gridCol w:w="1800"/>
      </w:tblGrid>
      <w:tr>
        <w:trPr>
          <w:cantSplit/>
          <w:tblHeader/>
        </w:trPr>
        <w:tc>
          <w:tcPr>
            <w:tcW w:type="dxa" w:w="9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9"/>
                <w:szCs w:val="19"/>
              </w:rPr>
              <w:t xml:space="preserve">Axis</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9"/>
                <w:szCs w:val="19"/>
              </w:rPr>
              <w:t xml:space="preserve">X (m)</w:t>
            </w:r>
          </w:p>
        </w:tc>
        <w:tc>
          <w:tcPr>
            <w:tcW w:type="dxa" w:w="1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9"/>
                <w:szCs w:val="19"/>
              </w:rPr>
              <w:t xml:space="preserve">CYPE pórtico</w:t>
            </w:r>
          </w:p>
        </w:tc>
        <w:tc>
          <w:tcPr>
            <w:tcW w:type="dxa" w:w="20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9"/>
                <w:szCs w:val="19"/>
              </w:rPr>
              <w:t xml:space="preserve">Beam</w:t>
            </w:r>
          </w:p>
        </w:tc>
        <w:tc>
          <w:tcPr>
            <w:tcW w:type="dxa" w:w="1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9"/>
                <w:szCs w:val="19"/>
              </w:rPr>
              <w:t xml:space="preserve">Sea pile (Y = 0)</w:t>
            </w:r>
          </w:p>
        </w:tc>
        <w:tc>
          <w:tcPr>
            <w:tcW w:type="dxa" w:w="1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9"/>
                <w:szCs w:val="19"/>
              </w:rPr>
              <w:t xml:space="preserve">Land pile (Y = 3.45)</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9"/>
                <w:szCs w:val="19"/>
              </w:rPr>
              <w:t xml:space="preserve">1</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0.0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3</w:t>
            </w:r>
          </w:p>
        </w:tc>
        <w:tc>
          <w:tcPr>
            <w:tcW w:type="dxa" w:w="2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VT1 (end, L)</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P1</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P2</w:t>
            </w:r>
          </w:p>
        </w:tc>
      </w:tr>
      <w:tr>
        <w:trPr>
          <w:cantSplit/>
        </w:trPr>
        <w:tc>
          <w:tcPr>
            <w:tcW w:type="dxa" w:w="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9"/>
                <w:szCs w:val="19"/>
              </w:rPr>
              <w:t xml:space="preserve">2</w:t>
            </w:r>
          </w:p>
        </w:tc>
        <w:tc>
          <w:tcPr>
            <w:tcW w:type="dxa" w:w="10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9"/>
                <w:szCs w:val="19"/>
              </w:rPr>
              <w:t xml:space="preserve">6.5</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9"/>
                <w:szCs w:val="19"/>
              </w:rPr>
              <w:t xml:space="preserve">4</w:t>
            </w:r>
          </w:p>
        </w:tc>
        <w:tc>
          <w:tcPr>
            <w:tcW w:type="dxa" w:w="20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9"/>
                <w:szCs w:val="19"/>
              </w:rPr>
              <w:t xml:space="preserve">VT2 (inner, T)</w:t>
            </w:r>
          </w:p>
        </w:tc>
        <w:tc>
          <w:tcPr>
            <w:tcW w:type="dxa" w:w="18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9"/>
                <w:szCs w:val="19"/>
              </w:rPr>
              <w:t xml:space="preserve">P3</w:t>
            </w:r>
          </w:p>
        </w:tc>
        <w:tc>
          <w:tcPr>
            <w:tcW w:type="dxa" w:w="18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9"/>
                <w:szCs w:val="19"/>
              </w:rPr>
              <w:t xml:space="preserve">P4</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9"/>
                <w:szCs w:val="19"/>
              </w:rPr>
              <w:t xml:space="preserve">3</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13.0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5</w:t>
            </w:r>
          </w:p>
        </w:tc>
        <w:tc>
          <w:tcPr>
            <w:tcW w:type="dxa" w:w="2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VT3 (inner, T)</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P5</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P6</w:t>
            </w:r>
          </w:p>
        </w:tc>
      </w:tr>
      <w:tr>
        <w:trPr>
          <w:cantSplit/>
        </w:trPr>
        <w:tc>
          <w:tcPr>
            <w:tcW w:type="dxa" w:w="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9"/>
                <w:szCs w:val="19"/>
              </w:rPr>
              <w:t xml:space="preserve">4</w:t>
            </w:r>
          </w:p>
        </w:tc>
        <w:tc>
          <w:tcPr>
            <w:tcW w:type="dxa" w:w="10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9"/>
                <w:szCs w:val="19"/>
              </w:rPr>
              <w:t xml:space="preserve">19.5</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9"/>
                <w:szCs w:val="19"/>
              </w:rPr>
              <w:t xml:space="preserve">6</w:t>
            </w:r>
          </w:p>
        </w:tc>
        <w:tc>
          <w:tcPr>
            <w:tcW w:type="dxa" w:w="20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9"/>
                <w:szCs w:val="19"/>
              </w:rPr>
              <w:t xml:space="preserve">VT4 (inner, T)</w:t>
            </w:r>
          </w:p>
        </w:tc>
        <w:tc>
          <w:tcPr>
            <w:tcW w:type="dxa" w:w="18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9"/>
                <w:szCs w:val="19"/>
              </w:rPr>
              <w:t xml:space="preserve">P7</w:t>
            </w:r>
          </w:p>
        </w:tc>
        <w:tc>
          <w:tcPr>
            <w:tcW w:type="dxa" w:w="18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9"/>
                <w:szCs w:val="19"/>
              </w:rPr>
              <w:t xml:space="preserve">P8</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9"/>
                <w:szCs w:val="19"/>
              </w:rPr>
              <w:t xml:space="preserve">5</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26.0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7</w:t>
            </w:r>
          </w:p>
        </w:tc>
        <w:tc>
          <w:tcPr>
            <w:tcW w:type="dxa" w:w="2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VT5 (inner, T)</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P13</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P14</w:t>
            </w:r>
          </w:p>
        </w:tc>
      </w:tr>
      <w:tr>
        <w:trPr>
          <w:cantSplit/>
        </w:trPr>
        <w:tc>
          <w:tcPr>
            <w:tcW w:type="dxa" w:w="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9"/>
                <w:szCs w:val="19"/>
              </w:rPr>
              <w:t xml:space="preserve">6</w:t>
            </w:r>
          </w:p>
        </w:tc>
        <w:tc>
          <w:tcPr>
            <w:tcW w:type="dxa" w:w="10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9"/>
                <w:szCs w:val="19"/>
              </w:rPr>
              <w:t xml:space="preserve">32.5</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9"/>
                <w:szCs w:val="19"/>
              </w:rPr>
              <w:t xml:space="preserve">8</w:t>
            </w:r>
          </w:p>
        </w:tc>
        <w:tc>
          <w:tcPr>
            <w:tcW w:type="dxa" w:w="20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9"/>
                <w:szCs w:val="19"/>
              </w:rPr>
              <w:t xml:space="preserve">VT6 (inner, T)</w:t>
            </w:r>
          </w:p>
        </w:tc>
        <w:tc>
          <w:tcPr>
            <w:tcW w:type="dxa" w:w="18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9"/>
                <w:szCs w:val="19"/>
              </w:rPr>
              <w:t xml:space="preserve">P15</w:t>
            </w:r>
          </w:p>
        </w:tc>
        <w:tc>
          <w:tcPr>
            <w:tcW w:type="dxa" w:w="18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9"/>
                <w:szCs w:val="19"/>
              </w:rPr>
              <w:t xml:space="preserve">P17</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9"/>
                <w:szCs w:val="19"/>
              </w:rPr>
              <w:t xml:space="preserve">7</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9"/>
                <w:szCs w:val="19"/>
              </w:rPr>
              <w:t xml:space="preserve">39.0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9"/>
                <w:szCs w:val="19"/>
              </w:rPr>
              <w:t xml:space="preserve">9</w:t>
            </w:r>
          </w:p>
        </w:tc>
        <w:tc>
          <w:tcPr>
            <w:tcW w:type="dxa" w:w="2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9"/>
                <w:szCs w:val="19"/>
              </w:rPr>
              <w:t xml:space="preserve">VT7 (end, L)</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9"/>
                <w:szCs w:val="19"/>
              </w:rPr>
              <w:t xml:space="preserve">P16</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9"/>
                <w:szCs w:val="19"/>
              </w:rPr>
              <w:t xml:space="preserve">P18</w:t>
            </w:r>
          </w:p>
        </w:tc>
      </w:tr>
    </w:tbl>
    <w:p>
      <w:pPr>
        <w:spacing w:after="80"/>
      </w:pPr>
    </w:p>
    <w:p>
      <w:pPr>
        <w:spacing w:after="120"/>
        <w:jc w:val="both"/>
      </w:pPr>
      <w:r>
        <w:t xml:space="preserve">The edge beams run along the deck edges: VBM on the sea side (CYPE pórtico 1) and VBT on the land side (pórtico 10). The transverse beams span 3.45 m between the pile axes, a clear span of 3.05 m, with a short cantilever on the sea side.</w:t>
      </w:r>
    </w:p>
    <w:p>
      <w:pPr>
        <w:pStyle w:val="Heading1"/>
      </w:pPr>
      <w:r>
        <w:t xml:space="preserve">4. Method of verification</w:t>
      </w:r>
    </w:p>
    <w:p>
      <w:pPr>
        <w:pStyle w:val="Heading2"/>
      </w:pPr>
      <w:r>
        <w:t xml:space="preserve">4.1 Fibre-section engine</w:t>
      </w:r>
    </w:p>
    <w:p>
      <w:pPr>
        <w:spacing w:after="120"/>
        <w:jc w:val="both"/>
      </w:pPr>
      <w:r>
        <w:t xml:space="preserve">The engine is </w:t>
      </w:r>
      <w:r>
        <w:rPr>
          <w:rFonts w:ascii="Consolas" w:cs="Consolas" w:eastAsia="Consolas" w:hAnsi="Consolas"/>
          <w:sz w:val="19"/>
          <w:szCs w:val="19"/>
        </w:rPr>
        <w:t xml:space="preserve">diseno/codigo/seccion.py</w:t>
      </w:r>
      <w:r>
        <w:t xml:space="preserve">. It describes a cross-section as a union of rectangles plus point bars. Concrete is integrated on a 1–2 mm grid (error below 0.01 %), with the parabola-rectangle law in compression and no tension. The strain is a plane, ε(x, y) = ε0 + kx·x + ky·y. The ultimate strain planes are generated by the neutral-axis direction α and a parameter t that runs through the three pivots of A19 Figure 6.1 (Table 9).</w:t>
      </w:r>
    </w:p>
    <w:p>
      <w:pPr>
        <w:keepNext/>
        <w:spacing w:after="80" w:before="160"/>
        <w:jc w:val="center"/>
      </w:pPr>
      <w:r>
        <w:rPr>
          <w:i/>
          <w:iCs/>
          <w:color w:val="404040"/>
          <w:sz w:val="18"/>
          <w:szCs w:val="18"/>
        </w:rPr>
        <w:t xml:space="preserve">Table 9 – Ultimate strain planes (A19.6.1).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7226"/>
      </w:tblGrid>
      <w:tr>
        <w:trPr>
          <w:cantSplit/>
          <w:tblHeader/>
        </w:trPr>
        <w:tc>
          <w:tcPr>
            <w:tcW w:type="dxa" w:w="9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9"/>
                <w:szCs w:val="19"/>
              </w:rPr>
              <w:t xml:space="preserve">t</w:t>
            </w:r>
          </w:p>
        </w:tc>
        <w:tc>
          <w:tcPr>
            <w:tcW w:type="dxa" w:w="9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9"/>
                <w:szCs w:val="19"/>
              </w:rPr>
              <w:t xml:space="preserve">Pivot</w:t>
            </w:r>
          </w:p>
        </w:tc>
        <w:tc>
          <w:tcPr>
            <w:tcW w:type="dxa" w:w="72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9"/>
                <w:szCs w:val="19"/>
              </w:rPr>
              <w:t xml:space="preserve">Strain plane</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0–1</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A</w:t>
            </w:r>
          </w:p>
        </w:tc>
        <w:tc>
          <w:tcPr>
            <w:tcW w:type="dxa" w:w="7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9"/>
                <w:szCs w:val="19"/>
              </w:rPr>
              <w:t xml:space="preserve">extreme tension bar at −εsu; the extreme compression fibre goes from −εsu to +εcu2</w:t>
            </w:r>
          </w:p>
        </w:tc>
      </w:tr>
      <w:tr>
        <w:trPr>
          <w:cantSplit/>
        </w:trPr>
        <w:tc>
          <w:tcPr>
            <w:tcW w:type="dxa" w:w="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9"/>
                <w:szCs w:val="19"/>
              </w:rPr>
              <w:t xml:space="preserve">1–2</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9"/>
                <w:szCs w:val="19"/>
              </w:rPr>
              <w:t xml:space="preserve">B</w:t>
            </w:r>
          </w:p>
        </w:tc>
        <w:tc>
          <w:tcPr>
            <w:tcW w:type="dxa" w:w="72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9"/>
                <w:szCs w:val="19"/>
              </w:rPr>
              <w:t xml:space="preserve">extreme compression fibre at εcu2; the neutral-axis depth goes from the A/B limit to h</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9"/>
                <w:szCs w:val="19"/>
              </w:rPr>
              <w:t xml:space="preserve">2–3</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9"/>
                <w:szCs w:val="19"/>
              </w:rPr>
              <w:t xml:space="preserve">C</w:t>
            </w:r>
          </w:p>
        </w:tc>
        <w:tc>
          <w:tcPr>
            <w:tcW w:type="dxa" w:w="7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9"/>
                <w:szCs w:val="19"/>
              </w:rPr>
              <w:t xml:space="preserve">ε = εc2 at (1 − εc2/εcu2)·h from the compressed face; the section tends to uniform compression</w:t>
            </w:r>
          </w:p>
        </w:tc>
      </w:tr>
    </w:tbl>
    <w:p>
      <w:pPr>
        <w:spacing w:after="80"/>
      </w:pPr>
    </w:p>
    <w:p>
      <w:pPr>
        <w:spacing w:after="120"/>
        <w:jc w:val="both"/>
      </w:pPr>
      <w:r>
        <w:t xml:space="preserve">For each design force S = (NEd, MEd,x, MEd,y) the engine finds the ultimate plane whose resultant R = (NRd, MRd,x, MRd,y) lies on the same ray from the origin. This is the “same eccentricities” definition that CYPECAD prints:</w:t>
      </w:r>
    </w:p>
    <w:p>
      <w:pPr>
        <w:keepLines/>
        <w:tabs>
          <w:tab w:val="right" w:pos="9026"/>
        </w:tabs>
        <w:spacing w:after="120" w:before="80"/>
        <w:ind w:left="567"/>
        <w:jc w:val="left"/>
      </w:pPr>
      <w:r>
        <w:rPr>
          <w:rFonts w:ascii="Cambria Math" w:cs="Cambria Math" w:eastAsia="Cambria Math" w:hAnsi="Cambria Math"/>
          <w:i/>
          <w:iCs/>
        </w:rPr>
        <w:t xml:space="preserve">η = |S| / |R| = √(NEd² + MEd,x² + MEd,y²) / √(NRd² + MRd,x² + MRd,y²) ≤ 1</w:t>
      </w:r>
      <w:r>
        <w:rPr>
          <w:rFonts w:ascii="Cambria Math" w:cs="Cambria Math" w:eastAsia="Cambria Math" w:hAnsi="Cambria Math"/>
        </w:rPr>
        <w:t xml:space="preserve">	(2)</w:t>
      </w:r>
    </w:p>
    <w:p>
      <w:pPr>
        <w:spacing w:after="120"/>
        <w:jc w:val="both"/>
      </w:pPr>
      <w:r>
        <w:t xml:space="preserve">Before the search, moments are divided by the largest section dimension so that N and M carry comparable weight. The same engine also gives three other results: the utilisation at constant N (CYPECAD’s summary listing), the strain state under the design loads (stresses at service), and the required tension steel.</w:t>
      </w:r>
    </w:p>
    <w:p>
      <w:pPr>
        <w:pStyle w:val="Heading2"/>
      </w:pPr>
      <w:r>
        <w:t xml:space="preserve">4.2 Utilisation and verdict</w:t>
      </w:r>
    </w:p>
    <w:p>
      <w:pPr>
        <w:spacing w:after="120"/>
        <w:jc w:val="both"/>
      </w:pPr>
      <w:r>
        <w:t xml:space="preserve">Every check is written as η = demand/capacity. A member passes (CUMPLE) when every η ≤ 1:</w:t>
      </w:r>
    </w:p>
    <w:p>
      <w:pPr>
        <w:pStyle w:val="ListParagraph"/>
        <w:numPr>
          <w:ilvl w:val="0"/>
          <w:numId w:val="3"/>
        </w:numPr>
        <w:spacing w:after="60"/>
        <w:jc w:val="both"/>
      </w:pPr>
      <w:r>
        <w:t xml:space="preserve">N-M: equation (2), first and second order.</w:t>
      </w:r>
    </w:p>
    <w:p>
      <w:pPr>
        <w:pStyle w:val="ListParagraph"/>
        <w:numPr>
          <w:ilvl w:val="0"/>
          <w:numId w:val="3"/>
        </w:numPr>
        <w:spacing w:after="60"/>
        <w:jc w:val="both"/>
      </w:pPr>
      <w:r>
        <w:t xml:space="preserve">Shear: VEd/VRd,c, VEd/VRd,s and VEd/VRd,max. For beams, also the required link area (shear plus suspension) over the provided area.</w:t>
      </w:r>
    </w:p>
    <w:p>
      <w:pPr>
        <w:pStyle w:val="ListParagraph"/>
        <w:numPr>
          <w:ilvl w:val="0"/>
          <w:numId w:val="3"/>
        </w:numPr>
        <w:spacing w:after="60"/>
        <w:jc w:val="both"/>
      </w:pPr>
      <w:r>
        <w:t xml:space="preserve">Torsion: TEd/TRd,max + VEd/VRd,max, the link area per hoop leg, and the tension chord M/MRd + (chord share of ΣAsl,T)/As.</w:t>
      </w:r>
    </w:p>
    <w:p>
      <w:pPr>
        <w:pStyle w:val="ListParagraph"/>
        <w:numPr>
          <w:ilvl w:val="0"/>
          <w:numId w:val="3"/>
        </w:numPr>
        <w:spacing w:after="60"/>
        <w:jc w:val="both"/>
      </w:pPr>
      <w:r>
        <w:t xml:space="preserve">Crack control: σct/fctm while the section is uncracked; wk/wmax once it has cracked.</w:t>
      </w:r>
    </w:p>
    <w:p>
      <w:pPr>
        <w:pStyle w:val="ListParagraph"/>
        <w:numPr>
          <w:ilvl w:val="0"/>
          <w:numId w:val="3"/>
        </w:numPr>
        <w:spacing w:after="60"/>
        <w:jc w:val="both"/>
      </w:pPr>
      <w:r>
        <w:t xml:space="preserve">Stresses: σc/(0.6·fck) and σs/(0.8·fyk). Deflection: f/flim. Detailing: provided value against the limit.</w:t>
      </w:r>
    </w:p>
    <w:p>
      <w:pPr>
        <w:pStyle w:val="Heading2"/>
      </w:pPr>
      <w:r>
        <w:t xml:space="preserve">4.3 CYPECAD conventions C1–C21 and the two section modes</w:t>
      </w:r>
    </w:p>
    <w:p>
      <w:pPr>
        <w:spacing w:after="120"/>
        <w:jc w:val="both"/>
      </w:pPr>
      <w:r>
        <w:t xml:space="preserve">Reproducing CYPECAD exactly required 21 conventions that the program applies but the code does not state, or states differently. The engine has a switch for them: </w:t>
      </w:r>
      <w:r>
        <w:rPr>
          <w:b/>
          <w:bCs/>
        </w:rPr>
        <w:t xml:space="preserve">Mode.CYPE</w:t>
      </w:r>
      <w:r>
        <w:t xml:space="preserve"> applies them (parity) and </w:t>
      </w:r>
      <w:r>
        <w:rPr>
          <w:b/>
          <w:bCs/>
        </w:rPr>
        <w:t xml:space="preserve">Mode.CODIGO</w:t>
      </w:r>
      <w:r>
        <w:t xml:space="preserve"> applies the code text (verdict). The evidence for each convention is in </w:t>
      </w:r>
      <w:r>
        <w:rPr>
          <w:rFonts w:ascii="Consolas" w:cs="Consolas" w:eastAsia="Consolas" w:hAnsi="Consolas"/>
          <w:sz w:val="19"/>
          <w:szCs w:val="19"/>
        </w:rPr>
        <w:t xml:space="preserve">diseno/investigacion/codigo_estructural_spec.md</w:t>
      </w:r>
      <w:r>
        <w:t xml:space="preserve">.</w:t>
      </w:r>
    </w:p>
    <w:p>
      <w:pPr>
        <w:keepNext/>
        <w:spacing w:after="80" w:before="160"/>
        <w:jc w:val="center"/>
      </w:pPr>
      <w:r>
        <w:rPr>
          <w:i/>
          <w:iCs/>
          <w:color w:val="404040"/>
          <w:sz w:val="18"/>
          <w:szCs w:val="18"/>
        </w:rPr>
        <w:t xml:space="preserve">Table 10 – CYPECAD conventions and their code-strict alternatives.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4426"/>
      </w:tblGrid>
      <w:tr>
        <w:trPr>
          <w:cantSplit/>
          <w:tblHeader/>
        </w:trPr>
        <w:tc>
          <w:tcPr>
            <w:tcW w:type="dxa" w:w="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val="false"/>
              <w:jc w:val="center"/>
            </w:pPr>
            <w:r>
              <w:rPr>
                <w:b/>
                <w:bCs/>
                <w:color w:val="FFFFFF"/>
                <w:sz w:val="17"/>
                <w:szCs w:val="17"/>
              </w:rPr>
              <w:t xml:space="preserve">#</w:t>
            </w:r>
          </w:p>
        </w:tc>
        <w:tc>
          <w:tcPr>
            <w:tcW w:type="dxa" w:w="39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val="false"/>
              <w:jc w:val="left"/>
            </w:pPr>
            <w:r>
              <w:rPr>
                <w:b/>
                <w:bCs/>
                <w:color w:val="FFFFFF"/>
                <w:sz w:val="17"/>
                <w:szCs w:val="17"/>
              </w:rPr>
              <w:t xml:space="preserve">CYPECAD convention (Mode.CYPE)</w:t>
            </w:r>
          </w:p>
        </w:tc>
        <w:tc>
          <w:tcPr>
            <w:tcW w:type="dxa" w:w="44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val="false"/>
              <w:jc w:val="left"/>
            </w:pPr>
            <w:r>
              <w:rPr>
                <w:b/>
                <w:bCs/>
                <w:color w:val="FFFFFF"/>
                <w:sz w:val="17"/>
                <w:szCs w:val="17"/>
              </w:rPr>
              <w:t xml:space="preserve">Code-strict (Mode.CODIGO) and effect</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7"/>
                <w:szCs w:val="17"/>
              </w:rPr>
              <w:t xml:space="preserve">C1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7"/>
                <w:szCs w:val="17"/>
              </w:rPr>
              <w:t xml:space="preserve">strain limits at 99.5 %; steel strain limited to 10 ‰</w:t>
            </w:r>
          </w:p>
        </w:tc>
        <w:tc>
          <w:tcPr>
            <w:tcW w:type="dxa" w:w="44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7"/>
                <w:szCs w:val="17"/>
              </w:rPr>
              <w:t xml:space="preserve">εcu2 = 3.5 ‰, no steel limit (A19.3.2.7(2)b); beam MRd +2.15 %</w:t>
            </w:r>
          </w:p>
        </w:tc>
      </w:tr>
      <w:tr>
        <w:trPr>
          <w:cantSplit/>
        </w:trPr>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center"/>
            </w:pPr>
            <w:r>
              <w:rPr>
                <w:sz w:val="17"/>
                <w:szCs w:val="17"/>
              </w:rPr>
              <w:t xml:space="preserve">C2</w:t>
            </w:r>
          </w:p>
        </w:tc>
        <w:tc>
          <w:tcPr>
            <w:tcW w:type="dxa" w:w="3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gross concrete area (bars do not displace concrete)</w:t>
            </w:r>
          </w:p>
        </w:tc>
        <w:tc>
          <w:tcPr>
            <w:tcW w:type="dxa" w:w="44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net area; pile NRd −0.9 %</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7"/>
                <w:szCs w:val="17"/>
              </w:rPr>
              <w:t xml:space="preserve">C3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7"/>
                <w:szCs w:val="17"/>
              </w:rPr>
              <w:t xml:space="preserve">two web Ø10 of the inner beam carry no stress</w:t>
            </w:r>
          </w:p>
        </w:tc>
        <w:tc>
          <w:tcPr>
            <w:tcW w:type="dxa" w:w="44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7"/>
                <w:szCs w:val="17"/>
              </w:rPr>
              <w:t xml:space="preserve">all bars active; MRd +3.8 %</w:t>
            </w:r>
          </w:p>
        </w:tc>
      </w:tr>
      <w:tr>
        <w:trPr>
          <w:cantSplit/>
        </w:trPr>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center"/>
            </w:pPr>
            <w:r>
              <w:rPr>
                <w:sz w:val="17"/>
                <w:szCs w:val="17"/>
              </w:rPr>
              <w:t xml:space="preserve">C4</w:t>
            </w:r>
          </w:p>
        </w:tc>
        <w:tc>
          <w:tcPr>
            <w:tcW w:type="dxa" w:w="3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detailed check along the ray; summary listing at constant N</w:t>
            </w:r>
          </w:p>
        </w:tc>
        <w:tc>
          <w:tcPr>
            <w:tcW w:type="dxa" w:w="44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ray, equation (2)</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7"/>
                <w:szCs w:val="17"/>
              </w:rPr>
              <w:t xml:space="preserve">C5</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7"/>
                <w:szCs w:val="17"/>
              </w:rPr>
              <w:t xml:space="preserve">ee + ei + e2 added in both axes at once</w:t>
            </w:r>
          </w:p>
        </w:tc>
        <w:tc>
          <w:tcPr>
            <w:tcW w:type="dxa" w:w="44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7"/>
                <w:szCs w:val="17"/>
              </w:rPr>
              <w:t xml:space="preserve">imperfection in the worst direction only (A19.5.8.9(2))</w:t>
            </w:r>
          </w:p>
        </w:tc>
      </w:tr>
      <w:tr>
        <w:trPr>
          <w:cantSplit/>
        </w:trPr>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center"/>
            </w:pPr>
            <w:r>
              <w:rPr>
                <w:sz w:val="17"/>
                <w:szCs w:val="17"/>
              </w:rPr>
              <w:t xml:space="preserve">C6</w:t>
            </w:r>
          </w:p>
        </w:tc>
        <w:tc>
          <w:tcPr>
            <w:tcW w:type="dxa" w:w="3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emin only when both e0,x and e0,y are below emin</w:t>
            </w:r>
          </w:p>
        </w:tc>
        <w:tc>
          <w:tcPr>
            <w:tcW w:type="dxa" w:w="44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emin in the direction considered (A19.6.1(4))</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7"/>
                <w:szCs w:val="17"/>
              </w:rPr>
              <w:t xml:space="preserve">C7</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7"/>
                <w:szCs w:val="17"/>
              </w:rPr>
              <w:t xml:space="preserve">d to the extreme bar row in 1/r0 (327.5 mm)</w:t>
            </w:r>
          </w:p>
        </w:tc>
        <w:tc>
          <w:tcPr>
            <w:tcW w:type="dxa" w:w="44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7"/>
                <w:szCs w:val="17"/>
              </w:rPr>
              <w:t xml:space="preserve">d = h/2 + is = 307 mm (5.35); e2 +6.9 %</w:t>
            </w:r>
          </w:p>
        </w:tc>
      </w:tr>
      <w:tr>
        <w:trPr>
          <w:cantSplit/>
        </w:trPr>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center"/>
            </w:pPr>
            <w:r>
              <w:rPr>
                <w:sz w:val="17"/>
                <w:szCs w:val="17"/>
              </w:rPr>
              <w:t xml:space="preserve">C8</w:t>
            </w:r>
          </w:p>
        </w:tc>
        <w:tc>
          <w:tcPr>
            <w:tcW w:type="dxa" w:w="3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λlim with B = √(1 + 2ω)</w:t>
            </w:r>
          </w:p>
        </w:tc>
        <w:tc>
          <w:tcPr>
            <w:tcW w:type="dxa" w:w="44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same (BOE erratum)</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7"/>
                <w:szCs w:val="17"/>
              </w:rPr>
              <w:t xml:space="preserve">C9</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7"/>
                <w:szCs w:val="17"/>
              </w:rPr>
              <w:t xml:space="preserve">φef = 1.75 (input)</w:t>
            </w:r>
          </w:p>
        </w:tc>
        <w:tc>
          <w:tcPr>
            <w:tcW w:type="dxa" w:w="44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7"/>
                <w:szCs w:val="17"/>
              </w:rPr>
              <w:t xml:space="preserve">kept; conservative (open point 9)</w:t>
            </w:r>
          </w:p>
        </w:tc>
      </w:tr>
      <w:tr>
        <w:trPr>
          <w:cantSplit/>
        </w:trPr>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center"/>
            </w:pPr>
            <w:r>
              <w:rPr>
                <w:sz w:val="17"/>
                <w:szCs w:val="17"/>
              </w:rPr>
              <w:t xml:space="preserve">C10</w:t>
            </w:r>
          </w:p>
        </w:tc>
        <w:tc>
          <w:tcPr>
            <w:tcW w:type="dxa" w:w="3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pile shear checked only as VRd,c (Asl = 8Ø25)</w:t>
            </w:r>
          </w:p>
        </w:tc>
        <w:tc>
          <w:tcPr>
            <w:tcW w:type="dxa" w:w="44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VRd,c, and VRd,s with the ties in the shaft</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7"/>
                <w:szCs w:val="17"/>
              </w:rPr>
              <w:t xml:space="preserve">C11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7"/>
                <w:szCs w:val="17"/>
              </w:rPr>
              <w:t xml:space="preserve">σcp = (NEd − A’s·fyd)/Ac in αcw</w:t>
            </w:r>
          </w:p>
        </w:tc>
        <w:tc>
          <w:tcPr>
            <w:tcW w:type="dxa" w:w="44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7"/>
                <w:szCs w:val="17"/>
              </w:rPr>
              <w:t xml:space="preserve">αcw = 1 (no prestress); no effect here</w:t>
            </w:r>
          </w:p>
        </w:tc>
      </w:tr>
      <w:tr>
        <w:trPr>
          <w:cantSplit/>
        </w:trPr>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center"/>
            </w:pPr>
            <w:r>
              <w:rPr>
                <w:sz w:val="17"/>
                <w:szCs w:val="17"/>
              </w:rPr>
              <w:t xml:space="preserve">C12</w:t>
            </w:r>
          </w:p>
        </w:tc>
        <w:tc>
          <w:tcPr>
            <w:tcW w:type="dxa" w:w="3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internal lever arm z in the column VRd,max</w:t>
            </w:r>
          </w:p>
        </w:tc>
        <w:tc>
          <w:tcPr>
            <w:tcW w:type="dxa" w:w="44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z = 0.9d (−4.7 %, η ≈ 0.09)</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7"/>
                <w:szCs w:val="17"/>
              </w:rPr>
              <w:t xml:space="preserve">C13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7"/>
                <w:szCs w:val="17"/>
              </w:rPr>
              <w:t xml:space="preserve">θ = 45°, fywd = 400 MPa, ν1 = 0.6</w:t>
            </w:r>
          </w:p>
        </w:tc>
        <w:tc>
          <w:tcPr>
            <w:tcW w:type="dxa" w:w="44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7"/>
                <w:szCs w:val="17"/>
              </w:rPr>
              <w:t xml:space="preserve">optimum 0.5 ≤ cot θ ≤ 2; same fywd and ν1</w:t>
            </w:r>
          </w:p>
        </w:tc>
      </w:tr>
      <w:tr>
        <w:trPr>
          <w:cantSplit/>
        </w:trPr>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center"/>
            </w:pPr>
            <w:r>
              <w:rPr>
                <w:sz w:val="17"/>
                <w:szCs w:val="17"/>
              </w:rPr>
              <w:t xml:space="preserve">C14</w:t>
            </w:r>
          </w:p>
        </w:tc>
        <w:tc>
          <w:tcPr>
            <w:tcW w:type="dxa" w:w="3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beam As,min with z = 0.9d</w:t>
            </w:r>
          </w:p>
        </w:tc>
        <w:tc>
          <w:tcPr>
            <w:tcW w:type="dxa" w:w="44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z = 0.8h (4.99 vs 5.09 cm²)</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7"/>
                <w:szCs w:val="17"/>
              </w:rPr>
              <w:t xml:space="preserve">C15</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7"/>
                <w:szCs w:val="17"/>
              </w:rPr>
              <w:t xml:space="preserve">column As,min = 0.004·Ac, As,max = fcd·Ac/fyd (AN)</w:t>
            </w:r>
          </w:p>
        </w:tc>
        <w:tc>
          <w:tcPr>
            <w:tcW w:type="dxa" w:w="44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7"/>
                <w:szCs w:val="17"/>
              </w:rPr>
              <w:t xml:space="preserve">0.10·NEd/fyd and 0.04·Ac = 64 cm² (A19.9.5.2)</w:t>
            </w:r>
          </w:p>
        </w:tc>
      </w:tr>
      <w:tr>
        <w:trPr>
          <w:cantSplit/>
        </w:trPr>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center"/>
            </w:pPr>
            <w:r>
              <w:rPr>
                <w:sz w:val="17"/>
                <w:szCs w:val="17"/>
              </w:rPr>
              <w:t xml:space="preserve">C16</w:t>
            </w:r>
          </w:p>
        </w:tc>
        <w:tc>
          <w:tcPr>
            <w:tcW w:type="dxa" w:w="3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clear bar spacing with 1.25·dg (EHE)</w:t>
            </w:r>
          </w:p>
        </w:tc>
        <w:tc>
          <w:tcPr>
            <w:tcW w:type="dxa" w:w="44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max(Ø, dg + 5 mm, 20 mm); same for dg = 20</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7"/>
                <w:szCs w:val="17"/>
              </w:rPr>
              <w:t xml:space="preserve">C17</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7"/>
                <w:szCs w:val="17"/>
              </w:rPr>
              <w:t xml:space="preserve">350 mm bar spacing applied to every beam</w:t>
            </w:r>
          </w:p>
        </w:tc>
        <w:tc>
          <w:tcPr>
            <w:tcW w:type="dxa" w:w="44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7"/>
                <w:szCs w:val="17"/>
              </w:rPr>
              <w:t xml:space="preserve">only for torsion (A19.9.2.3(4))</w:t>
            </w:r>
          </w:p>
        </w:tc>
      </w:tr>
      <w:tr>
        <w:trPr>
          <w:cantSplit/>
        </w:trPr>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center"/>
            </w:pPr>
            <w:r>
              <w:rPr>
                <w:sz w:val="17"/>
                <w:szCs w:val="17"/>
              </w:rPr>
              <w:t xml:space="preserve">C18</w:t>
            </w:r>
          </w:p>
        </w:tc>
        <w:tc>
          <w:tcPr>
            <w:tcW w:type="dxa" w:w="3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wk not checked when σct ≤ fct</w:t>
            </w:r>
          </w:p>
        </w:tc>
        <w:tc>
          <w:tcPr>
            <w:tcW w:type="dxa" w:w="44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same criterion, fct,eff = fctm (A19.7.1(2))</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7"/>
                <w:szCs w:val="17"/>
              </w:rPr>
              <w:t xml:space="preserve">C19</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7"/>
                <w:szCs w:val="17"/>
              </w:rPr>
              <w:t xml:space="preserve">ψ factors of CTE (0.7/0.5/0.3); bollard entered as wind</w:t>
            </w:r>
          </w:p>
        </w:tc>
        <w:tc>
          <w:tcPr>
            <w:tcW w:type="dxa" w:w="44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7"/>
                <w:szCs w:val="17"/>
              </w:rPr>
              <w:t xml:space="preserve">ROM 2.0-11 basis (§2.5)</w:t>
            </w:r>
          </w:p>
        </w:tc>
      </w:tr>
      <w:tr>
        <w:trPr>
          <w:cantSplit/>
        </w:trPr>
        <w:tc>
          <w:tcPr>
            <w:tcW w:type="dxa" w:w="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center"/>
            </w:pPr>
            <w:r>
              <w:rPr>
                <w:sz w:val="17"/>
                <w:szCs w:val="17"/>
              </w:rPr>
              <w:t xml:space="preserve">C20</w:t>
            </w:r>
          </w:p>
        </w:tc>
        <w:tc>
          <w:tcPr>
            <w:tcW w:type="dxa" w:w="39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“Área Nec.” singly reinforced, at the node moment</w:t>
            </w:r>
          </w:p>
        </w:tc>
        <w:tc>
          <w:tcPr>
            <w:tcW w:type="dxa" w:w="44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reported the same way (§6.2)</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7"/>
                <w:szCs w:val="17"/>
              </w:rPr>
              <w:t xml:space="preserve">C21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7"/>
                <w:szCs w:val="17"/>
              </w:rPr>
              <w:t xml:space="preserve">crack check “N.P.” when σct &lt; fct; inner-beam torsion “N.P.”</w:t>
            </w:r>
          </w:p>
        </w:tc>
        <w:tc>
          <w:tcPr>
            <w:tcW w:type="dxa" w:w="44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7"/>
                <w:szCs w:val="17"/>
              </w:rPr>
              <w:t xml:space="preserve">torsion checked on the end beams (§6.4)</w:t>
            </w:r>
          </w:p>
        </w:tc>
      </w:tr>
    </w:tbl>
    <w:p>
      <w:pPr>
        <w:pStyle w:val="Heading2"/>
      </w:pPr>
      <w:r>
        <w:t xml:space="preserve">4.4 Validation</w:t>
      </w:r>
    </w:p>
    <w:p>
      <w:pPr>
        <w:pStyle w:val="ListParagraph"/>
        <w:numPr>
          <w:ilvl w:val="0"/>
          <w:numId w:val="3"/>
        </w:numPr>
        <w:spacing w:after="60"/>
        <w:jc w:val="both"/>
      </w:pPr>
      <w:r>
        <w:rPr>
          <w:rFonts w:ascii="Consolas" w:cs="Consolas" w:eastAsia="Consolas" w:hAnsi="Consolas"/>
          <w:sz w:val="19"/>
          <w:szCs w:val="19"/>
        </w:rPr>
        <w:t xml:space="preserve">diseno/investigacion/validate_codigo.py</w:t>
      </w:r>
      <w:r>
        <w:t xml:space="preserve"> recomputes every formula against the numbers CYPECAD printed in Anejo 10. Result: </w:t>
      </w:r>
      <w:r>
        <w:rPr>
          <w:b/>
          <w:bCs/>
        </w:rPr>
        <w:t xml:space="preserve">151 PASS, 0 FAIL</w:t>
      </w:r>
      <w:r>
        <w:t xml:space="preserve">, 25 INFO. A PASS is within 0.5 % or half a unit of the last printed digit. INFO rows are code-strict alternatives or sensitivity runs.</w:t>
      </w:r>
    </w:p>
    <w:p>
      <w:pPr>
        <w:pStyle w:val="ListParagraph"/>
        <w:numPr>
          <w:ilvl w:val="0"/>
          <w:numId w:val="3"/>
        </w:numPr>
        <w:spacing w:after="60"/>
        <w:jc w:val="both"/>
      </w:pPr>
      <w:r>
        <w:t xml:space="preserve">In Mode.CYPE the fibre engine reproduces all printed capacities to 0.00–0.02 %:</w:t>
      </w:r>
    </w:p>
    <w:p>
      <w:pPr>
        <w:pStyle w:val="ListParagraph"/>
        <w:numPr>
          <w:ilvl w:val="1"/>
          <w:numId w:val="3"/>
        </w:numPr>
        <w:spacing w:after="60"/>
        <w:jc w:val="both"/>
      </w:pPr>
      <w:r>
        <w:t xml:space="preserve">pile head, 2nd order: NRd/MRd,x/MRd,y = 679.16/387.20/−75.52 (kN, kN·m);</w:t>
      </w:r>
    </w:p>
    <w:p>
      <w:pPr>
        <w:pStyle w:val="ListParagraph"/>
        <w:numPr>
          <w:ilvl w:val="1"/>
          <w:numId w:val="3"/>
        </w:numPr>
        <w:spacing w:after="60"/>
        <w:jc w:val="both"/>
      </w:pPr>
      <w:r>
        <w:t xml:space="preserve">pile head, 1st order: 925.83/430.56/−5.68;</w:t>
      </w:r>
    </w:p>
    <w:p>
      <w:pPr>
        <w:pStyle w:val="ListParagraph"/>
        <w:numPr>
          <w:ilvl w:val="1"/>
          <w:numId w:val="3"/>
        </w:numPr>
        <w:spacing w:after="60"/>
        <w:jc w:val="both"/>
      </w:pPr>
      <w:r>
        <w:t xml:space="preserve">fixity section: 1021.59/−441.89/4.34 (1st order) and 733.05/−393.69/79.72 (2nd order);</w:t>
      </w:r>
    </w:p>
    <w:p>
      <w:pPr>
        <w:pStyle w:val="ListParagraph"/>
        <w:numPr>
          <w:ilvl w:val="1"/>
          <w:numId w:val="3"/>
        </w:numPr>
        <w:spacing w:after="60"/>
        <w:jc w:val="both"/>
      </w:pPr>
      <w:r>
        <w:t xml:space="preserve">beam: MRd = −325.78 kN·m;</w:t>
      </w:r>
    </w:p>
    <w:p>
      <w:pPr>
        <w:pStyle w:val="ListParagraph"/>
        <w:numPr>
          <w:ilvl w:val="1"/>
          <w:numId w:val="3"/>
        </w:numPr>
        <w:spacing w:after="60"/>
        <w:jc w:val="both"/>
      </w:pPr>
      <w:r>
        <w:t xml:space="preserve">required areas: 15.10 and 13.72 cm² (bending) and 22.58 cm²/m (shear).</w:t>
      </w:r>
    </w:p>
    <w:p>
      <w:pPr>
        <w:pStyle w:val="ListParagraph"/>
        <w:numPr>
          <w:ilvl w:val="0"/>
          <w:numId w:val="3"/>
        </w:numPr>
        <w:spacing w:after="60"/>
        <w:jc w:val="both"/>
      </w:pPr>
      <w:r>
        <w:t xml:space="preserve">Parity rows written by the design scripts: piles </w:t>
      </w:r>
      <w:r>
        <w:rPr>
          <w:b/>
          <w:bCs/>
        </w:rPr>
        <w:t xml:space="preserve">203/203</w:t>
      </w:r>
      <w:r>
        <w:t xml:space="preserve"> within tolerance. Of these, 100 compare against CYPECAD’s own data and 103 compare our results with SAP forces against CYPECAD’s results, with a 5 % tolerance. Beams: 76 PASS and 83 INFO, 0 FAIL. The workbook sheet Comparacion_CYPE lists all 368 rows (279 parity PASS, 0 FAIL).</w:t>
      </w:r>
    </w:p>
    <w:p>
      <w:pPr>
        <w:pStyle w:val="ListParagraph"/>
        <w:numPr>
          <w:ilvl w:val="0"/>
          <w:numId w:val="3"/>
        </w:numPr>
        <w:spacing w:after="60"/>
        <w:jc w:val="both"/>
      </w:pPr>
      <w:r>
        <w:t xml:space="preserve">Unit tests: </w:t>
      </w:r>
      <w:r>
        <w:rPr>
          <w:rFonts w:ascii="Consolas" w:cs="Consolas" w:eastAsia="Consolas" w:hAnsi="Consolas"/>
          <w:sz w:val="19"/>
          <w:szCs w:val="19"/>
        </w:rPr>
        <w:t xml:space="preserve">pytest diseno/tests</w:t>
      </w:r>
      <w:r>
        <w:t xml:space="preserve"> covers the pile, beam, SAP-file and runner modules.</w:t>
      </w:r>
    </w:p>
    <w:p>
      <w:pPr>
        <w:keepNext/>
        <w:spacing w:before="120"/>
        <w:jc w:val="center"/>
      </w:pPr>
      <w:r>
        <w:drawing>
          <wp:inline distT="0" distB="0" distL="0" distR="0">
            <wp:extent cx="3619500" cy="3390900"/>
            <wp:effectExtent t="0" r="0" b="0" l="0"/>
            <wp:docPr id="1" name="d7_paridad_cype.png" descr="Figure 1 – Parity with CYPECAD, log-log scale: our value against the value printed in Anejo 10. Blue: piles, CYPECAD data. Orange: beams, CYPECAD data. Green: piles with SAP forces against the listing “Aprov.” (P3). The line is 1:1. Largest differences by group: 3.12 %, 0.79 % and 4.52 %; the 3.12 % is a rounded printed value (n = 0.12)." title="Figure 1 – Parity with CYPECAD, log-log scale: our value against the value printed in Anejo 10. Blue: piles, CYPECAD data. Orange: beams, CYPECAD data. Green: piles with SAP forces against the listing “Aprov.” (P3). The line is 1:1. Largest differences by group: 3.12 %, 0.79 % and 4.52 %; the 3.12 % is a rounded printed value (n = 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390900"/>
                    </a:xfrm>
                    <a:prstGeom prst="rect">
                      <a:avLst/>
                    </a:prstGeom>
                  </pic:spPr>
                </pic:pic>
              </a:graphicData>
            </a:graphic>
          </wp:inline>
        </w:drawing>
      </w:r>
    </w:p>
    <w:p>
      <w:pPr>
        <w:spacing w:after="200"/>
        <w:jc w:val="center"/>
      </w:pPr>
      <w:r>
        <w:rPr>
          <w:i/>
          <w:iCs/>
          <w:color w:val="404040"/>
          <w:sz w:val="18"/>
          <w:szCs w:val="18"/>
        </w:rPr>
        <w:t xml:space="preserve">Figure 1 – Parity with CYPECAD, log-log scale: our value against the value printed in Anejo 10. Blue: piles, CYPECAD data. Orange: beams, CYPECAD data. Green: piles with SAP forces against the listing “Aprov.” (P3). The line is 1:1. Largest differences by group: 3.12 %, 0.79 % and 4.52 %; the 3.12 % is a rounded printed value (n = 0.12).</w:t>
      </w:r>
    </w:p>
    <w:p>
      <w:pPr>
        <w:pStyle w:val="Heading2"/>
      </w:pPr>
      <w:r>
        <w:t xml:space="preserve">4.5 Workflow</w:t>
      </w:r>
    </w:p>
    <w:p>
      <w:pPr>
        <w:spacing w:after="120"/>
        <w:jc w:val="both"/>
      </w:pPr>
      <w:r>
        <w:t xml:space="preserve">The calculation chain has four steps:</w:t>
      </w:r>
    </w:p>
    <w:p>
      <w:pPr>
        <w:pStyle w:val="ListParagraph"/>
        <w:numPr>
          <w:ilvl w:val="0"/>
          <w:numId w:val="4"/>
        </w:numPr>
        <w:spacing w:after="60"/>
        <w:jc w:val="both"/>
      </w:pPr>
      <w:r>
        <w:rPr>
          <w:rFonts w:ascii="Consolas" w:cs="Consolas" w:eastAsia="Consolas" w:hAnsi="Consolas"/>
          <w:sz w:val="19"/>
          <w:szCs w:val="19"/>
        </w:rPr>
        <w:t xml:space="preserve">esfuerzos.py</w:t>
      </w:r>
      <w:r>
        <w:t xml:space="preserve">: SAP forces → CYPECAD convention → combinations.</w:t>
      </w:r>
    </w:p>
    <w:p>
      <w:pPr>
        <w:pStyle w:val="ListParagraph"/>
        <w:numPr>
          <w:ilvl w:val="0"/>
          <w:numId w:val="4"/>
        </w:numPr>
        <w:spacing w:after="60"/>
        <w:jc w:val="both"/>
      </w:pPr>
      <w:r>
        <w:rPr>
          <w:rFonts w:ascii="Consolas" w:cs="Consolas" w:eastAsia="Consolas" w:hAnsi="Consolas"/>
          <w:sz w:val="19"/>
          <w:szCs w:val="19"/>
        </w:rPr>
        <w:t xml:space="preserve">codigo/seccion.py</w:t>
      </w:r>
      <w:r>
        <w:t xml:space="preserve">: the fibre engine.</w:t>
      </w:r>
    </w:p>
    <w:p>
      <w:pPr>
        <w:pStyle w:val="ListParagraph"/>
        <w:numPr>
          <w:ilvl w:val="0"/>
          <w:numId w:val="4"/>
        </w:numPr>
        <w:spacing w:after="60"/>
        <w:jc w:val="both"/>
      </w:pPr>
      <w:r>
        <w:rPr>
          <w:rFonts w:ascii="Consolas" w:cs="Consolas" w:eastAsia="Consolas" w:hAnsi="Consolas"/>
          <w:sz w:val="19"/>
          <w:szCs w:val="19"/>
        </w:rPr>
        <w:t xml:space="preserve">codigo/pilotes.py</w:t>
      </w:r>
      <w:r>
        <w:t xml:space="preserve"> and </w:t>
      </w:r>
      <w:r>
        <w:rPr>
          <w:rFonts w:ascii="Consolas" w:cs="Consolas" w:eastAsia="Consolas" w:hAnsi="Consolas"/>
          <w:sz w:val="19"/>
          <w:szCs w:val="19"/>
        </w:rPr>
        <w:t xml:space="preserve">codigo/vigas.py</w:t>
      </w:r>
      <w:r>
        <w:t xml:space="preserve">: all checks, three cases each, plus a search for practical reinforcement layouts.</w:t>
      </w:r>
    </w:p>
    <w:p>
      <w:pPr>
        <w:pStyle w:val="ListParagraph"/>
        <w:numPr>
          <w:ilvl w:val="0"/>
          <w:numId w:val="4"/>
        </w:numPr>
        <w:spacing w:after="60"/>
        <w:jc w:val="both"/>
      </w:pPr>
      <w:r>
        <w:rPr>
          <w:rFonts w:ascii="Consolas" w:cs="Consolas" w:eastAsia="Consolas" w:hAnsi="Consolas"/>
          <w:sz w:val="19"/>
          <w:szCs w:val="19"/>
        </w:rPr>
        <w:t xml:space="preserve">run_diseno.py</w:t>
      </w:r>
      <w:r>
        <w:t xml:space="preserve">: final design, workbook and figures.</w:t>
      </w:r>
    </w:p>
    <w:p>
      <w:pPr>
        <w:spacing w:after="120"/>
        <w:jc w:val="both"/>
      </w:pPr>
      <w:r>
        <w:t xml:space="preserve">Every number in this report comes from </w:t>
      </w:r>
      <w:r>
        <w:rPr>
          <w:rFonts w:ascii="Consolas" w:cs="Consolas" w:eastAsia="Consolas" w:hAnsi="Consolas"/>
          <w:sz w:val="19"/>
          <w:szCs w:val="19"/>
        </w:rPr>
        <w:t xml:space="preserve">diseno/output/pilotes.json</w:t>
      </w:r>
      <w:r>
        <w:t xml:space="preserve">, </w:t>
      </w:r>
      <w:r>
        <w:rPr>
          <w:rFonts w:ascii="Consolas" w:cs="Consolas" w:eastAsia="Consolas" w:hAnsi="Consolas"/>
          <w:sz w:val="19"/>
          <w:szCs w:val="19"/>
        </w:rPr>
        <w:t xml:space="preserve">vigas.json</w:t>
      </w:r>
      <w:r>
        <w:t xml:space="preserve"> and </w:t>
      </w:r>
      <w:r>
        <w:rPr>
          <w:rFonts w:ascii="Consolas" w:cs="Consolas" w:eastAsia="Consolas" w:hAnsi="Consolas"/>
          <w:sz w:val="19"/>
          <w:szCs w:val="19"/>
        </w:rPr>
        <w:t xml:space="preserve">diseno_final.json</w:t>
      </w:r>
      <w:r>
        <w:t xml:space="preserve">, or from their Markdown versions.</w:t>
      </w:r>
    </w:p>
    <w:p>
      <w:pPr>
        <w:pStyle w:val="Heading1"/>
      </w:pPr>
      <w:r>
        <w:t xml:space="preserve">5. Piles</w:t>
      </w:r>
    </w:p>
    <w:p>
      <w:pPr>
        <w:pStyle w:val="Heading2"/>
      </w:pPr>
      <w:r>
        <w:t xml:space="preserve">5.1 Column model</w:t>
      </w:r>
    </w:p>
    <w:p>
      <w:pPr>
        <w:spacing w:after="120"/>
        <w:jc w:val="both"/>
      </w:pPr>
      <w:r>
        <w:t xml:space="preserve">Each pile is a 40×40 cm precast member with 12Ø25: 4 bars per face, bar centres at ±127.5 mm. It is fixed into the transverse beam at the top. It has equivalent fixity 7.25 m below deck level, i.e. 6.70 m below the beam soffit. As in CYPECAD, the buckling length is l0 = 6.70 m in both planes: β = 1 on the flexible length of a sway frame. The slenderness is:</w:t>
      </w:r>
    </w:p>
    <w:p>
      <w:pPr>
        <w:keepLines/>
        <w:tabs>
          <w:tab w:val="right" w:pos="9026"/>
        </w:tabs>
        <w:spacing w:after="120" w:before="80"/>
        <w:ind w:left="567"/>
        <w:jc w:val="left"/>
      </w:pPr>
      <w:r>
        <w:rPr>
          <w:rFonts w:ascii="Cambria Math" w:cs="Cambria Math" w:eastAsia="Cambria Math" w:hAnsi="Cambria Math"/>
          <w:i/>
          <w:iCs/>
        </w:rPr>
        <w:t xml:space="preserve">λ = l0 / i = 6700 / 115.5 = 58.02,   i = h/√12 = 115.5 mm</w:t>
      </w:r>
      <w:r>
        <w:rPr>
          <w:rFonts w:ascii="Cambria Math" w:cs="Cambria Math" w:eastAsia="Cambria Math" w:hAnsi="Cambria Math"/>
        </w:rPr>
        <w:t xml:space="preserve">	(3)</w:t>
      </w:r>
    </w:p>
    <w:p>
      <w:pPr>
        <w:spacing w:after="120"/>
        <w:jc w:val="both"/>
      </w:pPr>
      <w:r>
        <w:t xml:space="preserve">Second-order effects are included wherever λ &gt; λlim (nominal curvature method, A19.5.8.8). This is the case for the sea piles, where λlim = 38–61 under the governing combinations. For the land piles, whose axial force is low or tensile, λlim = 67–308 and e2 = 0. The checked sections are the head (Cabeza), the foot (Pie), the fixity section (Arranque, with its own Ø8 tie) and intermediate stations. In the section axes, MEd,x is the moment in the transverse (Y) direction, which carries the bollard pull, and MEd,y is the moment along the quay.</w:t>
      </w:r>
    </w:p>
    <w:p>
      <w:pPr>
        <w:pStyle w:val="Heading2"/>
      </w:pPr>
      <w:r>
        <w:t xml:space="preserve">5.2 ULS axial force and biaxial bending — worked example: P3 head</w:t>
      </w:r>
    </w:p>
    <w:p>
      <w:pPr>
        <w:spacing w:after="120"/>
        <w:jc w:val="both"/>
      </w:pPr>
      <w:r>
        <w:t xml:space="preserve">The governing case is pile P3 (axis 2, sea row) at the head, for ELR08 = 1.35PP + 1.35CM + 1.5Qa + 1.5TB1, in the ROM basis with Mode.CODIGO.</w:t>
      </w:r>
    </w:p>
    <w:p>
      <w:pPr>
        <w:pStyle w:val="ListParagraph"/>
        <w:numPr>
          <w:ilvl w:val="0"/>
          <w:numId w:val="5"/>
        </w:numPr>
        <w:spacing w:after="60"/>
        <w:jc w:val="both"/>
      </w:pPr>
      <w:r>
        <w:rPr>
          <w:b/>
          <w:bCs/>
        </w:rPr>
        <w:t xml:space="preserve">First-order forces.</w:t>
      </w:r>
      <w:r>
        <w:t xml:space="preserve"> NEd = 736.1 kN, MEd,x = 295.3 kN·m, MEd,y = −19.5 kN·m. So e0,x = 401.1 mm and e0,y = −26.6 mm, both above emin = max(h/30, 20 mm) = 20 mm (A19.6.1(4)).</w:t>
      </w:r>
    </w:p>
    <w:p>
      <w:pPr>
        <w:pStyle w:val="ListParagraph"/>
        <w:numPr>
          <w:ilvl w:val="0"/>
          <w:numId w:val="5"/>
        </w:numPr>
        <w:spacing w:after="60"/>
        <w:jc w:val="both"/>
      </w:pPr>
      <w:r>
        <w:rPr>
          <w:b/>
          <w:bCs/>
        </w:rPr>
        <w:t xml:space="preserve">Slenderness limit</w:t>
      </w:r>
      <w:r>
        <w:t xml:space="preserve"> (A19.5.8.3.1). A = 1/(1 + 0.2·φef) = 0.7407 (φef = 1.75). ω = As·fyd/(Ac·fcd) = 0.480, so B = √(1 + 2ω) = 1.4001. C = 0.7 for a sway member. n = NEd/(Ac·fcd) = 0.138. Then:</w:t>
      </w:r>
    </w:p>
    <w:p>
      <w:pPr>
        <w:keepLines/>
        <w:tabs>
          <w:tab w:val="right" w:pos="9026"/>
        </w:tabs>
        <w:spacing w:after="120" w:before="80"/>
        <w:ind w:left="567"/>
        <w:jc w:val="left"/>
      </w:pPr>
      <w:r>
        <w:rPr>
          <w:rFonts w:ascii="Cambria Math" w:cs="Cambria Math" w:eastAsia="Cambria Math" w:hAnsi="Cambria Math"/>
          <w:i/>
          <w:iCs/>
        </w:rPr>
        <w:t xml:space="preserve">λlim = 20·A·B·C / √n = 20 × 0.7407 × 1.4001 × 0.7 / √0.138 = 39.09 &lt; λ = 58.02</w:t>
      </w:r>
      <w:r>
        <w:rPr>
          <w:rFonts w:ascii="Cambria Math" w:cs="Cambria Math" w:eastAsia="Cambria Math" w:hAnsi="Cambria Math"/>
        </w:rPr>
        <w:t xml:space="preserve">	(4)</w:t>
      </w:r>
    </w:p>
    <w:p>
      <w:pPr>
        <w:pStyle w:val="ListParagraph"/>
        <w:numPr>
          <w:ilvl w:val="0"/>
          <w:numId w:val="5"/>
        </w:numPr>
        <w:spacing w:after="60"/>
        <w:jc w:val="both"/>
      </w:pPr>
      <w:r>
        <w:rPr>
          <w:b/>
          <w:bCs/>
        </w:rPr>
        <w:t xml:space="preserve">Imperfection</w:t>
      </w:r>
      <w:r>
        <w:t xml:space="preserve"> (A19.5.2). θi = θ0·αh·αm = (1/200) × (2/√6.70) × 1 = 0.003863, so ei = θi·l0/2 = 12.94 mm. In code-strict mode it is added in the worst direction only, here x.</w:t>
      </w:r>
    </w:p>
    <w:p>
      <w:pPr>
        <w:pStyle w:val="ListParagraph"/>
        <w:numPr>
          <w:ilvl w:val="0"/>
          <w:numId w:val="5"/>
        </w:numPr>
        <w:spacing w:after="60"/>
        <w:jc w:val="both"/>
      </w:pPr>
      <w:r>
        <w:rPr>
          <w:b/>
          <w:bCs/>
        </w:rPr>
        <w:t xml:space="preserve">Curvature and second-order eccentricity</w:t>
      </w:r>
      <w:r>
        <w:t xml:space="preserve"> (A19.5.8.8.3). εyd = 434.78/200 000 = 0.002174. Kr = min[(nu − n)/(nu − nbal); 1] = 1, with nu = 1 + ω. β = 0.35 + fck/200 − λ/150 = 0.213, so Kφ = 1 + β·φef = 1.373. The code-strict effective depth is d = h/2 + is = 307.0 mm (CYPECAD uses 327.5 mm, C7). Then:</w:t>
      </w:r>
    </w:p>
    <w:p>
      <w:pPr>
        <w:keepLines/>
        <w:tabs>
          <w:tab w:val="right" w:pos="9026"/>
        </w:tabs>
        <w:spacing w:after="120" w:before="80"/>
        <w:ind w:left="567"/>
        <w:jc w:val="left"/>
      </w:pPr>
      <w:r>
        <w:rPr>
          <w:rFonts w:ascii="Cambria Math" w:cs="Cambria Math" w:eastAsia="Cambria Math" w:hAnsi="Cambria Math"/>
          <w:i/>
          <w:iCs/>
        </w:rPr>
        <w:t xml:space="preserve">1/r = Kr·Kφ·εyd / (0.45·d) = 1.373 × 0.002174 / (0.45 × 0.307) = 0.0216 m⁻¹</w:t>
      </w:r>
      <w:r>
        <w:rPr>
          <w:rFonts w:ascii="Cambria Math" w:cs="Cambria Math" w:eastAsia="Cambria Math" w:hAnsi="Cambria Math"/>
        </w:rPr>
        <w:t xml:space="preserve">	(5)</w:t>
      </w:r>
    </w:p>
    <w:p>
      <w:pPr>
        <w:keepLines/>
        <w:tabs>
          <w:tab w:val="right" w:pos="9026"/>
        </w:tabs>
        <w:spacing w:after="120" w:before="80"/>
        <w:ind w:left="567"/>
        <w:jc w:val="left"/>
      </w:pPr>
      <w:r>
        <w:rPr>
          <w:rFonts w:ascii="Cambria Math" w:cs="Cambria Math" w:eastAsia="Cambria Math" w:hAnsi="Cambria Math"/>
          <w:i/>
          <w:iCs/>
        </w:rPr>
        <w:t xml:space="preserve">e2 = (1/r)·l0² / π² = 0.0216 × 6.70² / 9.87 = 98.3 mm</w:t>
      </w:r>
      <w:r>
        <w:rPr>
          <w:rFonts w:ascii="Cambria Math" w:cs="Cambria Math" w:eastAsia="Cambria Math" w:hAnsi="Cambria Math"/>
        </w:rPr>
        <w:t xml:space="preserve">	(6)</w:t>
      </w:r>
    </w:p>
    <w:p>
      <w:pPr>
        <w:pStyle w:val="ListParagraph"/>
        <w:numPr>
          <w:ilvl w:val="0"/>
          <w:numId w:val="5"/>
        </w:numPr>
        <w:spacing w:after="60"/>
        <w:jc w:val="both"/>
      </w:pPr>
      <w:r>
        <w:rPr>
          <w:b/>
          <w:bCs/>
        </w:rPr>
        <w:t xml:space="preserve">Total eccentricities.</w:t>
      </w:r>
      <w:r>
        <w:t xml:space="preserve"> etot,x = 401.1 + 12.9 + 98.3 = 512.4 mm and etot,y = −26.6 − 98.3 = −124.8 mm. So MEd,x = 736.1 × 0.5124 = 377.1 kN·m and MEd,y = −91.9 kN·m.</w:t>
      </w:r>
    </w:p>
    <w:p>
      <w:pPr>
        <w:pStyle w:val="ListParagraph"/>
        <w:numPr>
          <w:ilvl w:val="0"/>
          <w:numId w:val="5"/>
        </w:numPr>
        <w:spacing w:after="60"/>
        <w:jc w:val="both"/>
      </w:pPr>
      <w:r>
        <w:rPr>
          <w:b/>
          <w:bCs/>
        </w:rPr>
        <w:t xml:space="preserve">Section capacity on the same ray.</w:t>
      </w:r>
      <w:r>
        <w:t xml:space="preserve"> NRd = 745.4 kN, MRd,x = 381.9 kN·m, MRd,y = −93.1 kN·m. At failure the concrete resultant is Cc = 1478 kN, the compression steel Cs = 504 kN and the tension steel T = 1236 kN, so Cc + Cs − T = NRd. Then:</w:t>
      </w:r>
    </w:p>
    <w:p>
      <w:pPr>
        <w:keepLines/>
        <w:tabs>
          <w:tab w:val="right" w:pos="9026"/>
        </w:tabs>
        <w:spacing w:after="120" w:before="80"/>
        <w:ind w:left="567"/>
        <w:jc w:val="left"/>
      </w:pPr>
      <w:r>
        <w:rPr>
          <w:rFonts w:ascii="Cambria Math" w:cs="Cambria Math" w:eastAsia="Cambria Math" w:hAnsi="Cambria Math"/>
          <w:i/>
          <w:iCs/>
        </w:rPr>
        <w:t xml:space="preserve">η = √(736.1² + 377.1² + 91.9²) / √(745.4² + 381.9² + 93.1²) = 0.987 ≤ 1</w:t>
      </w:r>
      <w:r>
        <w:rPr>
          <w:rFonts w:ascii="Cambria Math" w:cs="Cambria Math" w:eastAsia="Cambria Math" w:hAnsi="Cambria Math"/>
        </w:rPr>
        <w:t xml:space="preserve">	(7)</w:t>
      </w:r>
    </w:p>
    <w:p>
      <w:pPr>
        <w:spacing w:after="120"/>
        <w:jc w:val="both"/>
      </w:pPr>
      <w:r>
        <w:t xml:space="preserve">The same procedure with CYPECAD’s conventions and CYPECAD’s own forces returns η = 0.913 at the P3 head, exactly the printed value (e2 = 92.12 mm, NRd = 679.16 kN). With the SAP forces:</w:t>
      </w:r>
    </w:p>
    <w:p>
      <w:pPr>
        <w:pStyle w:val="ListParagraph"/>
        <w:numPr>
          <w:ilvl w:val="0"/>
          <w:numId w:val="3"/>
        </w:numPr>
        <w:spacing w:after="60"/>
        <w:jc w:val="both"/>
      </w:pPr>
      <w:r>
        <w:t xml:space="preserve">the parity case (CYPE/cype) gives 0.920;</w:t>
      </w:r>
    </w:p>
    <w:p>
      <w:pPr>
        <w:pStyle w:val="ListParagraph"/>
        <w:numPr>
          <w:ilvl w:val="0"/>
          <w:numId w:val="3"/>
        </w:numPr>
        <w:spacing w:after="60"/>
        <w:jc w:val="both"/>
      </w:pPr>
      <w:r>
        <w:t xml:space="preserve">the code-strict section with the Anejo 10 loads (CYPE/codigo) gives 0.933;</w:t>
      </w:r>
    </w:p>
    <w:p>
      <w:pPr>
        <w:pStyle w:val="ListParagraph"/>
        <w:numPr>
          <w:ilvl w:val="0"/>
          <w:numId w:val="3"/>
        </w:numPr>
        <w:spacing w:after="60"/>
        <w:jc w:val="both"/>
      </w:pPr>
      <w:r>
        <w:t xml:space="preserve">the ROM loads, with ψ0,Qa = 1.0 instead of 0.7, raise it to 0.987.</w:t>
      </w:r>
    </w:p>
    <w:p>
      <w:pPr>
        <w:spacing w:after="120"/>
        <w:jc w:val="both"/>
      </w:pPr>
      <w:r>
        <w:rPr>
          <w:b/>
          <w:bCs/>
        </w:rPr>
        <w:t xml:space="preserve">Resistance of the pile section</w:t>
      </w:r>
      <w:r>
        <w:t xml:space="preserve"> (12Ø25, Mode.CODIGO, uniaxial): pure compression NRd = 7493 kN; pure tension NRd = −2561 kN (As·fyd); MRd ≈ 345 kN·m at N ≈ 0; maximum MRd = 473 kN·m at N ≈ 2095 kN (balanced point). Figure 2 shows the diagram and the governing points.</w:t>
      </w:r>
    </w:p>
    <w:p>
      <w:pPr>
        <w:keepNext/>
        <w:spacing w:before="120"/>
        <w:jc w:val="center"/>
      </w:pPr>
      <w:r>
        <w:drawing>
          <wp:inline distT="0" distB="0" distL="0" distR="0">
            <wp:extent cx="5715000" cy="2981325"/>
            <wp:effectExtent t="0" r="0" b="0" l="0"/>
            <wp:docPr id="1" name="d8_interaccion_pilote.png" descr="Figure 2 – N-M interaction of the pile 40×40 HA-50 with 12Ø25. Black: uniaxial diagram. Blue: N-Mx-My diagram along the governing moment direction (13.7°). Right panel: first-order point of P3 head (orange), its second-order point (blue, η = 0.987) and P2 foot in tension (η = 0.815). Grey: all other ELR points. “compresión +” = compression positive." title="Figure 2 – N-M interaction of the pile 40×40 HA-50 with 12Ø25. Black: uniaxial diagram. Blue: N-Mx-My diagram along the governing moment direction (13.7°). Right panel: first-order point of P3 head (orange), its second-order point (blue, η = 0.987) and P2 foot in tension (η = 0.815). Grey: all other ELR points. “compresión +” = compression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81325"/>
                    </a:xfrm>
                    <a:prstGeom prst="rect">
                      <a:avLst/>
                    </a:prstGeom>
                  </pic:spPr>
                </pic:pic>
              </a:graphicData>
            </a:graphic>
          </wp:inline>
        </w:drawing>
      </w:r>
    </w:p>
    <w:p>
      <w:pPr>
        <w:spacing w:after="200"/>
        <w:jc w:val="center"/>
      </w:pPr>
      <w:r>
        <w:rPr>
          <w:i/>
          <w:iCs/>
          <w:color w:val="404040"/>
          <w:sz w:val="18"/>
          <w:szCs w:val="18"/>
        </w:rPr>
        <w:t xml:space="preserve">Figure 2 – N-M interaction of the pile 40×40 HA-50 with 12Ø25. Black: uniaxial diagram. Blue: N-Mx-My diagram along the governing moment direction (13.7°). Right panel: first-order point of P3 head (orange), its second-order point (blue, η = 0.987) and P2 foot in tension (η = 0.815). Grey: all other ELR points. “compresión +” = compression positive.</w:t>
      </w:r>
    </w:p>
    <w:p>
      <w:pPr>
        <w:pStyle w:val="Heading2"/>
      </w:pPr>
      <w:r>
        <w:t xml:space="preserve">5.3 Results per pile</w:t>
      </w:r>
    </w:p>
    <w:p>
      <w:pPr>
        <w:keepNext/>
        <w:spacing w:after="80" w:before="160"/>
        <w:jc w:val="center"/>
      </w:pPr>
      <w:r>
        <w:rPr>
          <w:i/>
          <w:iCs/>
          <w:color w:val="404040"/>
          <w:sz w:val="18"/>
          <w:szCs w:val="18"/>
        </w:rPr>
        <w:t xml:space="preserve">Table 11 – Pile utilisations with the Anejo 10 reinforcement, verdict case ROM/codigo, and final verdict.</w:t>
      </w:r>
    </w:p>
    <w:tbl>
      <w:tblPr>
        <w:tblW w:type="dxa" w:w="8726"/>
        <w:tblBorders>
          <w:top w:val="single" w:color="auto" w:sz="4"/>
          <w:left w:val="single" w:color="auto" w:sz="4"/>
          <w:bottom w:val="single" w:color="auto" w:sz="4"/>
          <w:right w:val="single" w:color="auto" w:sz="4"/>
          <w:insideH w:val="single" w:color="auto" w:sz="4"/>
          <w:insideV w:val="single" w:color="auto" w:sz="4"/>
        </w:tblBorders>
      </w:tblPr>
      <w:tblGrid>
        <w:gridCol w:w="650"/>
        <w:gridCol w:w="850"/>
        <w:gridCol w:w="850"/>
        <w:gridCol w:w="850"/>
        <w:gridCol w:w="800"/>
        <w:gridCol w:w="900"/>
        <w:gridCol w:w="950"/>
        <w:gridCol w:w="950"/>
        <w:gridCol w:w="900"/>
        <w:gridCol w:w="1026"/>
      </w:tblGrid>
      <w:tr>
        <w:trPr>
          <w:cantSplit/>
          <w:tblHeader/>
        </w:trPr>
        <w:tc>
          <w:tcPr>
            <w:tcW w:type="dxa" w:w="650"/>
            <w:tcBorders>
              <w:top w:val="single" w:color="A6A6A6" w:sz="4"/>
              <w:left w:val="single" w:color="A6A6A6" w:sz="4"/>
              <w:bottom w:val="single" w:color="A6A6A6" w:sz="4"/>
              <w:right w:val="single" w:color="A6A6A6" w:sz="4"/>
            </w:tcBorders>
            <w:shd w:fill="1F4E79" w:color="auto" w:val="clear"/>
            <w:tcMar>
              <w:top w:type="dxa" w:w="50"/>
              <w:left w:type="dxa" w:w="60"/>
              <w:bottom w:type="dxa" w:w="50"/>
              <w:right w:type="dxa" w:w="60"/>
            </w:tcMar>
            <w:vAlign w:val="center"/>
          </w:tcPr>
          <w:p>
            <w:pPr>
              <w:keepNext/>
              <w:jc w:val="left"/>
            </w:pPr>
            <w:r>
              <w:rPr>
                <w:b/>
                <w:bCs/>
                <w:color w:val="FFFFFF"/>
                <w:sz w:val="16"/>
                <w:szCs w:val="16"/>
              </w:rPr>
              <w:t xml:space="preserve">Pile</w:t>
            </w:r>
          </w:p>
        </w:tc>
        <w:tc>
          <w:tcPr>
            <w:tcW w:type="dxa" w:w="850"/>
            <w:tcBorders>
              <w:top w:val="single" w:color="A6A6A6" w:sz="4"/>
              <w:left w:val="single" w:color="A6A6A6" w:sz="4"/>
              <w:bottom w:val="single" w:color="A6A6A6" w:sz="4"/>
              <w:right w:val="single" w:color="A6A6A6" w:sz="4"/>
            </w:tcBorders>
            <w:shd w:fill="1F4E79" w:color="auto" w:val="clear"/>
            <w:tcMar>
              <w:top w:type="dxa" w:w="50"/>
              <w:left w:type="dxa" w:w="60"/>
              <w:bottom w:type="dxa" w:w="50"/>
              <w:right w:type="dxa" w:w="60"/>
            </w:tcMar>
            <w:vAlign w:val="center"/>
          </w:tcPr>
          <w:p>
            <w:pPr>
              <w:keepNext/>
              <w:jc w:val="center"/>
            </w:pPr>
            <w:r>
              <w:rPr>
                <w:b/>
                <w:bCs/>
                <w:color w:val="FFFFFF"/>
                <w:sz w:val="16"/>
                <w:szCs w:val="16"/>
              </w:rPr>
              <w:t xml:space="preserve">Axis, row</w:t>
            </w:r>
          </w:p>
        </w:tc>
        <w:tc>
          <w:tcPr>
            <w:tcW w:type="dxa" w:w="850"/>
            <w:tcBorders>
              <w:top w:val="single" w:color="A6A6A6" w:sz="4"/>
              <w:left w:val="single" w:color="A6A6A6" w:sz="4"/>
              <w:bottom w:val="single" w:color="A6A6A6" w:sz="4"/>
              <w:right w:val="single" w:color="A6A6A6" w:sz="4"/>
            </w:tcBorders>
            <w:shd w:fill="1F4E79" w:color="auto" w:val="clear"/>
            <w:tcMar>
              <w:top w:type="dxa" w:w="50"/>
              <w:left w:type="dxa" w:w="60"/>
              <w:bottom w:type="dxa" w:w="50"/>
              <w:right w:type="dxa" w:w="60"/>
            </w:tcMar>
            <w:vAlign w:val="center"/>
          </w:tcPr>
          <w:p>
            <w:pPr>
              <w:keepNext/>
              <w:jc w:val="center"/>
            </w:pPr>
            <w:r>
              <w:rPr>
                <w:b/>
                <w:bCs/>
                <w:color w:val="FFFFFF"/>
                <w:sz w:val="16"/>
                <w:szCs w:val="16"/>
              </w:rPr>
              <w:t xml:space="preserve">η N-M 1st</w:t>
            </w:r>
          </w:p>
        </w:tc>
        <w:tc>
          <w:tcPr>
            <w:tcW w:type="dxa" w:w="850"/>
            <w:tcBorders>
              <w:top w:val="single" w:color="A6A6A6" w:sz="4"/>
              <w:left w:val="single" w:color="A6A6A6" w:sz="4"/>
              <w:bottom w:val="single" w:color="A6A6A6" w:sz="4"/>
              <w:right w:val="single" w:color="A6A6A6" w:sz="4"/>
            </w:tcBorders>
            <w:shd w:fill="1F4E79" w:color="auto" w:val="clear"/>
            <w:tcMar>
              <w:top w:type="dxa" w:w="50"/>
              <w:left w:type="dxa" w:w="60"/>
              <w:bottom w:type="dxa" w:w="50"/>
              <w:right w:type="dxa" w:w="60"/>
            </w:tcMar>
            <w:vAlign w:val="center"/>
          </w:tcPr>
          <w:p>
            <w:pPr>
              <w:keepNext/>
              <w:jc w:val="center"/>
            </w:pPr>
            <w:r>
              <w:rPr>
                <w:b/>
                <w:bCs/>
                <w:color w:val="FFFFFF"/>
                <w:sz w:val="16"/>
                <w:szCs w:val="16"/>
              </w:rPr>
              <w:t xml:space="preserve">η N-M 2nd</w:t>
            </w:r>
          </w:p>
        </w:tc>
        <w:tc>
          <w:tcPr>
            <w:tcW w:type="dxa" w:w="800"/>
            <w:tcBorders>
              <w:top w:val="single" w:color="A6A6A6" w:sz="4"/>
              <w:left w:val="single" w:color="A6A6A6" w:sz="4"/>
              <w:bottom w:val="single" w:color="A6A6A6" w:sz="4"/>
              <w:right w:val="single" w:color="A6A6A6" w:sz="4"/>
            </w:tcBorders>
            <w:shd w:fill="1F4E79" w:color="auto" w:val="clear"/>
            <w:tcMar>
              <w:top w:type="dxa" w:w="50"/>
              <w:left w:type="dxa" w:w="60"/>
              <w:bottom w:type="dxa" w:w="50"/>
              <w:right w:type="dxa" w:w="60"/>
            </w:tcMar>
            <w:vAlign w:val="center"/>
          </w:tcPr>
          <w:p>
            <w:pPr>
              <w:keepNext/>
              <w:jc w:val="center"/>
            </w:pPr>
            <w:r>
              <w:rPr>
                <w:b/>
                <w:bCs/>
                <w:color w:val="FFFFFF"/>
                <w:sz w:val="16"/>
                <w:szCs w:val="16"/>
              </w:rPr>
              <w:t xml:space="preserve">η shear</w:t>
            </w:r>
          </w:p>
        </w:tc>
        <w:tc>
          <w:tcPr>
            <w:tcW w:type="dxa" w:w="900"/>
            <w:tcBorders>
              <w:top w:val="single" w:color="A6A6A6" w:sz="4"/>
              <w:left w:val="single" w:color="A6A6A6" w:sz="4"/>
              <w:bottom w:val="single" w:color="A6A6A6" w:sz="4"/>
              <w:right w:val="single" w:color="A6A6A6" w:sz="4"/>
            </w:tcBorders>
            <w:shd w:fill="1F4E79" w:color="auto" w:val="clear"/>
            <w:tcMar>
              <w:top w:type="dxa" w:w="50"/>
              <w:left w:type="dxa" w:w="60"/>
              <w:bottom w:type="dxa" w:w="50"/>
              <w:right w:type="dxa" w:w="60"/>
            </w:tcMar>
            <w:vAlign w:val="center"/>
          </w:tcPr>
          <w:p>
            <w:pPr>
              <w:keepNext/>
              <w:jc w:val="center"/>
            </w:pPr>
            <w:r>
              <w:rPr>
                <w:b/>
                <w:bCs/>
                <w:color w:val="FFFFFF"/>
                <w:sz w:val="16"/>
                <w:szCs w:val="16"/>
              </w:rPr>
              <w:t xml:space="preserve">QP σct/fctm</w:t>
            </w:r>
          </w:p>
        </w:tc>
        <w:tc>
          <w:tcPr>
            <w:tcW w:type="dxa" w:w="950"/>
            <w:tcBorders>
              <w:top w:val="single" w:color="A6A6A6" w:sz="4"/>
              <w:left w:val="single" w:color="A6A6A6" w:sz="4"/>
              <w:bottom w:val="single" w:color="A6A6A6" w:sz="4"/>
              <w:right w:val="single" w:color="A6A6A6" w:sz="4"/>
            </w:tcBorders>
            <w:shd w:fill="1F4E79" w:color="auto" w:val="clear"/>
            <w:tcMar>
              <w:top w:type="dxa" w:w="50"/>
              <w:left w:type="dxa" w:w="60"/>
              <w:bottom w:type="dxa" w:w="50"/>
              <w:right w:type="dxa" w:w="60"/>
            </w:tcMar>
            <w:vAlign w:val="center"/>
          </w:tcPr>
          <w:p>
            <w:pPr>
              <w:keepNext/>
              <w:jc w:val="center"/>
            </w:pPr>
            <w:r>
              <w:rPr>
                <w:b/>
                <w:bCs/>
                <w:color w:val="FFFFFF"/>
                <w:sz w:val="16"/>
                <w:szCs w:val="16"/>
              </w:rPr>
              <w:t xml:space="preserve">σc/0.6fck Ecm</w:t>
            </w:r>
          </w:p>
        </w:tc>
        <w:tc>
          <w:tcPr>
            <w:tcW w:type="dxa" w:w="950"/>
            <w:tcBorders>
              <w:top w:val="single" w:color="A6A6A6" w:sz="4"/>
              <w:left w:val="single" w:color="A6A6A6" w:sz="4"/>
              <w:bottom w:val="single" w:color="A6A6A6" w:sz="4"/>
              <w:right w:val="single" w:color="A6A6A6" w:sz="4"/>
            </w:tcBorders>
            <w:shd w:fill="1F4E79" w:color="auto" w:val="clear"/>
            <w:tcMar>
              <w:top w:type="dxa" w:w="50"/>
              <w:left w:type="dxa" w:w="60"/>
              <w:bottom w:type="dxa" w:w="50"/>
              <w:right w:type="dxa" w:w="60"/>
            </w:tcMar>
            <w:vAlign w:val="center"/>
          </w:tcPr>
          <w:p>
            <w:pPr>
              <w:keepNext/>
              <w:jc w:val="center"/>
            </w:pPr>
            <w:r>
              <w:rPr>
                <w:b/>
                <w:bCs/>
                <w:color w:val="FFFFFF"/>
                <w:sz w:val="16"/>
                <w:szCs w:val="16"/>
              </w:rPr>
              <w:t xml:space="preserve">σc/0.6fck Ec,eff</w:t>
            </w:r>
          </w:p>
        </w:tc>
        <w:tc>
          <w:tcPr>
            <w:tcW w:type="dxa" w:w="900"/>
            <w:tcBorders>
              <w:top w:val="single" w:color="A6A6A6" w:sz="4"/>
              <w:left w:val="single" w:color="A6A6A6" w:sz="4"/>
              <w:bottom w:val="single" w:color="A6A6A6" w:sz="4"/>
              <w:right w:val="single" w:color="A6A6A6" w:sz="4"/>
            </w:tcBorders>
            <w:shd w:fill="1F4E79" w:color="auto" w:val="clear"/>
            <w:tcMar>
              <w:top w:type="dxa" w:w="50"/>
              <w:left w:type="dxa" w:w="60"/>
              <w:bottom w:type="dxa" w:w="50"/>
              <w:right w:type="dxa" w:w="60"/>
            </w:tcMar>
            <w:vAlign w:val="center"/>
          </w:tcPr>
          <w:p>
            <w:pPr>
              <w:keepNext/>
              <w:jc w:val="center"/>
            </w:pPr>
            <w:r>
              <w:rPr>
                <w:b/>
                <w:bCs/>
                <w:color w:val="FFFFFF"/>
                <w:sz w:val="16"/>
                <w:szCs w:val="16"/>
              </w:rPr>
              <w:t xml:space="preserve">As,req (cm²)</w:t>
            </w:r>
          </w:p>
        </w:tc>
        <w:tc>
          <w:tcPr>
            <w:tcW w:type="dxa" w:w="1026"/>
            <w:tcBorders>
              <w:top w:val="single" w:color="A6A6A6" w:sz="4"/>
              <w:left w:val="single" w:color="A6A6A6" w:sz="4"/>
              <w:bottom w:val="single" w:color="A6A6A6" w:sz="4"/>
              <w:right w:val="single" w:color="A6A6A6" w:sz="4"/>
            </w:tcBorders>
            <w:shd w:fill="1F4E79" w:color="auto" w:val="clear"/>
            <w:tcMar>
              <w:top w:type="dxa" w:w="50"/>
              <w:left w:type="dxa" w:w="60"/>
              <w:bottom w:type="dxa" w:w="50"/>
              <w:right w:type="dxa" w:w="60"/>
            </w:tcMar>
            <w:vAlign w:val="center"/>
          </w:tcPr>
          <w:p>
            <w:pPr>
              <w:keepNext/>
              <w:jc w:val="center"/>
            </w:pPr>
            <w:r>
              <w:rPr>
                <w:b/>
                <w:bCs/>
                <w:color w:val="FFFFFF"/>
                <w:sz w:val="16"/>
                <w:szCs w:val="16"/>
              </w:rPr>
              <w:t xml:space="preserve">Final</w:t>
            </w:r>
          </w:p>
        </w:tc>
      </w:tr>
      <w:tr>
        <w:trPr>
          <w:cantSplit/>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left"/>
            </w:pPr>
            <w:r>
              <w:rPr>
                <w:sz w:val="16"/>
                <w:szCs w:val="16"/>
              </w:rPr>
              <w:t xml:space="preserve">P1</w:t>
            </w:r>
          </w:p>
        </w:tc>
        <w:tc>
          <w:tcPr>
            <w:tcW w:type="dxa" w:w="8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1, sea</w:t>
            </w:r>
          </w:p>
        </w:tc>
        <w:tc>
          <w:tcPr>
            <w:tcW w:type="dxa" w:w="8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0.719</w:t>
            </w:r>
          </w:p>
        </w:tc>
        <w:tc>
          <w:tcPr>
            <w:tcW w:type="dxa" w:w="8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0.919</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0.560</w:t>
            </w:r>
          </w:p>
        </w:tc>
        <w:tc>
          <w:tcPr>
            <w:tcW w:type="dxa" w:w="9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0.755</w:t>
            </w:r>
          </w:p>
        </w:tc>
        <w:tc>
          <w:tcPr>
            <w:tcW w:type="dxa" w:w="9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b/>
                <w:bCs/>
                <w:color w:val="C00000"/>
                <w:sz w:val="16"/>
                <w:szCs w:val="16"/>
              </w:rPr>
              <w:t xml:space="preserve">1.109</w:t>
            </w:r>
          </w:p>
        </w:tc>
        <w:tc>
          <w:tcPr>
            <w:tcW w:type="dxa" w:w="9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0.966</w:t>
            </w:r>
          </w:p>
        </w:tc>
        <w:tc>
          <w:tcPr>
            <w:tcW w:type="dxa" w:w="9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52.55</w:t>
            </w:r>
          </w:p>
        </w:tc>
        <w:tc>
          <w:tcPr>
            <w:tcW w:type="dxa" w:w="1026"/>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CUMPLE*</w:t>
            </w:r>
          </w:p>
        </w:tc>
      </w:tr>
      <w:tr>
        <w:trPr>
          <w:cantSplit/>
        </w:trPr>
        <w:tc>
          <w:tcPr>
            <w:tcW w:type="dxa" w:w="6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left"/>
            </w:pPr>
            <w:r>
              <w:rPr>
                <w:sz w:val="16"/>
                <w:szCs w:val="16"/>
              </w:rPr>
              <w:t xml:space="preserve">P2</w:t>
            </w:r>
          </w:p>
        </w:tc>
        <w:tc>
          <w:tcPr>
            <w:tcW w:type="dxa" w:w="8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1, land</w:t>
            </w:r>
          </w:p>
        </w:tc>
        <w:tc>
          <w:tcPr>
            <w:tcW w:type="dxa" w:w="8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0.815</w:t>
            </w:r>
          </w:p>
        </w:tc>
        <w:tc>
          <w:tcPr>
            <w:tcW w:type="dxa" w:w="8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0.774</w:t>
            </w:r>
          </w:p>
        </w:tc>
        <w:tc>
          <w:tcPr>
            <w:tcW w:type="dxa" w:w="8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0.814</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0.764</w:t>
            </w:r>
          </w:p>
        </w:tc>
        <w:tc>
          <w:tcPr>
            <w:tcW w:type="dxa" w:w="9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b/>
                <w:bCs/>
                <w:color w:val="C00000"/>
                <w:sz w:val="16"/>
                <w:szCs w:val="16"/>
              </w:rPr>
              <w:t xml:space="preserve">1.055</w:t>
            </w:r>
          </w:p>
        </w:tc>
        <w:tc>
          <w:tcPr>
            <w:tcW w:type="dxa" w:w="9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0.899</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45.84</w:t>
            </w:r>
          </w:p>
        </w:tc>
        <w:tc>
          <w:tcPr>
            <w:tcW w:type="dxa" w:w="1026"/>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CUMPLE*</w:t>
            </w:r>
          </w:p>
        </w:tc>
      </w:tr>
      <w:tr>
        <w:trPr>
          <w:cantSplit/>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left"/>
            </w:pPr>
            <w:r>
              <w:rPr>
                <w:sz w:val="16"/>
                <w:szCs w:val="16"/>
              </w:rPr>
              <w:t xml:space="preserve">P3</w:t>
            </w:r>
          </w:p>
        </w:tc>
        <w:tc>
          <w:tcPr>
            <w:tcW w:type="dxa" w:w="8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2, sea</w:t>
            </w:r>
          </w:p>
        </w:tc>
        <w:tc>
          <w:tcPr>
            <w:tcW w:type="dxa" w:w="8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0.695</w:t>
            </w:r>
          </w:p>
        </w:tc>
        <w:tc>
          <w:tcPr>
            <w:tcW w:type="dxa" w:w="8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b/>
                <w:bCs/>
                <w:sz w:val="16"/>
                <w:szCs w:val="16"/>
              </w:rPr>
              <w:t xml:space="preserve">0.987</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0.538</w:t>
            </w:r>
          </w:p>
        </w:tc>
        <w:tc>
          <w:tcPr>
            <w:tcW w:type="dxa" w:w="9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0.345</w:t>
            </w:r>
          </w:p>
        </w:tc>
        <w:tc>
          <w:tcPr>
            <w:tcW w:type="dxa" w:w="9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b/>
                <w:bCs/>
                <w:color w:val="C00000"/>
                <w:sz w:val="16"/>
                <w:szCs w:val="16"/>
              </w:rPr>
              <w:t xml:space="preserve">1.010</w:t>
            </w:r>
          </w:p>
        </w:tc>
        <w:tc>
          <w:tcPr>
            <w:tcW w:type="dxa" w:w="9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0.923</w:t>
            </w:r>
          </w:p>
        </w:tc>
        <w:tc>
          <w:tcPr>
            <w:tcW w:type="dxa" w:w="9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b/>
                <w:bCs/>
                <w:sz w:val="16"/>
                <w:szCs w:val="16"/>
              </w:rPr>
              <w:t xml:space="preserve">58.43</w:t>
            </w:r>
          </w:p>
        </w:tc>
        <w:tc>
          <w:tcPr>
            <w:tcW w:type="dxa" w:w="1026"/>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CUMPLE*</w:t>
            </w:r>
          </w:p>
        </w:tc>
      </w:tr>
      <w:tr>
        <w:trPr>
          <w:cantSplit/>
        </w:trPr>
        <w:tc>
          <w:tcPr>
            <w:tcW w:type="dxa" w:w="6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left"/>
            </w:pPr>
            <w:r>
              <w:rPr>
                <w:sz w:val="16"/>
                <w:szCs w:val="16"/>
              </w:rPr>
              <w:t xml:space="preserve">P4</w:t>
            </w:r>
          </w:p>
        </w:tc>
        <w:tc>
          <w:tcPr>
            <w:tcW w:type="dxa" w:w="8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2, land</w:t>
            </w:r>
          </w:p>
        </w:tc>
        <w:tc>
          <w:tcPr>
            <w:tcW w:type="dxa" w:w="8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0.764</w:t>
            </w:r>
          </w:p>
        </w:tc>
        <w:tc>
          <w:tcPr>
            <w:tcW w:type="dxa" w:w="8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0.638</w:t>
            </w:r>
          </w:p>
        </w:tc>
        <w:tc>
          <w:tcPr>
            <w:tcW w:type="dxa" w:w="8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0.734</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0.381</w:t>
            </w:r>
          </w:p>
        </w:tc>
        <w:tc>
          <w:tcPr>
            <w:tcW w:type="dxa" w:w="9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0.806</w:t>
            </w:r>
          </w:p>
        </w:tc>
        <w:tc>
          <w:tcPr>
            <w:tcW w:type="dxa" w:w="9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0.752</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42.70</w:t>
            </w:r>
          </w:p>
        </w:tc>
        <w:tc>
          <w:tcPr>
            <w:tcW w:type="dxa" w:w="1026"/>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CUMPLE</w:t>
            </w:r>
          </w:p>
        </w:tc>
      </w:tr>
      <w:tr>
        <w:trPr>
          <w:cantSplit/>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left"/>
            </w:pPr>
            <w:r>
              <w:rPr>
                <w:sz w:val="16"/>
                <w:szCs w:val="16"/>
              </w:rPr>
              <w:t xml:space="preserve">P5</w:t>
            </w:r>
          </w:p>
        </w:tc>
        <w:tc>
          <w:tcPr>
            <w:tcW w:type="dxa" w:w="8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3, sea</w:t>
            </w:r>
          </w:p>
        </w:tc>
        <w:tc>
          <w:tcPr>
            <w:tcW w:type="dxa" w:w="8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0.652</w:t>
            </w:r>
          </w:p>
        </w:tc>
        <w:tc>
          <w:tcPr>
            <w:tcW w:type="dxa" w:w="8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0.915</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0.515</w:t>
            </w:r>
          </w:p>
        </w:tc>
        <w:tc>
          <w:tcPr>
            <w:tcW w:type="dxa" w:w="9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0.160</w:t>
            </w:r>
          </w:p>
        </w:tc>
        <w:tc>
          <w:tcPr>
            <w:tcW w:type="dxa" w:w="9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0.893</w:t>
            </w:r>
          </w:p>
        </w:tc>
        <w:tc>
          <w:tcPr>
            <w:tcW w:type="dxa" w:w="9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0.836</w:t>
            </w:r>
          </w:p>
        </w:tc>
        <w:tc>
          <w:tcPr>
            <w:tcW w:type="dxa" w:w="9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52.05</w:t>
            </w:r>
          </w:p>
        </w:tc>
        <w:tc>
          <w:tcPr>
            <w:tcW w:type="dxa" w:w="1026"/>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CUMPLE</w:t>
            </w:r>
          </w:p>
        </w:tc>
      </w:tr>
      <w:tr>
        <w:trPr>
          <w:cantSplit/>
        </w:trPr>
        <w:tc>
          <w:tcPr>
            <w:tcW w:type="dxa" w:w="6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left"/>
            </w:pPr>
            <w:r>
              <w:rPr>
                <w:sz w:val="16"/>
                <w:szCs w:val="16"/>
              </w:rPr>
              <w:t xml:space="preserve">P6</w:t>
            </w:r>
          </w:p>
        </w:tc>
        <w:tc>
          <w:tcPr>
            <w:tcW w:type="dxa" w:w="8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3, land</w:t>
            </w:r>
          </w:p>
        </w:tc>
        <w:tc>
          <w:tcPr>
            <w:tcW w:type="dxa" w:w="8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0.763</w:t>
            </w:r>
          </w:p>
        </w:tc>
        <w:tc>
          <w:tcPr>
            <w:tcW w:type="dxa" w:w="8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0.646</w:t>
            </w:r>
          </w:p>
        </w:tc>
        <w:tc>
          <w:tcPr>
            <w:tcW w:type="dxa" w:w="8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0.745</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0.194</w:t>
            </w:r>
          </w:p>
        </w:tc>
        <w:tc>
          <w:tcPr>
            <w:tcW w:type="dxa" w:w="9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0.799</w:t>
            </w:r>
          </w:p>
        </w:tc>
        <w:tc>
          <w:tcPr>
            <w:tcW w:type="dxa" w:w="9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0.753</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42.75</w:t>
            </w:r>
          </w:p>
        </w:tc>
        <w:tc>
          <w:tcPr>
            <w:tcW w:type="dxa" w:w="1026"/>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CUMPLE</w:t>
            </w:r>
          </w:p>
        </w:tc>
      </w:tr>
      <w:tr>
        <w:trPr>
          <w:cantSplit/>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left"/>
            </w:pPr>
            <w:r>
              <w:rPr>
                <w:sz w:val="16"/>
                <w:szCs w:val="16"/>
              </w:rPr>
              <w:t xml:space="preserve">P7</w:t>
            </w:r>
          </w:p>
        </w:tc>
        <w:tc>
          <w:tcPr>
            <w:tcW w:type="dxa" w:w="8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4, sea</w:t>
            </w:r>
          </w:p>
        </w:tc>
        <w:tc>
          <w:tcPr>
            <w:tcW w:type="dxa" w:w="8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0.663</w:t>
            </w:r>
          </w:p>
        </w:tc>
        <w:tc>
          <w:tcPr>
            <w:tcW w:type="dxa" w:w="8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0.924</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0.524</w:t>
            </w:r>
          </w:p>
        </w:tc>
        <w:tc>
          <w:tcPr>
            <w:tcW w:type="dxa" w:w="9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0.119</w:t>
            </w:r>
          </w:p>
        </w:tc>
        <w:tc>
          <w:tcPr>
            <w:tcW w:type="dxa" w:w="9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0.900</w:t>
            </w:r>
          </w:p>
        </w:tc>
        <w:tc>
          <w:tcPr>
            <w:tcW w:type="dxa" w:w="9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0.837</w:t>
            </w:r>
          </w:p>
        </w:tc>
        <w:tc>
          <w:tcPr>
            <w:tcW w:type="dxa" w:w="9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52.71</w:t>
            </w:r>
          </w:p>
        </w:tc>
        <w:tc>
          <w:tcPr>
            <w:tcW w:type="dxa" w:w="1026"/>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CUMPLE</w:t>
            </w:r>
          </w:p>
        </w:tc>
      </w:tr>
      <w:tr>
        <w:trPr>
          <w:cantSplit/>
        </w:trPr>
        <w:tc>
          <w:tcPr>
            <w:tcW w:type="dxa" w:w="6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left"/>
            </w:pPr>
            <w:r>
              <w:rPr>
                <w:sz w:val="16"/>
                <w:szCs w:val="16"/>
              </w:rPr>
              <w:t xml:space="preserve">P8</w:t>
            </w:r>
          </w:p>
        </w:tc>
        <w:tc>
          <w:tcPr>
            <w:tcW w:type="dxa" w:w="8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4, land</w:t>
            </w:r>
          </w:p>
        </w:tc>
        <w:tc>
          <w:tcPr>
            <w:tcW w:type="dxa" w:w="8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0.739</w:t>
            </w:r>
          </w:p>
        </w:tc>
        <w:tc>
          <w:tcPr>
            <w:tcW w:type="dxa" w:w="8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0.620</w:t>
            </w:r>
          </w:p>
        </w:tc>
        <w:tc>
          <w:tcPr>
            <w:tcW w:type="dxa" w:w="8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0.711</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0.156</w:t>
            </w:r>
          </w:p>
        </w:tc>
        <w:tc>
          <w:tcPr>
            <w:tcW w:type="dxa" w:w="9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0.777</w:t>
            </w:r>
          </w:p>
        </w:tc>
        <w:tc>
          <w:tcPr>
            <w:tcW w:type="dxa" w:w="9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0.730</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41.19</w:t>
            </w:r>
          </w:p>
        </w:tc>
        <w:tc>
          <w:tcPr>
            <w:tcW w:type="dxa" w:w="1026"/>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CUMPLE</w:t>
            </w:r>
          </w:p>
        </w:tc>
      </w:tr>
      <w:tr>
        <w:trPr>
          <w:cantSplit/>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left"/>
            </w:pPr>
            <w:r>
              <w:rPr>
                <w:sz w:val="16"/>
                <w:szCs w:val="16"/>
              </w:rPr>
              <w:t xml:space="preserve">P13</w:t>
            </w:r>
          </w:p>
        </w:tc>
        <w:tc>
          <w:tcPr>
            <w:tcW w:type="dxa" w:w="8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5, sea</w:t>
            </w:r>
          </w:p>
        </w:tc>
        <w:tc>
          <w:tcPr>
            <w:tcW w:type="dxa" w:w="8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0.630</w:t>
            </w:r>
          </w:p>
        </w:tc>
        <w:tc>
          <w:tcPr>
            <w:tcW w:type="dxa" w:w="8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0.893</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0.499</w:t>
            </w:r>
          </w:p>
        </w:tc>
        <w:tc>
          <w:tcPr>
            <w:tcW w:type="dxa" w:w="9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0.160</w:t>
            </w:r>
          </w:p>
        </w:tc>
        <w:tc>
          <w:tcPr>
            <w:tcW w:type="dxa" w:w="9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0.873</w:t>
            </w:r>
          </w:p>
        </w:tc>
        <w:tc>
          <w:tcPr>
            <w:tcW w:type="dxa" w:w="9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0.816</w:t>
            </w:r>
          </w:p>
        </w:tc>
        <w:tc>
          <w:tcPr>
            <w:tcW w:type="dxa" w:w="9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50.24</w:t>
            </w:r>
          </w:p>
        </w:tc>
        <w:tc>
          <w:tcPr>
            <w:tcW w:type="dxa" w:w="1026"/>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CUMPLE</w:t>
            </w:r>
          </w:p>
        </w:tc>
      </w:tr>
      <w:tr>
        <w:trPr>
          <w:cantSplit/>
        </w:trPr>
        <w:tc>
          <w:tcPr>
            <w:tcW w:type="dxa" w:w="6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left"/>
            </w:pPr>
            <w:r>
              <w:rPr>
                <w:sz w:val="16"/>
                <w:szCs w:val="16"/>
              </w:rPr>
              <w:t xml:space="preserve">P14</w:t>
            </w:r>
          </w:p>
        </w:tc>
        <w:tc>
          <w:tcPr>
            <w:tcW w:type="dxa" w:w="8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5, land</w:t>
            </w:r>
          </w:p>
        </w:tc>
        <w:tc>
          <w:tcPr>
            <w:tcW w:type="dxa" w:w="8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0.735</w:t>
            </w:r>
          </w:p>
        </w:tc>
        <w:tc>
          <w:tcPr>
            <w:tcW w:type="dxa" w:w="8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0.618</w:t>
            </w:r>
          </w:p>
        </w:tc>
        <w:tc>
          <w:tcPr>
            <w:tcW w:type="dxa" w:w="8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0.714</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0.194</w:t>
            </w:r>
          </w:p>
        </w:tc>
        <w:tc>
          <w:tcPr>
            <w:tcW w:type="dxa" w:w="9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0.766</w:t>
            </w:r>
          </w:p>
        </w:tc>
        <w:tc>
          <w:tcPr>
            <w:tcW w:type="dxa" w:w="9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0.720</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40.99</w:t>
            </w:r>
          </w:p>
        </w:tc>
        <w:tc>
          <w:tcPr>
            <w:tcW w:type="dxa" w:w="1026"/>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CUMPLE</w:t>
            </w:r>
          </w:p>
        </w:tc>
      </w:tr>
      <w:tr>
        <w:trPr>
          <w:cantSplit/>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left"/>
            </w:pPr>
            <w:r>
              <w:rPr>
                <w:sz w:val="16"/>
                <w:szCs w:val="16"/>
              </w:rPr>
              <w:t xml:space="preserve">P15</w:t>
            </w:r>
          </w:p>
        </w:tc>
        <w:tc>
          <w:tcPr>
            <w:tcW w:type="dxa" w:w="8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6, sea</w:t>
            </w:r>
          </w:p>
        </w:tc>
        <w:tc>
          <w:tcPr>
            <w:tcW w:type="dxa" w:w="8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0.649</w:t>
            </w:r>
          </w:p>
        </w:tc>
        <w:tc>
          <w:tcPr>
            <w:tcW w:type="dxa" w:w="8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0.937</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0.506</w:t>
            </w:r>
          </w:p>
        </w:tc>
        <w:tc>
          <w:tcPr>
            <w:tcW w:type="dxa" w:w="9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0.345</w:t>
            </w:r>
          </w:p>
        </w:tc>
        <w:tc>
          <w:tcPr>
            <w:tcW w:type="dxa" w:w="9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0.947</w:t>
            </w:r>
          </w:p>
        </w:tc>
        <w:tc>
          <w:tcPr>
            <w:tcW w:type="dxa" w:w="9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0.862</w:t>
            </w:r>
          </w:p>
        </w:tc>
        <w:tc>
          <w:tcPr>
            <w:tcW w:type="dxa" w:w="9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53.60</w:t>
            </w:r>
          </w:p>
        </w:tc>
        <w:tc>
          <w:tcPr>
            <w:tcW w:type="dxa" w:w="1026"/>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CUMPLE</w:t>
            </w:r>
          </w:p>
        </w:tc>
      </w:tr>
      <w:tr>
        <w:trPr>
          <w:cantSplit/>
        </w:trPr>
        <w:tc>
          <w:tcPr>
            <w:tcW w:type="dxa" w:w="6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left"/>
            </w:pPr>
            <w:r>
              <w:rPr>
                <w:sz w:val="16"/>
                <w:szCs w:val="16"/>
              </w:rPr>
              <w:t xml:space="preserve">P16</w:t>
            </w:r>
          </w:p>
        </w:tc>
        <w:tc>
          <w:tcPr>
            <w:tcW w:type="dxa" w:w="8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7, sea</w:t>
            </w:r>
          </w:p>
        </w:tc>
        <w:tc>
          <w:tcPr>
            <w:tcW w:type="dxa" w:w="8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0.659</w:t>
            </w:r>
          </w:p>
        </w:tc>
        <w:tc>
          <w:tcPr>
            <w:tcW w:type="dxa" w:w="8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0.843</w:t>
            </w:r>
          </w:p>
        </w:tc>
        <w:tc>
          <w:tcPr>
            <w:tcW w:type="dxa" w:w="8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0.519</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0.755</w:t>
            </w:r>
          </w:p>
        </w:tc>
        <w:tc>
          <w:tcPr>
            <w:tcW w:type="dxa" w:w="9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b/>
                <w:bCs/>
                <w:color w:val="C00000"/>
                <w:sz w:val="16"/>
                <w:szCs w:val="16"/>
              </w:rPr>
              <w:t xml:space="preserve">1.034</w:t>
            </w:r>
          </w:p>
        </w:tc>
        <w:tc>
          <w:tcPr>
            <w:tcW w:type="dxa" w:w="9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0.890</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46.16</w:t>
            </w:r>
          </w:p>
        </w:tc>
        <w:tc>
          <w:tcPr>
            <w:tcW w:type="dxa" w:w="1026"/>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6"/>
                <w:szCs w:val="16"/>
              </w:rPr>
              <w:t xml:space="preserve">CUMPLE*</w:t>
            </w:r>
          </w:p>
        </w:tc>
      </w:tr>
      <w:tr>
        <w:trPr>
          <w:cantSplit/>
        </w:trPr>
        <w:tc>
          <w:tcPr>
            <w:tcW w:type="dxa" w:w="6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left"/>
            </w:pPr>
            <w:r>
              <w:rPr>
                <w:sz w:val="16"/>
                <w:szCs w:val="16"/>
              </w:rPr>
              <w:t xml:space="preserve">P17</w:t>
            </w:r>
          </w:p>
        </w:tc>
        <w:tc>
          <w:tcPr>
            <w:tcW w:type="dxa" w:w="8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6, land</w:t>
            </w:r>
          </w:p>
        </w:tc>
        <w:tc>
          <w:tcPr>
            <w:tcW w:type="dxa" w:w="8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0.710</w:t>
            </w:r>
          </w:p>
        </w:tc>
        <w:tc>
          <w:tcPr>
            <w:tcW w:type="dxa" w:w="8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0.585</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0.675</w:t>
            </w:r>
          </w:p>
        </w:tc>
        <w:tc>
          <w:tcPr>
            <w:tcW w:type="dxa" w:w="9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0.381</w:t>
            </w:r>
          </w:p>
        </w:tc>
        <w:tc>
          <w:tcPr>
            <w:tcW w:type="dxa" w:w="9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0.760</w:t>
            </w:r>
          </w:p>
        </w:tc>
        <w:tc>
          <w:tcPr>
            <w:tcW w:type="dxa" w:w="9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0.706</w:t>
            </w:r>
          </w:p>
        </w:tc>
        <w:tc>
          <w:tcPr>
            <w:tcW w:type="dxa" w:w="9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39.09</w:t>
            </w:r>
          </w:p>
        </w:tc>
        <w:tc>
          <w:tcPr>
            <w:tcW w:type="dxa" w:w="1026"/>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6"/>
                <w:szCs w:val="16"/>
              </w:rPr>
              <w:t xml:space="preserve">CUMPLE</w:t>
            </w:r>
          </w:p>
        </w:tc>
      </w:tr>
      <w:tr>
        <w:trPr>
          <w:cantSplit/>
        </w:trPr>
        <w:tc>
          <w:tcPr>
            <w:tcW w:type="dxa" w:w="6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val="false"/>
              <w:jc w:val="left"/>
            </w:pPr>
            <w:r>
              <w:rPr>
                <w:sz w:val="16"/>
                <w:szCs w:val="16"/>
              </w:rPr>
              <w:t xml:space="preserve">P18</w:t>
            </w:r>
          </w:p>
        </w:tc>
        <w:tc>
          <w:tcPr>
            <w:tcW w:type="dxa" w:w="8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val="false"/>
              <w:jc w:val="center"/>
            </w:pPr>
            <w:r>
              <w:rPr>
                <w:sz w:val="16"/>
                <w:szCs w:val="16"/>
              </w:rPr>
              <w:t xml:space="preserve">7, land</w:t>
            </w:r>
          </w:p>
        </w:tc>
        <w:tc>
          <w:tcPr>
            <w:tcW w:type="dxa" w:w="8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val="false"/>
              <w:jc w:val="center"/>
            </w:pPr>
            <w:r>
              <w:rPr>
                <w:sz w:val="16"/>
                <w:szCs w:val="16"/>
              </w:rPr>
              <w:t xml:space="preserve">0.730</w:t>
            </w:r>
          </w:p>
        </w:tc>
        <w:tc>
          <w:tcPr>
            <w:tcW w:type="dxa" w:w="8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val="false"/>
              <w:jc w:val="center"/>
            </w:pPr>
            <w:r>
              <w:rPr>
                <w:sz w:val="16"/>
                <w:szCs w:val="16"/>
              </w:rPr>
              <w:t xml:space="preserve">0.690</w:t>
            </w:r>
          </w:p>
        </w:tc>
        <w:tc>
          <w:tcPr>
            <w:tcW w:type="dxa" w:w="8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val="false"/>
              <w:jc w:val="center"/>
            </w:pPr>
            <w:r>
              <w:rPr>
                <w:sz w:val="16"/>
                <w:szCs w:val="16"/>
              </w:rPr>
              <w:t xml:space="preserve">0.719</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val="false"/>
              <w:jc w:val="center"/>
            </w:pPr>
            <w:r>
              <w:rPr>
                <w:sz w:val="16"/>
                <w:szCs w:val="16"/>
              </w:rPr>
              <w:t xml:space="preserve">0.764</w:t>
            </w:r>
          </w:p>
        </w:tc>
        <w:tc>
          <w:tcPr>
            <w:tcW w:type="dxa" w:w="9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val="false"/>
              <w:jc w:val="center"/>
            </w:pPr>
            <w:r>
              <w:rPr>
                <w:sz w:val="16"/>
                <w:szCs w:val="16"/>
              </w:rPr>
              <w:t xml:space="preserve">0.963</w:t>
            </w:r>
          </w:p>
        </w:tc>
        <w:tc>
          <w:tcPr>
            <w:tcW w:type="dxa" w:w="9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val="false"/>
              <w:jc w:val="center"/>
            </w:pPr>
            <w:r>
              <w:rPr>
                <w:sz w:val="16"/>
                <w:szCs w:val="16"/>
              </w:rPr>
              <w:t xml:space="preserve">0.805</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val="false"/>
              <w:jc w:val="center"/>
            </w:pPr>
            <w:r>
              <w:rPr>
                <w:sz w:val="16"/>
                <w:szCs w:val="16"/>
              </w:rPr>
              <w:t xml:space="preserve">40.65</w:t>
            </w:r>
          </w:p>
        </w:tc>
        <w:tc>
          <w:tcPr>
            <w:tcW w:type="dxa" w:w="1026"/>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val="false"/>
              <w:jc w:val="center"/>
            </w:pPr>
            <w:r>
              <w:rPr>
                <w:sz w:val="16"/>
                <w:szCs w:val="16"/>
              </w:rPr>
              <w:t xml:space="preserve">CUMPLE</w:t>
            </w:r>
          </w:p>
        </w:tc>
      </w:tr>
    </w:tbl>
    <w:p>
      <w:pPr>
        <w:spacing w:after="120" w:before="80"/>
        <w:jc w:val="both"/>
      </w:pPr>
      <w:r>
        <w:t xml:space="preserve">* CUMPLE with the confinement ties of the final design (§5.7). Detailing η = 0.920 for every pile (As = 58.91 ≤ 0.04·Ac = 64 cm²). QP is the quasi-permanent combination with ψ2,Qa = 0.8 and ψ2,TB = 0; every pile stays uncracked. As,req is the governing value of shaft and fixity section.</w:t>
      </w:r>
    </w:p>
    <w:p>
      <w:pPr>
        <w:spacing w:after="120"/>
        <w:jc w:val="both"/>
      </w:pPr>
      <w:r>
        <w:t xml:space="preserve">The sea piles at the head have the highest second-order utilisation (0.84–0.99), because the bollard pull and the quay load act together there. The land piles are governed by first-order bending at the foot in the tension combination ELR05 (PP + CM + 1.5TB1, N &lt; 0).</w:t>
      </w:r>
    </w:p>
    <w:p>
      <w:pPr>
        <w:keepNext/>
        <w:spacing w:before="120"/>
        <w:jc w:val="center"/>
      </w:pPr>
      <w:r>
        <w:drawing>
          <wp:inline distT="0" distB="0" distL="0" distR="0">
            <wp:extent cx="5715000" cy="2495550"/>
            <wp:effectExtent t="0" r="0" b="0" l="0"/>
            <wp:docPr id="1" name="d1_pilotes_eta.png" descr="Figure 3 – Governing N-M second-order utilisation of the 14 piles, for the three cases: green CYPE/cype (parity), orange CYPE/codigo, blue ROM/codigo (verdict). n/a: second order does not apply in that mode (tension, or λ ≤ λlim in every combination). The dashed line is η = 1." title="Figure 3 – Governing N-M second-order utilisation of the 14 piles, for the three cases: green CYPE/cype (parity), orange CYPE/codigo, blue ROM/codigo (verdict). n/a: second order does not apply in that mode (tension, or λ ≤ λlim in every combination). The dashed line is η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95550"/>
                    </a:xfrm>
                    <a:prstGeom prst="rect">
                      <a:avLst/>
                    </a:prstGeom>
                  </pic:spPr>
                </pic:pic>
              </a:graphicData>
            </a:graphic>
          </wp:inline>
        </w:drawing>
      </w:r>
    </w:p>
    <w:p>
      <w:pPr>
        <w:spacing w:after="200"/>
        <w:jc w:val="center"/>
      </w:pPr>
      <w:r>
        <w:rPr>
          <w:i/>
          <w:iCs/>
          <w:color w:val="404040"/>
          <w:sz w:val="18"/>
          <w:szCs w:val="18"/>
        </w:rPr>
        <w:t xml:space="preserve">Figure 3 – Governing N-M second-order utilisation of the 14 piles, for the three cases: green CYPE/cype (parity), orange CYPE/codigo, blue ROM/codigo (verdict). n/a: second order does not apply in that mode (tension, or λ ≤ λlim in every combination). The dashed line is η = 1.</w:t>
      </w:r>
    </w:p>
    <w:p>
      <w:pPr>
        <w:pStyle w:val="Heading2"/>
      </w:pPr>
      <w:r>
        <w:t xml:space="preserve">5.4 Required against provided steel</w:t>
      </w:r>
    </w:p>
    <w:p>
      <w:pPr>
        <w:spacing w:after="120"/>
        <w:jc w:val="both"/>
      </w:pPr>
      <w:r>
        <w:t xml:space="preserve">The required area keeps the provided bar positions and scales the bar diameter, on a grid of 12–36 mm with linear interpolation, until the governing utilisation reaches 1.0. It covers all combinations, all positions, and first and second order.</w:t>
      </w:r>
    </w:p>
    <w:p>
      <w:pPr>
        <w:keepNext/>
        <w:spacing w:after="80" w:before="160"/>
        <w:jc w:val="center"/>
      </w:pPr>
      <w:r>
        <w:rPr>
          <w:i/>
          <w:iCs/>
          <w:color w:val="404040"/>
          <w:sz w:val="18"/>
          <w:szCs w:val="18"/>
        </w:rPr>
        <w:t xml:space="preserve">Table 12 – Required and provided longitudinal steel of the piles (ROM/codigo).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300"/>
        <w:gridCol w:w="1400"/>
        <w:gridCol w:w="1126"/>
      </w:tblGrid>
      <w:tr>
        <w:trPr>
          <w:cantSplit/>
          <w:tblHeader/>
        </w:trPr>
        <w:tc>
          <w:tcPr>
            <w:tcW w:type="dxa" w:w="3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9"/>
                <w:szCs w:val="19"/>
              </w:rPr>
              <w:t xml:space="preserve">Group</w:t>
            </w:r>
          </w:p>
        </w:tc>
        <w:tc>
          <w:tcPr>
            <w:tcW w:type="dxa" w:w="2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9"/>
                <w:szCs w:val="19"/>
              </w:rPr>
              <w:t xml:space="preserve">Governing section</w:t>
            </w:r>
          </w:p>
        </w:tc>
        <w:tc>
          <w:tcPr>
            <w:tcW w:type="dxa" w:w="13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9"/>
                <w:szCs w:val="19"/>
              </w:rPr>
              <w:t xml:space="preserve">As,req (cm²)</w:t>
            </w:r>
          </w:p>
        </w:tc>
        <w:tc>
          <w:tcPr>
            <w:tcW w:type="dxa" w:w="14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9"/>
                <w:szCs w:val="19"/>
              </w:rPr>
              <w:t xml:space="preserve">As,prov (cm²)</w:t>
            </w:r>
          </w:p>
        </w:tc>
        <w:tc>
          <w:tcPr>
            <w:tcW w:type="dxa" w:w="11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9"/>
                <w:szCs w:val="19"/>
              </w:rPr>
              <w:t xml:space="preserve">Ratio</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9"/>
                <w:szCs w:val="19"/>
              </w:rPr>
              <w:t xml:space="preserve">P3 (governing)</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9"/>
                <w:szCs w:val="19"/>
              </w:rPr>
              <w:t xml:space="preserve">head, ELR08, 2nd order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58.43</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58.91 (12Ø25)</w:t>
            </w:r>
          </w:p>
        </w:tc>
        <w:tc>
          <w:tcPr>
            <w:tcW w:type="dxa" w:w="11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0.992</w:t>
            </w:r>
          </w:p>
        </w:tc>
      </w:tr>
      <w:tr>
        <w:trPr>
          <w:cantSplit/>
        </w:trPr>
        <w:tc>
          <w:tcPr>
            <w:tcW w:type="dxa" w:w="3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9"/>
                <w:szCs w:val="19"/>
              </w:rPr>
              <w:t xml:space="preserve">Sea piles P1, P5, P7, P13, P15, P16</w:t>
            </w:r>
          </w:p>
        </w:tc>
        <w:tc>
          <w:tcPr>
            <w:tcW w:type="dxa" w:w="20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9"/>
                <w:szCs w:val="19"/>
              </w:rPr>
              <w:t xml:space="preserve">head, ELR08</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9"/>
                <w:szCs w:val="19"/>
              </w:rPr>
              <w:t xml:space="preserve">46.2–53.6</w:t>
            </w:r>
          </w:p>
        </w:tc>
        <w:tc>
          <w:tcPr>
            <w:tcW w:type="dxa" w:w="14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9"/>
                <w:szCs w:val="19"/>
              </w:rPr>
              <w:t xml:space="preserve">58.91</w:t>
            </w:r>
          </w:p>
        </w:tc>
        <w:tc>
          <w:tcPr>
            <w:tcW w:type="dxa" w:w="11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9"/>
                <w:szCs w:val="19"/>
              </w:rPr>
              <w:t xml:space="preserve">0.78–0.91</w:t>
            </w:r>
          </w:p>
        </w:tc>
      </w:tr>
      <w:tr>
        <w:trPr>
          <w:cantSplit/>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9"/>
                <w:szCs w:val="19"/>
              </w:rPr>
              <w:t xml:space="preserve">Land piles P2, P4, P6, P8, P14, P17, P18</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9"/>
                <w:szCs w:val="19"/>
              </w:rPr>
              <w:t xml:space="preserve">foot, ELR05</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39.1–45.8</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58.91</w:t>
            </w:r>
          </w:p>
        </w:tc>
        <w:tc>
          <w:tcPr>
            <w:tcW w:type="dxa" w:w="11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0.66–0.78</w:t>
            </w:r>
          </w:p>
        </w:tc>
      </w:tr>
      <w:tr>
        <w:trPr>
          <w:cantSplit/>
        </w:trPr>
        <w:tc>
          <w:tcPr>
            <w:tcW w:type="dxa" w:w="3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9"/>
                <w:szCs w:val="19"/>
              </w:rPr>
              <w:t xml:space="preserve">Limit</w:t>
            </w:r>
          </w:p>
        </w:tc>
        <w:tc>
          <w:tcPr>
            <w:tcW w:type="dxa" w:w="20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9"/>
                <w:szCs w:val="19"/>
              </w:rPr>
              <w:t xml:space="preserve">As,max = 0.04·Ac</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center"/>
            </w:pPr>
            <w:r>
              <w:rPr>
                <w:sz w:val="19"/>
                <w:szCs w:val="19"/>
              </w:rPr>
              <w:t xml:space="preserve">—</w:t>
            </w:r>
          </w:p>
        </w:tc>
        <w:tc>
          <w:tcPr>
            <w:tcW w:type="dxa" w:w="14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center"/>
            </w:pPr>
            <w:r>
              <w:rPr>
                <w:sz w:val="19"/>
                <w:szCs w:val="19"/>
              </w:rPr>
              <w:t xml:space="preserve">64.0</w:t>
            </w:r>
          </w:p>
        </w:tc>
        <w:tc>
          <w:tcPr>
            <w:tcW w:type="dxa" w:w="11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center"/>
            </w:pPr>
            <w:r>
              <w:rPr>
                <w:sz w:val="19"/>
                <w:szCs w:val="19"/>
              </w:rPr>
              <w:t xml:space="preserve">—</w:t>
            </w:r>
          </w:p>
        </w:tc>
      </w:tr>
    </w:tbl>
    <w:p>
      <w:pPr>
        <w:spacing w:after="80"/>
      </w:pPr>
    </w:p>
    <w:p>
      <w:pPr>
        <w:spacing w:after="120"/>
        <w:jc w:val="both"/>
      </w:pPr>
      <w:r>
        <w:rPr>
          <w:b/>
          <w:bCs/>
        </w:rPr>
        <w:t xml:space="preserve">Result.</w:t>
      </w:r>
      <w:r>
        <w:t xml:space="preserve"> 12Ø25 is necessary and sufficient at P3 (ratio 0.99; η with As,req is 0.993). The land piles would need only 39–46 cm², which a 16Ø20 layout (50.27 cm²) would cover. A uniform precast pile is kept all the same (F1): there is one production type, and the position of a driven pile is not a production parameter.</w:t>
      </w:r>
    </w:p>
    <w:p>
      <w:pPr>
        <w:spacing w:after="120"/>
        <w:jc w:val="both"/>
      </w:pPr>
      <w:r>
        <w:t xml:space="preserve">A search over practical layouts, 8 to 20 bars of Ø16–Ø32, finds no layout within As ≤ 0.04·Ac that also meets the characteristic stress limit of §5.7. Only 12Ø32, 16Ø25 and 20Ø25 would meet it, and all three exceed As,max.</w:t>
      </w:r>
    </w:p>
    <w:p>
      <w:pPr>
        <w:keepNext/>
        <w:spacing w:before="120"/>
        <w:jc w:val="center"/>
      </w:pPr>
      <w:r>
        <w:drawing>
          <wp:inline distT="0" distB="0" distL="0" distR="0">
            <wp:extent cx="5715000" cy="2266950"/>
            <wp:effectExtent t="0" r="0" b="0" l="0"/>
            <wp:docPr id="1" name="d2_pilotes_As.png" descr="Figure 4 – Required longitudinal steel of each pile (blue bars, first and second order, ROM/codigo) against the 12Ø25 provided (58.9 cm², solid line), As,max = 0.04·Ac = 64 cm² (red dashed) and the 16Ø20 option for the land piles (50.3 cm², dotted)." title="Figure 4 – Required longitudinal steel of each pile (blue bars, first and second order, ROM/codigo) against the 12Ø25 provided (58.9 cm², solid line), As,max = 0.04·Ac = 64 cm² (red dashed) and the 16Ø20 option for the land piles (50.3 cm², do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66950"/>
                    </a:xfrm>
                    <a:prstGeom prst="rect">
                      <a:avLst/>
                    </a:prstGeom>
                  </pic:spPr>
                </pic:pic>
              </a:graphicData>
            </a:graphic>
          </wp:inline>
        </w:drawing>
      </w:r>
    </w:p>
    <w:p>
      <w:pPr>
        <w:spacing w:after="200"/>
        <w:jc w:val="center"/>
      </w:pPr>
      <w:r>
        <w:rPr>
          <w:i/>
          <w:iCs/>
          <w:color w:val="404040"/>
          <w:sz w:val="18"/>
          <w:szCs w:val="18"/>
        </w:rPr>
        <w:t xml:space="preserve">Figure 4 – Required longitudinal steel of each pile (blue bars, first and second order, ROM/codigo) against the 12Ø25 provided (58.9 cm², solid line), As,max = 0.04·Ac = 64 cm² (red dashed) and the 16Ø20 option for the land piles (50.3 cm², dotted).</w:t>
      </w:r>
    </w:p>
    <w:p>
      <w:pPr>
        <w:pStyle w:val="Heading2"/>
      </w:pPr>
      <w:r>
        <w:t xml:space="preserve">5.5 Shear</w:t>
      </w:r>
    </w:p>
    <w:p>
      <w:pPr>
        <w:spacing w:after="120"/>
        <w:jc w:val="both"/>
      </w:pPr>
      <w:r>
        <w:t xml:space="preserve">Without shear reinforcement (A19.6.2.2):</w:t>
      </w:r>
    </w:p>
    <w:p>
      <w:pPr>
        <w:keepLines/>
        <w:tabs>
          <w:tab w:val="right" w:pos="9026"/>
        </w:tabs>
        <w:spacing w:after="120" w:before="80"/>
        <w:ind w:left="567"/>
        <w:jc w:val="left"/>
      </w:pPr>
      <w:r>
        <w:rPr>
          <w:rFonts w:ascii="Cambria Math" w:cs="Cambria Math" w:eastAsia="Cambria Math" w:hAnsi="Cambria Math"/>
          <w:i/>
          <w:iCs/>
        </w:rPr>
        <w:t xml:space="preserve">VRd,c = [CRd,c·k·(100·ρl·fck)^(1/3) + k1·σcp]·bw·d ≥ (vmin + k1·σcp)·bw·d</w:t>
      </w:r>
      <w:r>
        <w:rPr>
          <w:rFonts w:ascii="Cambria Math" w:cs="Cambria Math" w:eastAsia="Cambria Math" w:hAnsi="Cambria Math"/>
        </w:rPr>
        <w:t xml:space="preserve">	(8)</w:t>
      </w:r>
    </w:p>
    <w:p>
      <w:pPr>
        <w:spacing w:after="120"/>
        <w:jc w:val="both"/>
      </w:pPr>
      <w:r>
        <w:t xml:space="preserve">where CRd,c = 0.18/1.5 = 0.12, k = 1 + √(200/d) ≤ 2, ρl ≤ 0.02, k1 = 0.15, σcp = NEd/Ac ≤ 0.2·fcd and vmin = 0.035·k^1.5·fck^0.5. With ties (A19.6.2.3):</w:t>
      </w:r>
    </w:p>
    <w:p>
      <w:pPr>
        <w:keepLines/>
        <w:tabs>
          <w:tab w:val="right" w:pos="9026"/>
        </w:tabs>
        <w:spacing w:after="120" w:before="80"/>
        <w:ind w:left="567"/>
        <w:jc w:val="left"/>
      </w:pPr>
      <w:r>
        <w:rPr>
          <w:rFonts w:ascii="Cambria Math" w:cs="Cambria Math" w:eastAsia="Cambria Math" w:hAnsi="Cambria Math"/>
          <w:i/>
          <w:iCs/>
        </w:rPr>
        <w:t xml:space="preserve">VRd,s = (Asw/s)·z·fywd·cot θ ;   VRd,max = αcw·bw·z·ν1·fcd / (cot θ + tan θ)</w:t>
      </w:r>
      <w:r>
        <w:rPr>
          <w:rFonts w:ascii="Cambria Math" w:cs="Cambria Math" w:eastAsia="Cambria Math" w:hAnsi="Cambria Math"/>
        </w:rPr>
        <w:t xml:space="preserve">	(9)</w:t>
      </w:r>
    </w:p>
    <w:p>
      <w:pPr>
        <w:spacing w:after="120"/>
        <w:jc w:val="both"/>
      </w:pPr>
      <w:r>
        <w:t xml:space="preserve">Biaxial shear is combined as η = √(VEd,x² + VEd,y²)/VRd, the form CYPECAD uses. In the shaft, the 4 full-depth Ø10 legs per direction at 150 mm, with z = 0.9d, fywd = 400 MPa and cot θ = 2, give VRd,s = 397.7 kN; VRd,max at θ = 45° is 949.5 kN. The fixity section has only a Ø8 tie, so it is checked as a member without shear reinforcement (VRd,c).</w:t>
      </w:r>
    </w:p>
    <w:p>
      <w:pPr>
        <w:spacing w:after="120"/>
        <w:jc w:val="both"/>
      </w:pPr>
      <w:r>
        <w:rPr>
          <w:b/>
          <w:bCs/>
        </w:rPr>
        <w:t xml:space="preserve">Results.</w:t>
      </w:r>
      <w:r>
        <w:t xml:space="preserve"> In the shaft η ≤ 0.22. The governing value is at the fixity section of P2: VEd = 79.1 kN (ELR05, N = −131.7 kN in tension) against VRd,c = 97.2 kN, so </w:t>
      </w:r>
      <w:r>
        <w:rPr>
          <w:b/>
          <w:bCs/>
        </w:rPr>
        <w:t xml:space="preserve">η = 0.814</w:t>
      </w:r>
      <w:r>
        <w:t xml:space="preserve">. With CYPECAD’s forces and conventions, VRd,c at the P3 head is 142.85 kN with η = 0.552, as printed in Anejo 10 (C10).</w:t>
      </w:r>
    </w:p>
    <w:p>
      <w:pPr>
        <w:pStyle w:val="Heading2"/>
      </w:pPr>
      <w:r>
        <w:t xml:space="preserve">5.6 Detailing</w:t>
      </w:r>
    </w:p>
    <w:p>
      <w:pPr>
        <w:keepNext/>
        <w:spacing w:after="80" w:before="160"/>
        <w:jc w:val="center"/>
      </w:pPr>
      <w:r>
        <w:rPr>
          <w:i/>
          <w:iCs/>
          <w:color w:val="404040"/>
          <w:sz w:val="18"/>
          <w:szCs w:val="18"/>
        </w:rPr>
        <w:t xml:space="preserve">Table 13 – Pile detailing (shaft; every pile).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1700"/>
        <w:gridCol w:w="1400"/>
        <w:gridCol w:w="1026"/>
      </w:tblGrid>
      <w:tr>
        <w:trPr>
          <w:cantSplit/>
          <w:tblHeader/>
        </w:trPr>
        <w:tc>
          <w:tcPr>
            <w:tcW w:type="dxa" w:w="3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7"/>
                <w:szCs w:val="17"/>
              </w:rPr>
              <w:t xml:space="preserve">Check</w:t>
            </w:r>
          </w:p>
        </w:tc>
        <w:tc>
          <w:tcPr>
            <w:tcW w:type="dxa" w:w="14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7"/>
                <w:szCs w:val="17"/>
              </w:rPr>
              <w:t xml:space="preserve">Clause</w:t>
            </w:r>
          </w:p>
        </w:tc>
        <w:tc>
          <w:tcPr>
            <w:tcW w:type="dxa" w:w="1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7"/>
                <w:szCs w:val="17"/>
              </w:rPr>
              <w:t xml:space="preserve">Provided</w:t>
            </w:r>
          </w:p>
        </w:tc>
        <w:tc>
          <w:tcPr>
            <w:tcW w:type="dxa" w:w="14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7"/>
                <w:szCs w:val="17"/>
              </w:rPr>
              <w:t xml:space="preserve">Limit</w:t>
            </w:r>
          </w:p>
        </w:tc>
        <w:tc>
          <w:tcPr>
            <w:tcW w:type="dxa" w:w="10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7"/>
                <w:szCs w:val="17"/>
              </w:rPr>
              <w:t xml:space="preserve">η</w:t>
            </w:r>
          </w:p>
        </w:tc>
      </w:tr>
      <w:tr>
        <w:trPr>
          <w:cantSplit/>
        </w:trPr>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Column definition h ≤ 4b</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A19.9.5.1</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400 mm</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1600 mm</w:t>
            </w:r>
          </w:p>
        </w:tc>
        <w:tc>
          <w:tcPr>
            <w:tcW w:type="dxa" w:w="1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0.250</w:t>
            </w:r>
          </w:p>
        </w:tc>
      </w:tr>
      <w:tr>
        <w:trPr>
          <w:cantSplit/>
        </w:trPr>
        <w:tc>
          <w:tcPr>
            <w:tcW w:type="dxa" w:w="3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Longitudinal Ø ≥ 12 mm</w:t>
            </w:r>
          </w:p>
        </w:tc>
        <w:tc>
          <w:tcPr>
            <w:tcW w:type="dxa" w:w="14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A19.9.5.2(1)</w:t>
            </w:r>
          </w:p>
        </w:tc>
        <w:tc>
          <w:tcPr>
            <w:tcW w:type="dxa" w:w="1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Ø25</w:t>
            </w:r>
          </w:p>
        </w:tc>
        <w:tc>
          <w:tcPr>
            <w:tcW w:type="dxa" w:w="14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Ø12</w:t>
            </w:r>
          </w:p>
        </w:tc>
        <w:tc>
          <w:tcPr>
            <w:tcW w:type="dxa" w:w="10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0.480</w:t>
            </w:r>
          </w:p>
        </w:tc>
      </w:tr>
      <w:tr>
        <w:trPr>
          <w:cantSplit/>
        </w:trPr>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Clear bar spacing ≥ max(Ø, dg + 5, 20)</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A19.8.2(2)</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60 mm</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25 mm</w:t>
            </w:r>
          </w:p>
        </w:tc>
        <w:tc>
          <w:tcPr>
            <w:tcW w:type="dxa" w:w="1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0.417</w:t>
            </w:r>
          </w:p>
        </w:tc>
      </w:tr>
      <w:tr>
        <w:trPr>
          <w:cantSplit/>
        </w:trPr>
        <w:tc>
          <w:tcPr>
            <w:tcW w:type="dxa" w:w="3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Tie Ø ≥ max(6, Ømax/4)</w:t>
            </w:r>
          </w:p>
        </w:tc>
        <w:tc>
          <w:tcPr>
            <w:tcW w:type="dxa" w:w="14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A19.9.5.3(1)</w:t>
            </w:r>
          </w:p>
        </w:tc>
        <w:tc>
          <w:tcPr>
            <w:tcW w:type="dxa" w:w="1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Ø10</w:t>
            </w:r>
          </w:p>
        </w:tc>
        <w:tc>
          <w:tcPr>
            <w:tcW w:type="dxa" w:w="14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6.25 mm</w:t>
            </w:r>
          </w:p>
        </w:tc>
        <w:tc>
          <w:tcPr>
            <w:tcW w:type="dxa" w:w="10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0.625</w:t>
            </w:r>
          </w:p>
        </w:tc>
      </w:tr>
      <w:tr>
        <w:trPr>
          <w:cantSplit/>
        </w:trPr>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Tie spacing ≤ scl,max = min(15Ømin, 300, b)</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A19.9.5.3(3)</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150 mm</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300 mm</w:t>
            </w:r>
          </w:p>
        </w:tc>
        <w:tc>
          <w:tcPr>
            <w:tcW w:type="dxa" w:w="1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0.500</w:t>
            </w:r>
          </w:p>
        </w:tc>
      </w:tr>
      <w:tr>
        <w:trPr>
          <w:cantSplit/>
        </w:trPr>
        <w:tc>
          <w:tcPr>
            <w:tcW w:type="dxa" w:w="3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Tie spacing ≤ 0.6·scl,max in the end zones (0.40 m)</w:t>
            </w:r>
          </w:p>
        </w:tc>
        <w:tc>
          <w:tcPr>
            <w:tcW w:type="dxa" w:w="14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A19.9.5.3(4)</w:t>
            </w:r>
          </w:p>
        </w:tc>
        <w:tc>
          <w:tcPr>
            <w:tcW w:type="dxa" w:w="1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150 mm (final design: 100 mm)</w:t>
            </w:r>
          </w:p>
        </w:tc>
        <w:tc>
          <w:tcPr>
            <w:tcW w:type="dxa" w:w="14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180 mm</w:t>
            </w:r>
          </w:p>
        </w:tc>
        <w:tc>
          <w:tcPr>
            <w:tcW w:type="dxa" w:w="10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0.833</w:t>
            </w:r>
          </w:p>
        </w:tc>
      </w:tr>
      <w:tr>
        <w:trPr>
          <w:cantSplit/>
        </w:trPr>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Every bar within 150 mm of a restrained bar</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A19.9.5.3(6)</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all bars at a tie corner</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150 mm</w:t>
            </w:r>
          </w:p>
        </w:tc>
        <w:tc>
          <w:tcPr>
            <w:tcW w:type="dxa" w:w="1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OK</w:t>
            </w:r>
          </w:p>
        </w:tc>
      </w:tr>
      <w:tr>
        <w:trPr>
          <w:cantSplit/>
        </w:trPr>
        <w:tc>
          <w:tcPr>
            <w:tcW w:type="dxa" w:w="3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As ≥ 0.10·NEd/fyd</w:t>
            </w:r>
          </w:p>
        </w:tc>
        <w:tc>
          <w:tcPr>
            <w:tcW w:type="dxa" w:w="14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A19.9.5.2(2)</w:t>
            </w:r>
          </w:p>
        </w:tc>
        <w:tc>
          <w:tcPr>
            <w:tcW w:type="dxa" w:w="1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58.91 cm²</w:t>
            </w:r>
          </w:p>
        </w:tc>
        <w:tc>
          <w:tcPr>
            <w:tcW w:type="dxa" w:w="14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1.77 cm² (P3)</w:t>
            </w:r>
          </w:p>
        </w:tc>
        <w:tc>
          <w:tcPr>
            <w:tcW w:type="dxa" w:w="10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0.030</w:t>
            </w:r>
          </w:p>
        </w:tc>
      </w:tr>
      <w:tr>
        <w:trPr>
          <w:cantSplit/>
        </w:trPr>
        <w:tc>
          <w:tcPr>
            <w:tcW w:type="dxa" w:w="3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As ≤ 0.04·Ac</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A19.9.5.2(3)</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58.91 cm²</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64.0 cm²</w:t>
            </w:r>
          </w:p>
        </w:tc>
        <w:tc>
          <w:tcPr>
            <w:tcW w:type="dxa" w:w="10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0.920</w:t>
            </w:r>
          </w:p>
        </w:tc>
      </w:tr>
      <w:tr>
        <w:trPr>
          <w:cantSplit/>
        </w:trPr>
        <w:tc>
          <w:tcPr>
            <w:tcW w:type="dxa" w:w="3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AN limits used by CYPECAD (information)</w:t>
            </w:r>
          </w:p>
        </w:tc>
        <w:tc>
          <w:tcPr>
            <w:tcW w:type="dxa" w:w="14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center"/>
            </w:pPr>
            <w:r>
              <w:rPr>
                <w:sz w:val="17"/>
                <w:szCs w:val="17"/>
              </w:rPr>
              <w:t xml:space="preserve">AN 9.5.2</w:t>
            </w:r>
          </w:p>
        </w:tc>
        <w:tc>
          <w:tcPr>
            <w:tcW w:type="dxa" w:w="1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center"/>
            </w:pPr>
            <w:r>
              <w:rPr>
                <w:sz w:val="17"/>
                <w:szCs w:val="17"/>
              </w:rPr>
              <w:t xml:space="preserve">58.91 cm²</w:t>
            </w:r>
          </w:p>
        </w:tc>
        <w:tc>
          <w:tcPr>
            <w:tcW w:type="dxa" w:w="14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center"/>
            </w:pPr>
            <w:r>
              <w:rPr>
                <w:sz w:val="17"/>
                <w:szCs w:val="17"/>
              </w:rPr>
              <w:t xml:space="preserve">≥ 6.40; ≤ 122.67 cm²</w:t>
            </w:r>
          </w:p>
        </w:tc>
        <w:tc>
          <w:tcPr>
            <w:tcW w:type="dxa" w:w="10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center"/>
            </w:pPr>
            <w:r>
              <w:rPr>
                <w:sz w:val="17"/>
                <w:szCs w:val="17"/>
              </w:rPr>
              <w:t xml:space="preserve">—</w:t>
            </w:r>
          </w:p>
        </w:tc>
      </w:tr>
    </w:tbl>
    <w:p>
      <w:pPr>
        <w:pStyle w:val="Heading2"/>
      </w:pPr>
      <w:r>
        <w:t xml:space="preserve">5.7 Serviceability</w:t>
      </w:r>
    </w:p>
    <w:p>
      <w:pPr>
        <w:pStyle w:val="Heading3"/>
      </w:pPr>
      <w:r>
        <w:t xml:space="preserve">Cracking under the quasi-permanent combination</w:t>
      </w:r>
    </w:p>
    <w:p>
      <w:pPr>
        <w:spacing w:after="120"/>
        <w:jc w:val="both"/>
      </w:pPr>
      <w:r>
        <w:t xml:space="preserve">The quasi-permanent combination is PP + CM + ψ2,Qa·Qa + ψ2,TB·TB. With ψ2,TB = 0 (F2) all pile sections stay uncracked. The largest tensile stress on the homogenised section, at the corner fibre, is 3.11 MPa at the heads of P2 and P18, against fctm = 4.07 MPa (η = 0.764). The wk check therefore does not apply (A19.7.1(2)). The steel stresses under the characteristic combinations also pass: σs ≤ 0.8·fyk, max η = 0.692.</w:t>
      </w:r>
    </w:p>
    <w:p>
      <w:pPr>
        <w:pStyle w:val="Heading3"/>
      </w:pPr>
      <w:r>
        <w:t xml:space="preserve">Characteristic concrete stress and confinement (decision F1)</w:t>
      </w:r>
    </w:p>
    <w:p>
      <w:pPr>
        <w:spacing w:after="120"/>
        <w:jc w:val="both"/>
      </w:pPr>
      <w:r>
        <w:t xml:space="preserve">A19.7.2(2) limits σc ≤ k1·fck = 0.6·fck = 30 MPa under the characteristic combination in XS exposure, “in the absence of other measures, such as … confinement by transverse reinforcement”. The stresses are computed on the cracked section with αe = Es/Ecm for ELS01–08; ELS04 = G + Qa + TB1 governs.</w:t>
      </w:r>
    </w:p>
    <w:p>
      <w:pPr>
        <w:keepNext/>
        <w:spacing w:after="80" w:before="160"/>
        <w:jc w:val="center"/>
      </w:pPr>
      <w:r>
        <w:rPr>
          <w:i/>
          <w:iCs/>
          <w:color w:val="404040"/>
          <w:sz w:val="18"/>
          <w:szCs w:val="18"/>
        </w:rPr>
        <w:t xml:space="preserve">Table 14 – Piles that exceed σc ≤ 0.6·fck with Ecm (ELS04).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2000"/>
        <w:gridCol w:w="1626"/>
      </w:tblGrid>
      <w:tr>
        <w:trPr>
          <w:cantSplit/>
          <w:tblHeader/>
        </w:trPr>
        <w:tc>
          <w:tcPr>
            <w:tcW w:type="dxa" w:w="2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9"/>
                <w:szCs w:val="19"/>
              </w:rPr>
              <w:t xml:space="preserve">Pile, section</w:t>
            </w:r>
          </w:p>
        </w:tc>
        <w:tc>
          <w:tcPr>
            <w:tcW w:type="dxa" w:w="1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9"/>
                <w:szCs w:val="19"/>
              </w:rPr>
              <w:t xml:space="preserve">σc with Ecm (MPa)</w:t>
            </w:r>
          </w:p>
        </w:tc>
        <w:tc>
          <w:tcPr>
            <w:tcW w:type="dxa" w:w="14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9"/>
                <w:szCs w:val="19"/>
              </w:rPr>
              <w:t xml:space="preserve">σc/0.6fck</w:t>
            </w:r>
          </w:p>
        </w:tc>
        <w:tc>
          <w:tcPr>
            <w:tcW w:type="dxa" w:w="2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9"/>
                <w:szCs w:val="19"/>
              </w:rPr>
              <w:t xml:space="preserve">σc with Ec,eff (MPa)</w:t>
            </w:r>
          </w:p>
        </w:tc>
        <w:tc>
          <w:tcPr>
            <w:tcW w:type="dxa" w:w="16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9"/>
                <w:szCs w:val="19"/>
              </w:rPr>
              <w:t xml:space="preserve">σc/0.6fck</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9"/>
                <w:szCs w:val="19"/>
              </w:rPr>
              <w:t xml:space="preserve">P1 head</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33.27</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b/>
                <w:bCs/>
                <w:color w:val="C00000"/>
                <w:sz w:val="19"/>
                <w:szCs w:val="19"/>
              </w:rPr>
              <w:t xml:space="preserve">1.109</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28.98</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0.966</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9"/>
                <w:szCs w:val="19"/>
              </w:rPr>
              <w:t xml:space="preserve">P1 foot</w:t>
            </w:r>
          </w:p>
        </w:tc>
        <w:tc>
          <w:tcPr>
            <w:tcW w:type="dxa" w:w="18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9"/>
                <w:szCs w:val="19"/>
              </w:rPr>
              <w:t xml:space="preserve">30.27</w:t>
            </w:r>
          </w:p>
        </w:tc>
        <w:tc>
          <w:tcPr>
            <w:tcW w:type="dxa" w:w="14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b/>
                <w:bCs/>
                <w:color w:val="C00000"/>
                <w:sz w:val="19"/>
                <w:szCs w:val="19"/>
              </w:rPr>
              <w:t xml:space="preserve">1.009</w:t>
            </w:r>
          </w:p>
        </w:tc>
        <w:tc>
          <w:tcPr>
            <w:tcW w:type="dxa" w:w="20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9"/>
                <w:szCs w:val="19"/>
              </w:rPr>
              <w:t xml:space="preserve">27.98</w:t>
            </w:r>
          </w:p>
        </w:tc>
        <w:tc>
          <w:tcPr>
            <w:tcW w:type="dxa" w:w="16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9"/>
                <w:szCs w:val="19"/>
              </w:rPr>
              <w:t xml:space="preserve">0.933</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9"/>
                <w:szCs w:val="19"/>
              </w:rPr>
              <w:t xml:space="preserve">P2 head</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31.66</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b/>
                <w:bCs/>
                <w:color w:val="C00000"/>
                <w:sz w:val="19"/>
                <w:szCs w:val="19"/>
              </w:rPr>
              <w:t xml:space="preserve">1.055</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26.89</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9"/>
                <w:szCs w:val="19"/>
              </w:rPr>
              <w:t xml:space="preserve">0.896</w:t>
            </w:r>
          </w:p>
        </w:tc>
      </w:tr>
      <w:tr>
        <w:trPr>
          <w:cantSplit/>
        </w:trPr>
        <w:tc>
          <w:tcPr>
            <w:tcW w:type="dxa" w:w="2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9"/>
                <w:szCs w:val="19"/>
              </w:rPr>
              <w:t xml:space="preserve">P3 head</w:t>
            </w:r>
          </w:p>
        </w:tc>
        <w:tc>
          <w:tcPr>
            <w:tcW w:type="dxa" w:w="18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9"/>
                <w:szCs w:val="19"/>
              </w:rPr>
              <w:t xml:space="preserve">30.30</w:t>
            </w:r>
          </w:p>
        </w:tc>
        <w:tc>
          <w:tcPr>
            <w:tcW w:type="dxa" w:w="14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b/>
                <w:bCs/>
                <w:color w:val="C00000"/>
                <w:sz w:val="19"/>
                <w:szCs w:val="19"/>
              </w:rPr>
              <w:t xml:space="preserve">1.010</w:t>
            </w:r>
          </w:p>
        </w:tc>
        <w:tc>
          <w:tcPr>
            <w:tcW w:type="dxa" w:w="20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9"/>
                <w:szCs w:val="19"/>
              </w:rPr>
              <w:t xml:space="preserve">27.69</w:t>
            </w:r>
          </w:p>
        </w:tc>
        <w:tc>
          <w:tcPr>
            <w:tcW w:type="dxa" w:w="16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9"/>
                <w:szCs w:val="19"/>
              </w:rPr>
              <w:t xml:space="preserve">0.923</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9"/>
                <w:szCs w:val="19"/>
              </w:rPr>
              <w:t xml:space="preserve">P16 head</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9"/>
                <w:szCs w:val="19"/>
              </w:rPr>
              <w:t xml:space="preserve">31.03</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b/>
                <w:bCs/>
                <w:color w:val="C00000"/>
                <w:sz w:val="19"/>
                <w:szCs w:val="19"/>
              </w:rPr>
              <w:t xml:space="preserve">1.034</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9"/>
                <w:szCs w:val="19"/>
              </w:rPr>
              <w:t xml:space="preserve">26.69</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9"/>
                <w:szCs w:val="19"/>
              </w:rPr>
              <w:t xml:space="preserve">0.890</w:t>
            </w:r>
          </w:p>
        </w:tc>
      </w:tr>
    </w:tbl>
    <w:p>
      <w:pPr>
        <w:spacing w:after="80"/>
      </w:pPr>
    </w:p>
    <w:p>
      <w:pPr>
        <w:spacing w:after="120"/>
        <w:jc w:val="both"/>
      </w:pPr>
      <w:r>
        <w:t xml:space="preserve">The verdict reading uses the short-term Ecm for the whole characteristic load. On that reading the limit is exceeded at the heads of P1, P2, P3 and P16 (and at the P1 foot by 0.9 %). If instead the sustained part (G + ψ2·Qa) acts on the creep-weighted modulus Ec,eff = Ecm/(1 + φ·Mqp/Mk), with φ = 1.75, all piles pass (max 0.966). The bollard pull and the quay load make up about 75–85 % of Mk, so the Ecm reading is the defensible, conservative one.</w:t>
      </w:r>
    </w:p>
    <w:p>
      <w:pPr>
        <w:spacing w:after="120"/>
        <w:jc w:val="both"/>
      </w:pPr>
      <w:r>
        <w:t xml:space="preserve">No bar layout within As ≤ 0.04·Ac removes the exceedance (§5.4). The final design therefore uses the “other measure” allowed by A19.7.2(2): confinement by the ties. The three closed Ø10 ties are spaced at </w:t>
      </w:r>
      <w:r>
        <w:rPr>
          <w:b/>
          <w:bCs/>
        </w:rPr>
        <w:t xml:space="preserve">100 mm instead of 150 mm over the top 0.40 m of every pile</w:t>
      </w:r>
      <w:r>
        <w:t xml:space="preserve">. This is the end zone where A19.9.5.3(4) already asks for denser ties, over a length equal to the larger section dimension. The extra steel is 2.8 kg per pile.</w:t>
      </w:r>
    </w:p>
    <w:p>
      <w:pPr>
        <w:spacing w:after="120"/>
        <w:jc w:val="both"/>
      </w:pPr>
      <w:r>
        <w:t xml:space="preserve">The following estimate of the confined strength is indicative only (A19.3.1.9, (3.24)/(3.25)). The effective lateral pressure is σ2 = αn·αs·ρw·fyd, with the effectiveness factors αn = 1 − Σbi²/(6·b0²) and αs = (1 − s/(2·b0))² (EC8-1 5.4.3.2.2(8), MC2010). Here b0 = 290 mm (tie centreline) and ρw = 4 legs × Asw/(s·b0).</w:t>
      </w:r>
    </w:p>
    <w:p>
      <w:pPr>
        <w:keepNext/>
        <w:spacing w:after="80" w:before="160"/>
        <w:jc w:val="center"/>
      </w:pPr>
      <w:r>
        <w:rPr>
          <w:i/>
          <w:iCs/>
          <w:color w:val="404040"/>
          <w:sz w:val="18"/>
          <w:szCs w:val="18"/>
        </w:rPr>
        <w:t xml:space="preserve">Table 15 – Indicative confinement of the pile head: fck,c = fck·(1 + 5·σ2/fck) for σ2 ≤ 0.05·fck, else fck·(1.125 + 2.5·σ2/fck).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800"/>
        <w:gridCol w:w="1000"/>
        <w:gridCol w:w="1000"/>
        <w:gridCol w:w="1200"/>
        <w:gridCol w:w="1300"/>
        <w:gridCol w:w="1226"/>
      </w:tblGrid>
      <w:tr>
        <w:trPr>
          <w:cantSplit/>
          <w:tblHeader/>
        </w:trPr>
        <w:tc>
          <w:tcPr>
            <w:tcW w:type="dxa" w:w="1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7"/>
                <w:szCs w:val="17"/>
              </w:rPr>
              <w:t xml:space="preserve">Tie spacing s</w:t>
            </w:r>
          </w:p>
        </w:tc>
        <w:tc>
          <w:tcPr>
            <w:tcW w:type="dxa" w:w="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7"/>
                <w:szCs w:val="17"/>
              </w:rPr>
              <w:t xml:space="preserve">αn</w:t>
            </w:r>
          </w:p>
        </w:tc>
        <w:tc>
          <w:tcPr>
            <w:tcW w:type="dxa" w:w="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7"/>
                <w:szCs w:val="17"/>
              </w:rPr>
              <w:t xml:space="preserve">αs</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7"/>
                <w:szCs w:val="17"/>
              </w:rPr>
              <w:t xml:space="preserve">ρw</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7"/>
                <w:szCs w:val="17"/>
              </w:rPr>
              <w:t xml:space="preserve">σ2 (MPa)</w:t>
            </w:r>
          </w:p>
        </w:tc>
        <w:tc>
          <w:tcPr>
            <w:tcW w:type="dxa" w:w="1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7"/>
                <w:szCs w:val="17"/>
              </w:rPr>
              <w:t xml:space="preserve">fck,c (MPa)</w:t>
            </w:r>
          </w:p>
        </w:tc>
        <w:tc>
          <w:tcPr>
            <w:tcW w:type="dxa" w:w="13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7"/>
                <w:szCs w:val="17"/>
              </w:rPr>
              <w:t xml:space="preserve">0.6·fck,c (MPa)</w:t>
            </w:r>
          </w:p>
        </w:tc>
        <w:tc>
          <w:tcPr>
            <w:tcW w:type="dxa" w:w="12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7"/>
                <w:szCs w:val="17"/>
              </w:rPr>
              <w:t xml:space="preserve">σc,max (MPa)</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150 mm (Anejo 10)</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0.828</w:t>
            </w:r>
          </w:p>
        </w:tc>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0.550</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0.0072</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1.43</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57.1</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34.3</w:t>
            </w:r>
          </w:p>
        </w:tc>
        <w:tc>
          <w:tcPr>
            <w:tcW w:type="dxa" w:w="1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33.3</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100 mm (final)</w:t>
            </w:r>
          </w:p>
        </w:tc>
        <w:tc>
          <w:tcPr>
            <w:tcW w:type="dxa" w:w="8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center"/>
            </w:pPr>
            <w:r>
              <w:rPr>
                <w:sz w:val="17"/>
                <w:szCs w:val="17"/>
              </w:rPr>
              <w:t xml:space="preserve">0.828</w:t>
            </w:r>
          </w:p>
        </w:tc>
        <w:tc>
          <w:tcPr>
            <w:tcW w:type="dxa" w:w="8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center"/>
            </w:pPr>
            <w:r>
              <w:rPr>
                <w:sz w:val="17"/>
                <w:szCs w:val="17"/>
              </w:rPr>
              <w:t xml:space="preserve">0.685</w:t>
            </w:r>
          </w:p>
        </w:tc>
        <w:tc>
          <w:tcPr>
            <w:tcW w:type="dxa" w:w="10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center"/>
            </w:pPr>
            <w:r>
              <w:rPr>
                <w:sz w:val="17"/>
                <w:szCs w:val="17"/>
              </w:rPr>
              <w:t xml:space="preserve">0.0108</w:t>
            </w:r>
          </w:p>
        </w:tc>
        <w:tc>
          <w:tcPr>
            <w:tcW w:type="dxa" w:w="10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center"/>
            </w:pPr>
            <w:r>
              <w:rPr>
                <w:sz w:val="17"/>
                <w:szCs w:val="17"/>
              </w:rPr>
              <w:t xml:space="preserve">2.67</w:t>
            </w:r>
          </w:p>
        </w:tc>
        <w:tc>
          <w:tcPr>
            <w:tcW w:type="dxa" w:w="1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center"/>
            </w:pPr>
            <w:r>
              <w:rPr>
                <w:sz w:val="17"/>
                <w:szCs w:val="17"/>
              </w:rPr>
              <w:t xml:space="preserve">62.9</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center"/>
            </w:pPr>
            <w:r>
              <w:rPr>
                <w:sz w:val="17"/>
                <w:szCs w:val="17"/>
              </w:rPr>
              <w:t xml:space="preserve">37.8</w:t>
            </w:r>
          </w:p>
        </w:tc>
        <w:tc>
          <w:tcPr>
            <w:tcW w:type="dxa" w:w="12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center"/>
            </w:pPr>
            <w:r>
              <w:rPr>
                <w:sz w:val="17"/>
                <w:szCs w:val="17"/>
              </w:rPr>
              <w:t xml:space="preserve">33.3</w:t>
            </w:r>
          </w:p>
        </w:tc>
      </w:tr>
    </w:tbl>
    <w:p>
      <w:pPr>
        <w:spacing w:after="80"/>
      </w:pPr>
    </w:p>
    <w:p>
      <w:pPr>
        <w:spacing w:after="120"/>
        <w:jc w:val="both"/>
      </w:pPr>
      <w:r>
        <w:t xml:space="preserve">With ties at 100 mm the confined limit, 37.8 MPa, is clearly above the largest characteristic stress, 33.3 MPa. With the existing 150 mm spacing the margin would be small (34.3 MPa). The estimate is indicative (open point 1). The alternative is a stronger concrete, HA-60 (fck ≥ 55.5 MPa).</w:t>
      </w:r>
    </w:p>
    <w:p>
      <w:pPr>
        <w:pBdr>
          <w:left w:val="single" w:color="1F4E79" w:sz="18" w:space="8"/>
        </w:pBdr>
        <w:shd w:fill="EEF3F8" w:color="auto" w:val="clear"/>
        <w:spacing w:after="160" w:before="80"/>
        <w:ind w:left="284"/>
        <w:jc w:val="both"/>
      </w:pPr>
      <w:r>
        <w:rPr>
          <w:b/>
          <w:bCs/>
        </w:rPr>
        <w:t xml:space="preserve">Decision F1 — piles.</w:t>
      </w:r>
      <w:r>
        <w:t xml:space="preserve"> Keep 12Ø25 and 3 closed Ø10 ties at 150 mm in the shaft. Tighten the ties to Ø10 c/100 in the top 0.40 m of every pile, as confinement under A19.7.2(2). The verdict is CUMPLE with that measure. The governing η is 0.987 (N-M second order, P3 head, ELR08).</w:t>
      </w:r>
    </w:p>
    <w:p>
      <w:pPr>
        <w:keepNext/>
        <w:spacing w:before="120"/>
        <w:jc w:val="center"/>
      </w:pPr>
      <w:r>
        <w:drawing>
          <wp:inline distT="0" distB="0" distL="0" distR="0">
            <wp:extent cx="5334000" cy="3067050"/>
            <wp:effectExtent t="0" r="0" b="0" l="0"/>
            <wp:docPr id="1" name="d6_seccion_pilote.png" descr="Figure 5 – Final pile reinforcement. Left: section 40×40 with 12Ø25 (4 per face, As = 58.9 cm², ρ = 3.68 %) and 3 closed Ø10 ties (one perimeter tie and two inner ties), cover 50 mm (XS3). Right: schematic elevation (not to scale) with the Ø10 c/100 confinement ties in the top 0.40 m (blue), Ø10 c/150 in the shaft, and the fixity section (arranque) with a Ø8 tie." title="Figure 5 – Final pile reinforcement. Left: section 40×40 with 12Ø25 (4 per face, As = 58.9 cm², ρ = 3.68 %) and 3 closed Ø10 ties (one perimeter tie and two inner ties), cover 50 mm (XS3). Right: schematic elevation (not to scale) with the Ø10 c/100 confinement ties in the top 0.40 m (blue), Ø10 c/150 in the shaft, and the fixity section (arranque) with a Ø8 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67050"/>
                    </a:xfrm>
                    <a:prstGeom prst="rect">
                      <a:avLst/>
                    </a:prstGeom>
                  </pic:spPr>
                </pic:pic>
              </a:graphicData>
            </a:graphic>
          </wp:inline>
        </w:drawing>
      </w:r>
    </w:p>
    <w:p>
      <w:pPr>
        <w:spacing w:after="200"/>
        <w:jc w:val="center"/>
      </w:pPr>
      <w:r>
        <w:rPr>
          <w:i/>
          <w:iCs/>
          <w:color w:val="404040"/>
          <w:sz w:val="18"/>
          <w:szCs w:val="18"/>
        </w:rPr>
        <w:t xml:space="preserve">Figure 5 – Final pile reinforcement. Left: section 40×40 with 12Ø25 (4 per face, As = 58.9 cm², ρ = 3.68 %) and 3 closed Ø10 ties (one perimeter tie and two inner ties), cover 50 mm (XS3). Right: schematic elevation (not to scale) with the Ø10 c/100 confinement ties in the top 0.40 m (blue), Ø10 c/150 in the shaft, and the fixity section (arranque) with a Ø8 tie.</w:t>
      </w:r>
    </w:p>
    <w:p>
      <w:pPr>
        <w:pStyle w:val="Heading2"/>
      </w:pPr>
      <w:r>
        <w:t xml:space="preserve">5.8 Bollard pull ψ2 (decision F2)</w:t>
      </w:r>
    </w:p>
    <w:p>
      <w:pPr>
        <w:spacing w:after="120"/>
        <w:jc w:val="both"/>
      </w:pPr>
      <w:r>
        <w:t xml:space="preserve">CYPECAD and the designer treated the bollard pull as a variable action with ψ2 = 0 (entered as wind). For a fishing quay the mooring pull is not quasi-permanent. ROM 2.0-11 makes its quasi-permanent value the 50 % quantile of the recorded mooring loads, which is practically zero when no records exist. </w:t>
      </w:r>
      <w:r>
        <w:rPr>
          <w:b/>
          <w:bCs/>
        </w:rPr>
        <w:t xml:space="preserve">ψ2 = 0 is therefore kept (F2).</w:t>
      </w:r>
    </w:p>
    <w:p>
      <w:pPr>
        <w:spacing w:after="120"/>
        <w:jc w:val="both"/>
      </w:pPr>
      <w:r>
        <w:rPr>
          <w:b/>
          <w:bCs/>
        </w:rPr>
        <w:t xml:space="preserve">Sensitivity with ψ2,TB = 0.5</w:t>
      </w:r>
      <w:r>
        <w:t xml:space="preserve">, the ROM 0.2-90 operational upper bound. Six piles crack: P1, P2, P3, P15, P16 and P18, with wk up to 0.153 mm &gt; 0.1 mm. Because sr,max ≥ 3.4·c = 204 mm and εsm − εcm ≥ 0.6·σs/Es, no layout with As ≤ 0.04·Ac meets 0.1 mm; only 12Ø32 or 20Ø25 would. The same sensitivity also cracks the transverse beams (§6.5). The assumption is recorded as open point 2. If the Port Authority requires ψ2 = 0.5, the practical option is to accept wk ≤ 0.2 mm (the XS1/XS2 value) for this transient case.</w:t>
      </w:r>
    </w:p>
    <w:p>
      <w:pPr>
        <w:pStyle w:val="Heading1"/>
      </w:pPr>
      <w:r>
        <w:t xml:space="preserve">6. Transverse and edge beams</w:t>
      </w:r>
    </w:p>
    <w:p>
      <w:pPr>
        <w:pStyle w:val="Heading2"/>
      </w:pPr>
      <w:r>
        <w:t xml:space="preserve">6.1 Sections, cases and design sections</w:t>
      </w:r>
    </w:p>
    <w:p>
      <w:pPr>
        <w:spacing w:after="120"/>
        <w:jc w:val="both"/>
      </w:pPr>
      <w:r>
        <w:t xml:space="preserve">The three beam types are:</w:t>
      </w:r>
    </w:p>
    <w:p>
      <w:pPr>
        <w:pStyle w:val="ListParagraph"/>
        <w:numPr>
          <w:ilvl w:val="0"/>
          <w:numId w:val="3"/>
        </w:numPr>
        <w:spacing w:after="60"/>
        <w:jc w:val="both"/>
      </w:pPr>
      <w:r>
        <w:rPr>
          <w:b/>
          <w:bCs/>
        </w:rPr>
        <w:t xml:space="preserve">Inner beams:</w:t>
      </w:r>
      <w:r>
        <w:t xml:space="preserve"> inverted T, with a 50×55 cm web and two 15×30 cm ledges that carry the hollow-core plates.</w:t>
      </w:r>
    </w:p>
    <w:p>
      <w:pPr>
        <w:pStyle w:val="ListParagraph"/>
        <w:numPr>
          <w:ilvl w:val="0"/>
          <w:numId w:val="3"/>
        </w:numPr>
        <w:spacing w:after="60"/>
        <w:jc w:val="both"/>
      </w:pPr>
      <w:r>
        <w:rPr>
          <w:b/>
          <w:bCs/>
        </w:rPr>
        <w:t xml:space="preserve">End beams:</w:t>
      </w:r>
      <w:r>
        <w:t xml:space="preserve"> inverted L, 80×55 cm, with a single ledge.</w:t>
      </w:r>
    </w:p>
    <w:p>
      <w:pPr>
        <w:pStyle w:val="ListParagraph"/>
        <w:numPr>
          <w:ilvl w:val="0"/>
          <w:numId w:val="3"/>
        </w:numPr>
        <w:spacing w:after="60"/>
        <w:jc w:val="both"/>
      </w:pPr>
      <w:r>
        <w:rPr>
          <w:b/>
          <w:bCs/>
        </w:rPr>
        <w:t xml:space="preserve">Edge beams:</w:t>
      </w:r>
      <w:r>
        <w:t xml:space="preserve"> 25×30 cm, continuous over six spans.</w:t>
      </w:r>
    </w:p>
    <w:p>
      <w:pPr>
        <w:spacing w:after="120"/>
        <w:jc w:val="both"/>
      </w:pPr>
      <w:r>
        <w:rPr>
          <w:rFonts w:ascii="Consolas" w:cs="Consolas" w:eastAsia="Consolas" w:hAnsi="Consolas"/>
          <w:sz w:val="19"/>
          <w:szCs w:val="19"/>
        </w:rPr>
        <w:t xml:space="preserve">vigas.py</w:t>
      </w:r>
      <w:r>
        <w:t xml:space="preserve"> computes three cases for every member (Table 16).</w:t>
      </w:r>
    </w:p>
    <w:p>
      <w:pPr>
        <w:keepNext/>
        <w:spacing w:after="80" w:before="160"/>
        <w:jc w:val="center"/>
      </w:pPr>
      <w:r>
        <w:rPr>
          <w:i/>
          <w:iCs/>
          <w:color w:val="404040"/>
          <w:sz w:val="18"/>
          <w:szCs w:val="18"/>
        </w:rPr>
        <w:t xml:space="preserve">Table 16 – Beam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1500"/>
        <w:gridCol w:w="2326"/>
        <w:gridCol w:w="1600"/>
      </w:tblGrid>
      <w:tr>
        <w:trPr>
          <w:cantSplit/>
          <w:tblHeader/>
        </w:trPr>
        <w:tc>
          <w:tcPr>
            <w:tcW w:type="dxa" w:w="11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8"/>
                <w:szCs w:val="18"/>
              </w:rPr>
              <w:t xml:space="preserve">Case</w:t>
            </w:r>
          </w:p>
        </w:tc>
        <w:tc>
          <w:tcPr>
            <w:tcW w:type="dxa" w:w="2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8"/>
                <w:szCs w:val="18"/>
              </w:rPr>
              <w:t xml:space="preserve">Loads</w:t>
            </w:r>
          </w:p>
        </w:tc>
        <w:tc>
          <w:tcPr>
            <w:tcW w:type="dxa" w:w="1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8"/>
                <w:szCs w:val="18"/>
              </w:rPr>
              <w:t xml:space="preserve">Section</w:t>
            </w:r>
          </w:p>
        </w:tc>
        <w:tc>
          <w:tcPr>
            <w:tcW w:type="dxa" w:w="23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8"/>
                <w:szCs w:val="18"/>
              </w:rPr>
              <w:t xml:space="preserve">Shear</w:t>
            </w:r>
          </w:p>
        </w:tc>
        <w:tc>
          <w:tcPr>
            <w:tcW w:type="dxa" w:w="1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8"/>
                <w:szCs w:val="18"/>
              </w:rPr>
              <w:t xml:space="preserve">Use</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8"/>
                <w:szCs w:val="18"/>
              </w:rPr>
              <w:t xml:space="preserve">CYPE</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8"/>
                <w:szCs w:val="18"/>
              </w:rPr>
              <w:t xml:space="preserve">CYPE basis (ψ0,Qa 0.7; ψ2,Qa 0.3)</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8"/>
                <w:szCs w:val="18"/>
              </w:rPr>
              <w:t xml:space="preserve">Mode.CYPE</w:t>
            </w:r>
          </w:p>
        </w:tc>
        <w:tc>
          <w:tcPr>
            <w:tcW w:type="dxa" w:w="23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8"/>
                <w:szCs w:val="18"/>
              </w:rPr>
              <w:t xml:space="preserve">cot θ = 1; suspension steel as information</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8"/>
                <w:szCs w:val="18"/>
              </w:rPr>
              <w:t xml:space="preserve">parity with Anejo 10</w:t>
            </w:r>
          </w:p>
        </w:tc>
      </w:tr>
      <w:tr>
        <w:trPr>
          <w:cantSplit/>
        </w:trPr>
        <w:tc>
          <w:tcPr>
            <w:tcW w:type="dxa" w:w="1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8"/>
                <w:szCs w:val="18"/>
              </w:rPr>
              <w:t xml:space="preserve">CE-CYPE</w:t>
            </w:r>
          </w:p>
        </w:tc>
        <w:tc>
          <w:tcPr>
            <w:tcW w:type="dxa" w:w="2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8"/>
                <w:szCs w:val="18"/>
              </w:rPr>
              <w:t xml:space="preserve">CYPE basis</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8"/>
                <w:szCs w:val="18"/>
              </w:rPr>
              <w:t xml:space="preserve">Mode.CODIGO</w:t>
            </w:r>
          </w:p>
        </w:tc>
        <w:tc>
          <w:tcPr>
            <w:tcW w:type="dxa" w:w="23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8"/>
                <w:szCs w:val="18"/>
              </w:rPr>
              <w:t xml:space="preserve">optimum cot θ in [0.5, 2] + suspension steel</w:t>
            </w:r>
          </w:p>
        </w:tc>
        <w:tc>
          <w:tcPr>
            <w:tcW w:type="dxa" w:w="16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8"/>
                <w:szCs w:val="18"/>
              </w:rPr>
              <w:t xml:space="preserve">effect of the code-strict section</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8"/>
                <w:szCs w:val="18"/>
              </w:rPr>
              <w:t xml:space="preserve">CE-ROM</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8"/>
                <w:szCs w:val="18"/>
              </w:rPr>
              <w:t xml:space="preserve">ROM basis (ψ0,Qa 1.0; ψ2,Qa 0.8)</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8"/>
                <w:szCs w:val="18"/>
              </w:rPr>
              <w:t xml:space="preserve">Mode.CODIGO</w:t>
            </w:r>
          </w:p>
        </w:tc>
        <w:tc>
          <w:tcPr>
            <w:tcW w:type="dxa" w:w="23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8"/>
                <w:szCs w:val="18"/>
              </w:rPr>
              <w:t xml:space="preserve">as CE-CYPE</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b/>
                <w:bCs/>
                <w:sz w:val="18"/>
                <w:szCs w:val="18"/>
              </w:rPr>
              <w:t xml:space="preserve">final verdict</w:t>
            </w:r>
          </w:p>
        </w:tc>
      </w:tr>
    </w:tbl>
    <w:p>
      <w:pPr>
        <w:spacing w:after="80"/>
      </w:pPr>
    </w:p>
    <w:p>
      <w:pPr>
        <w:spacing w:after="120"/>
        <w:jc w:val="both"/>
      </w:pPr>
      <w:r>
        <w:t xml:space="preserve">Bending is checked at the pile faces (monolithic supports, A19.5.3.2.2(3)) and at the maximum span moment. VRd,s is checked at d from the face and VRd,max at the face. Figure 6 compares the governing ULS utilisations of the three cases.</w:t>
      </w:r>
    </w:p>
    <w:p>
      <w:pPr>
        <w:keepNext/>
        <w:spacing w:before="120"/>
        <w:jc w:val="center"/>
      </w:pPr>
      <w:r>
        <w:drawing>
          <wp:inline distT="0" distB="0" distL="0" distR="0">
            <wp:extent cx="5810250" cy="2324100"/>
            <wp:effectExtent t="0" r="0" b="0" l="0"/>
            <wp:docPr id="1" name="d3_vigas_flexion.png" descr="Figure 6 – ULS utilisation of the beams with the Anejo 10 reinforcement: bending, shear and (end beams only) torsion, for the three cases. The CYPE case uses θ = 45° without suspension steel; the CE cases use the optimum cot θ plus the suspension steel of the plates. “Borde mar / tierra” = sea / land edge beam." title="Figure 6 – ULS utilisation of the beams with the Anejo 10 reinforcement: bending, shear and (end beams only) torsion, for the three cases. The CYPE case uses θ = 45° without suspension steel; the CE cases use the optimum cot θ plus the suspension steel of the plates. “Borde mar / tierra” = sea / land edge b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2324100"/>
                    </a:xfrm>
                    <a:prstGeom prst="rect">
                      <a:avLst/>
                    </a:prstGeom>
                  </pic:spPr>
                </pic:pic>
              </a:graphicData>
            </a:graphic>
          </wp:inline>
        </w:drawing>
      </w:r>
    </w:p>
    <w:p>
      <w:pPr>
        <w:spacing w:after="200"/>
        <w:jc w:val="center"/>
      </w:pPr>
      <w:r>
        <w:rPr>
          <w:i/>
          <w:iCs/>
          <w:color w:val="404040"/>
          <w:sz w:val="18"/>
          <w:szCs w:val="18"/>
        </w:rPr>
        <w:t xml:space="preserve">Figure 6 – ULS utilisation of the beams with the Anejo 10 reinforcement: bending, shear and (end beams only) torsion, for the three cases. The CYPE case uses θ = 45° without suspension steel; the CE cases use the optimum cot θ plus the suspension steel of the plates. “Borde mar / tierra” = sea / land edge beam.</w:t>
      </w:r>
    </w:p>
    <w:p>
      <w:pPr>
        <w:pStyle w:val="Heading2"/>
      </w:pPr>
      <w:r>
        <w:t xml:space="preserve">6.2 Bending: As required against As provided</w:t>
      </w:r>
    </w:p>
    <w:p>
      <w:pPr>
        <w:spacing w:after="120"/>
        <w:jc w:val="both"/>
      </w:pPr>
      <w:r>
        <w:t xml:space="preserve">The required tension steel follows CYPECAD’s “Área Nec.” definition: singly reinforced, N = 0, the area that gives MRd = |MEd| in the fibre section. It is compared with the minimum area:</w:t>
      </w:r>
    </w:p>
    <w:p>
      <w:pPr>
        <w:keepLines/>
        <w:tabs>
          <w:tab w:val="right" w:pos="9026"/>
        </w:tabs>
        <w:spacing w:after="120" w:before="80"/>
        <w:ind w:left="567"/>
        <w:jc w:val="left"/>
      </w:pPr>
      <w:r>
        <w:rPr>
          <w:rFonts w:ascii="Cambria Math" w:cs="Cambria Math" w:eastAsia="Cambria Math" w:hAnsi="Cambria Math"/>
          <w:i/>
          <w:iCs/>
        </w:rPr>
        <w:t xml:space="preserve">As,min = (W/z)·fctm,fl / fyd</w:t>
      </w:r>
      <w:r>
        <w:rPr>
          <w:rFonts w:ascii="Cambria Math" w:cs="Cambria Math" w:eastAsia="Cambria Math" w:hAnsi="Cambria Math"/>
        </w:rPr>
        <w:t xml:space="preserve">	(10)</w:t>
      </w:r>
    </w:p>
    <w:p>
      <w:pPr>
        <w:spacing w:after="120"/>
        <w:jc w:val="both"/>
      </w:pPr>
      <w:r>
        <w:t xml:space="preserve">where W is the gross section modulus to the tension fibre, z = 0.8h (CYPECAD uses 0.9d) and fctm,fl = max[(1.6 − h/1000)·fctm; fctm] = 3.37 MPa for h = 550 mm.</w:t>
      </w:r>
    </w:p>
    <w:p>
      <w:pPr>
        <w:spacing w:after="120"/>
        <w:jc w:val="both"/>
      </w:pPr>
      <w:r>
        <w:rPr>
          <w:b/>
          <w:bCs/>
        </w:rPr>
        <w:t xml:space="preserve">Worked example: VT3 (axis 3), sea-pile face, hogging, ELR08.</w:t>
      </w:r>
      <w:r>
        <w:t xml:space="preserve"> MEd = −302.8 kN·m. The required area is 15.07 cm² (As,min = 4.99 cm²), against 5Ø20 = 15.71 cm² provided (ratio 0.960). With the provided bars (top 5Ø20, side bars, bottom bars in compression) the fibre section gives MRd = 344.5 kN·m, with the neutral axis at x = 63.9 mm. So η = 302.8/344.5 = </w:t>
      </w:r>
      <w:r>
        <w:rPr>
          <w:b/>
          <w:bCs/>
        </w:rPr>
        <w:t xml:space="preserve">0.879</w:t>
      </w:r>
      <w:r>
        <w:t xml:space="preserve">, the largest bending utilisation of the inner beams.</w:t>
      </w:r>
    </w:p>
    <w:p>
      <w:pPr>
        <w:keepNext/>
        <w:spacing w:after="80" w:before="160"/>
        <w:jc w:val="center"/>
      </w:pPr>
      <w:r>
        <w:rPr>
          <w:i/>
          <w:iCs/>
          <w:color w:val="404040"/>
          <w:sz w:val="18"/>
          <w:szCs w:val="18"/>
        </w:rPr>
        <w:t xml:space="preserve">Table 17 – As required and provided at the governing sections (CE-ROM).</w:t>
      </w:r>
    </w:p>
    <w:tbl>
      <w:tblPr>
        <w:tblW w:type="dxa" w:w="8550"/>
        <w:tblBorders>
          <w:top w:val="single" w:color="auto" w:sz="4"/>
          <w:left w:val="single" w:color="auto" w:sz="4"/>
          <w:bottom w:val="single" w:color="auto" w:sz="4"/>
          <w:right w:val="single" w:color="auto" w:sz="4"/>
          <w:insideH w:val="single" w:color="auto" w:sz="4"/>
          <w:insideV w:val="single" w:color="auto" w:sz="4"/>
        </w:tblBorders>
      </w:tblPr>
      <w:tblGrid>
        <w:gridCol w:w="700"/>
        <w:gridCol w:w="1350"/>
        <w:gridCol w:w="1300"/>
        <w:gridCol w:w="800"/>
        <w:gridCol w:w="1300"/>
        <w:gridCol w:w="1300"/>
        <w:gridCol w:w="800"/>
        <w:gridCol w:w="1000"/>
      </w:tblGrid>
      <w:tr>
        <w:trPr>
          <w:cantSplit/>
          <w:tblHeader/>
        </w:trPr>
        <w:tc>
          <w:tcPr>
            <w:tcW w:type="dxa" w:w="700"/>
            <w:tcBorders>
              <w:top w:val="single" w:color="A6A6A6" w:sz="4"/>
              <w:left w:val="single" w:color="A6A6A6" w:sz="4"/>
              <w:bottom w:val="single" w:color="A6A6A6" w:sz="4"/>
              <w:right w:val="single" w:color="A6A6A6" w:sz="4"/>
            </w:tcBorders>
            <w:shd w:fill="1F4E79" w:color="auto" w:val="clear"/>
            <w:tcMar>
              <w:top w:type="dxa" w:w="50"/>
              <w:left w:type="dxa" w:w="60"/>
              <w:bottom w:type="dxa" w:w="50"/>
              <w:right w:type="dxa" w:w="60"/>
            </w:tcMar>
            <w:vAlign w:val="center"/>
          </w:tcPr>
          <w:p>
            <w:pPr>
              <w:keepNext/>
              <w:jc w:val="left"/>
            </w:pPr>
            <w:r>
              <w:rPr>
                <w:b/>
                <w:bCs/>
                <w:color w:val="FFFFFF"/>
                <w:sz w:val="17"/>
                <w:szCs w:val="17"/>
              </w:rPr>
              <w:t xml:space="preserve">Beam</w:t>
            </w:r>
          </w:p>
        </w:tc>
        <w:tc>
          <w:tcPr>
            <w:tcW w:type="dxa" w:w="1350"/>
            <w:tcBorders>
              <w:top w:val="single" w:color="A6A6A6" w:sz="4"/>
              <w:left w:val="single" w:color="A6A6A6" w:sz="4"/>
              <w:bottom w:val="single" w:color="A6A6A6" w:sz="4"/>
              <w:right w:val="single" w:color="A6A6A6" w:sz="4"/>
            </w:tcBorders>
            <w:shd w:fill="1F4E79" w:color="auto" w:val="clear"/>
            <w:tcMar>
              <w:top w:type="dxa" w:w="50"/>
              <w:left w:type="dxa" w:w="60"/>
              <w:bottom w:type="dxa" w:w="50"/>
              <w:right w:type="dxa" w:w="60"/>
            </w:tcMar>
            <w:vAlign w:val="center"/>
          </w:tcPr>
          <w:p>
            <w:pPr>
              <w:keepNext/>
              <w:jc w:val="center"/>
            </w:pPr>
            <w:r>
              <w:rPr>
                <w:b/>
                <w:bCs/>
                <w:color w:val="FFFFFF"/>
                <w:sz w:val="17"/>
                <w:szCs w:val="17"/>
              </w:rPr>
              <w:t xml:space="preserve">Top at sea-pile face: MEd (kN·m)</w:t>
            </w:r>
          </w:p>
        </w:tc>
        <w:tc>
          <w:tcPr>
            <w:tcW w:type="dxa" w:w="1300"/>
            <w:tcBorders>
              <w:top w:val="single" w:color="A6A6A6" w:sz="4"/>
              <w:left w:val="single" w:color="A6A6A6" w:sz="4"/>
              <w:bottom w:val="single" w:color="A6A6A6" w:sz="4"/>
              <w:right w:val="single" w:color="A6A6A6" w:sz="4"/>
            </w:tcBorders>
            <w:shd w:fill="1F4E79" w:color="auto" w:val="clear"/>
            <w:tcMar>
              <w:top w:type="dxa" w:w="50"/>
              <w:left w:type="dxa" w:w="60"/>
              <w:bottom w:type="dxa" w:w="50"/>
              <w:right w:type="dxa" w:w="60"/>
            </w:tcMar>
            <w:vAlign w:val="center"/>
          </w:tcPr>
          <w:p>
            <w:pPr>
              <w:keepNext/>
              <w:jc w:val="center"/>
            </w:pPr>
            <w:r>
              <w:rPr>
                <w:b/>
                <w:bCs/>
                <w:color w:val="FFFFFF"/>
                <w:sz w:val="17"/>
                <w:szCs w:val="17"/>
              </w:rPr>
              <w:t xml:space="preserve">As,req / As,prov (cm²)</w:t>
            </w:r>
          </w:p>
        </w:tc>
        <w:tc>
          <w:tcPr>
            <w:tcW w:type="dxa" w:w="800"/>
            <w:tcBorders>
              <w:top w:val="single" w:color="A6A6A6" w:sz="4"/>
              <w:left w:val="single" w:color="A6A6A6" w:sz="4"/>
              <w:bottom w:val="single" w:color="A6A6A6" w:sz="4"/>
              <w:right w:val="single" w:color="A6A6A6" w:sz="4"/>
            </w:tcBorders>
            <w:shd w:fill="1F4E79" w:color="auto" w:val="clear"/>
            <w:tcMar>
              <w:top w:type="dxa" w:w="50"/>
              <w:left w:type="dxa" w:w="60"/>
              <w:bottom w:type="dxa" w:w="50"/>
              <w:right w:type="dxa" w:w="60"/>
            </w:tcMar>
            <w:vAlign w:val="center"/>
          </w:tcPr>
          <w:p>
            <w:pPr>
              <w:keepNext/>
              <w:jc w:val="center"/>
            </w:pPr>
            <w:r>
              <w:rPr>
                <w:b/>
                <w:bCs/>
                <w:color w:val="FFFFFF"/>
                <w:sz w:val="17"/>
                <w:szCs w:val="17"/>
              </w:rPr>
              <w:t xml:space="preserve">Ratio</w:t>
            </w:r>
          </w:p>
        </w:tc>
        <w:tc>
          <w:tcPr>
            <w:tcW w:type="dxa" w:w="1300"/>
            <w:tcBorders>
              <w:top w:val="single" w:color="A6A6A6" w:sz="4"/>
              <w:left w:val="single" w:color="A6A6A6" w:sz="4"/>
              <w:bottom w:val="single" w:color="A6A6A6" w:sz="4"/>
              <w:right w:val="single" w:color="A6A6A6" w:sz="4"/>
            </w:tcBorders>
            <w:shd w:fill="1F4E79" w:color="auto" w:val="clear"/>
            <w:tcMar>
              <w:top w:type="dxa" w:w="50"/>
              <w:left w:type="dxa" w:w="60"/>
              <w:bottom w:type="dxa" w:w="50"/>
              <w:right w:type="dxa" w:w="60"/>
            </w:tcMar>
            <w:vAlign w:val="center"/>
          </w:tcPr>
          <w:p>
            <w:pPr>
              <w:keepNext/>
              <w:jc w:val="center"/>
            </w:pPr>
            <w:r>
              <w:rPr>
                <w:b/>
                <w:bCs/>
                <w:color w:val="FFFFFF"/>
                <w:sz w:val="17"/>
                <w:szCs w:val="17"/>
              </w:rPr>
              <w:t xml:space="preserve">Bottom in span: MEd (kN·m)</w:t>
            </w:r>
          </w:p>
        </w:tc>
        <w:tc>
          <w:tcPr>
            <w:tcW w:type="dxa" w:w="1300"/>
            <w:tcBorders>
              <w:top w:val="single" w:color="A6A6A6" w:sz="4"/>
              <w:left w:val="single" w:color="A6A6A6" w:sz="4"/>
              <w:bottom w:val="single" w:color="A6A6A6" w:sz="4"/>
              <w:right w:val="single" w:color="A6A6A6" w:sz="4"/>
            </w:tcBorders>
            <w:shd w:fill="1F4E79" w:color="auto" w:val="clear"/>
            <w:tcMar>
              <w:top w:type="dxa" w:w="50"/>
              <w:left w:type="dxa" w:w="60"/>
              <w:bottom w:type="dxa" w:w="50"/>
              <w:right w:type="dxa" w:w="60"/>
            </w:tcMar>
            <w:vAlign w:val="center"/>
          </w:tcPr>
          <w:p>
            <w:pPr>
              <w:keepNext/>
              <w:jc w:val="center"/>
            </w:pPr>
            <w:r>
              <w:rPr>
                <w:b/>
                <w:bCs/>
                <w:color w:val="FFFFFF"/>
                <w:sz w:val="17"/>
                <w:szCs w:val="17"/>
              </w:rPr>
              <w:t xml:space="preserve">As,req / As,prov (cm²)</w:t>
            </w:r>
          </w:p>
        </w:tc>
        <w:tc>
          <w:tcPr>
            <w:tcW w:type="dxa" w:w="800"/>
            <w:tcBorders>
              <w:top w:val="single" w:color="A6A6A6" w:sz="4"/>
              <w:left w:val="single" w:color="A6A6A6" w:sz="4"/>
              <w:bottom w:val="single" w:color="A6A6A6" w:sz="4"/>
              <w:right w:val="single" w:color="A6A6A6" w:sz="4"/>
            </w:tcBorders>
            <w:shd w:fill="1F4E79" w:color="auto" w:val="clear"/>
            <w:tcMar>
              <w:top w:type="dxa" w:w="50"/>
              <w:left w:type="dxa" w:w="60"/>
              <w:bottom w:type="dxa" w:w="50"/>
              <w:right w:type="dxa" w:w="60"/>
            </w:tcMar>
            <w:vAlign w:val="center"/>
          </w:tcPr>
          <w:p>
            <w:pPr>
              <w:keepNext/>
              <w:jc w:val="center"/>
            </w:pPr>
            <w:r>
              <w:rPr>
                <w:b/>
                <w:bCs/>
                <w:color w:val="FFFFFF"/>
                <w:sz w:val="17"/>
                <w:szCs w:val="17"/>
              </w:rPr>
              <w:t xml:space="preserve">Ratio</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60"/>
              <w:bottom w:type="dxa" w:w="50"/>
              <w:right w:type="dxa" w:w="60"/>
            </w:tcMar>
            <w:vAlign w:val="center"/>
          </w:tcPr>
          <w:p>
            <w:pPr>
              <w:keepNext/>
              <w:jc w:val="center"/>
            </w:pPr>
            <w:r>
              <w:rPr>
                <w:b/>
                <w:bCs/>
                <w:color w:val="FFFFFF"/>
                <w:sz w:val="17"/>
                <w:szCs w:val="17"/>
              </w:rPr>
              <w:t xml:space="preserve">η bending</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left"/>
            </w:pPr>
            <w:r>
              <w:rPr>
                <w:sz w:val="17"/>
                <w:szCs w:val="17"/>
              </w:rPr>
              <w:t xml:space="preserve">VT1</w:t>
            </w:r>
          </w:p>
        </w:tc>
        <w:tc>
          <w:tcPr>
            <w:tcW w:type="dxa" w:w="13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−316.3</w:t>
            </w:r>
          </w:p>
        </w:tc>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15.67 / 15.71</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0.998</w:t>
            </w:r>
          </w:p>
        </w:tc>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275.8</w:t>
            </w:r>
          </w:p>
        </w:tc>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13.68 / 18.85</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0.726</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0.873</w:t>
            </w:r>
          </w:p>
        </w:tc>
      </w:tr>
      <w:tr>
        <w:trPr>
          <w:cantSplit/>
        </w:trPr>
        <w:tc>
          <w:tcPr>
            <w:tcW w:type="dxa" w:w="7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left"/>
            </w:pPr>
            <w:r>
              <w:rPr>
                <w:sz w:val="17"/>
                <w:szCs w:val="17"/>
              </w:rPr>
              <w:t xml:space="preserve">VT2</w:t>
            </w:r>
          </w:p>
        </w:tc>
        <w:tc>
          <w:tcPr>
            <w:tcW w:type="dxa" w:w="13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−265.2</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13.14 / 15.71</w:t>
            </w:r>
          </w:p>
        </w:tc>
        <w:tc>
          <w:tcPr>
            <w:tcW w:type="dxa" w:w="8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0.836</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316.0</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16.18 / 21.99</w:t>
            </w:r>
          </w:p>
        </w:tc>
        <w:tc>
          <w:tcPr>
            <w:tcW w:type="dxa" w:w="8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0.736</w:t>
            </w:r>
          </w:p>
        </w:tc>
        <w:tc>
          <w:tcPr>
            <w:tcW w:type="dxa" w:w="10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0.770</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left"/>
            </w:pPr>
            <w:r>
              <w:rPr>
                <w:sz w:val="17"/>
                <w:szCs w:val="17"/>
              </w:rPr>
              <w:t xml:space="preserve">VT3</w:t>
            </w:r>
          </w:p>
        </w:tc>
        <w:tc>
          <w:tcPr>
            <w:tcW w:type="dxa" w:w="13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−302.8</w:t>
            </w:r>
          </w:p>
        </w:tc>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15.07 / 15.71</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0.960</w:t>
            </w:r>
          </w:p>
        </w:tc>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292.7</w:t>
            </w:r>
          </w:p>
        </w:tc>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14.91 / 21.99</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0.678</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0.879</w:t>
            </w:r>
          </w:p>
        </w:tc>
      </w:tr>
      <w:tr>
        <w:trPr>
          <w:cantSplit/>
        </w:trPr>
        <w:tc>
          <w:tcPr>
            <w:tcW w:type="dxa" w:w="7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left"/>
            </w:pPr>
            <w:r>
              <w:rPr>
                <w:sz w:val="17"/>
                <w:szCs w:val="17"/>
              </w:rPr>
              <w:t xml:space="preserve">VT4</w:t>
            </w:r>
          </w:p>
        </w:tc>
        <w:tc>
          <w:tcPr>
            <w:tcW w:type="dxa" w:w="13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−256.2</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12.68 / 15.71</w:t>
            </w:r>
          </w:p>
        </w:tc>
        <w:tc>
          <w:tcPr>
            <w:tcW w:type="dxa" w:w="8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0.807</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298.5</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15.23 / 21.99</w:t>
            </w:r>
          </w:p>
        </w:tc>
        <w:tc>
          <w:tcPr>
            <w:tcW w:type="dxa" w:w="8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0.692</w:t>
            </w:r>
          </w:p>
        </w:tc>
        <w:tc>
          <w:tcPr>
            <w:tcW w:type="dxa" w:w="10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0.744</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left"/>
            </w:pPr>
            <w:r>
              <w:rPr>
                <w:sz w:val="17"/>
                <w:szCs w:val="17"/>
              </w:rPr>
              <w:t xml:space="preserve">VT5</w:t>
            </w:r>
          </w:p>
        </w:tc>
        <w:tc>
          <w:tcPr>
            <w:tcW w:type="dxa" w:w="13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−294.0</w:t>
            </w:r>
          </w:p>
        </w:tc>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14.62 / 15.71</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0.931</w:t>
            </w:r>
          </w:p>
        </w:tc>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287.1</w:t>
            </w:r>
          </w:p>
        </w:tc>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14.61 / 21.99</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0.664</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0.853</w:t>
            </w:r>
          </w:p>
        </w:tc>
      </w:tr>
      <w:tr>
        <w:trPr>
          <w:cantSplit/>
        </w:trPr>
        <w:tc>
          <w:tcPr>
            <w:tcW w:type="dxa" w:w="7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left"/>
            </w:pPr>
            <w:r>
              <w:rPr>
                <w:sz w:val="17"/>
                <w:szCs w:val="17"/>
              </w:rPr>
              <w:t xml:space="preserve">VT6</w:t>
            </w:r>
          </w:p>
        </w:tc>
        <w:tc>
          <w:tcPr>
            <w:tcW w:type="dxa" w:w="13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−247.6</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12.24 / 15.71</w:t>
            </w:r>
          </w:p>
        </w:tc>
        <w:tc>
          <w:tcPr>
            <w:tcW w:type="dxa" w:w="8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0.779</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307.0</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15.69 / 21.99</w:t>
            </w:r>
          </w:p>
        </w:tc>
        <w:tc>
          <w:tcPr>
            <w:tcW w:type="dxa" w:w="8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0.714</w:t>
            </w:r>
          </w:p>
        </w:tc>
        <w:tc>
          <w:tcPr>
            <w:tcW w:type="dxa" w:w="10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0.719</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left"/>
            </w:pPr>
            <w:r>
              <w:rPr>
                <w:sz w:val="17"/>
                <w:szCs w:val="17"/>
              </w:rPr>
              <w:t xml:space="preserve">VT7</w:t>
            </w:r>
          </w:p>
        </w:tc>
        <w:tc>
          <w:tcPr>
            <w:tcW w:type="dxa" w:w="13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−289.4</w:t>
            </w:r>
          </w:p>
        </w:tc>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14.30 / 15.71</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0.910</w:t>
            </w:r>
          </w:p>
        </w:tc>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248.8</w:t>
            </w:r>
          </w:p>
        </w:tc>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12.30 / 18.85</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0.653</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0.798</w:t>
            </w:r>
          </w:p>
        </w:tc>
      </w:tr>
      <w:tr>
        <w:trPr>
          <w:cantSplit/>
        </w:trPr>
        <w:tc>
          <w:tcPr>
            <w:tcW w:type="dxa" w:w="7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left"/>
            </w:pPr>
            <w:r>
              <w:rPr>
                <w:sz w:val="17"/>
                <w:szCs w:val="17"/>
              </w:rPr>
              <w:t xml:space="preserve">VBM</w:t>
            </w:r>
          </w:p>
        </w:tc>
        <w:tc>
          <w:tcPr>
            <w:tcW w:type="dxa" w:w="13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−37.5</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3.94 / 4.02</w:t>
            </w:r>
          </w:p>
        </w:tc>
        <w:tc>
          <w:tcPr>
            <w:tcW w:type="dxa" w:w="8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0.981</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18.5</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1.88 / 4.02</w:t>
            </w:r>
          </w:p>
        </w:tc>
        <w:tc>
          <w:tcPr>
            <w:tcW w:type="dxa" w:w="8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0.468</w:t>
            </w:r>
          </w:p>
        </w:tc>
        <w:tc>
          <w:tcPr>
            <w:tcW w:type="dxa" w:w="10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0.931</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val="false"/>
              <w:jc w:val="left"/>
            </w:pPr>
            <w:r>
              <w:rPr>
                <w:sz w:val="17"/>
                <w:szCs w:val="17"/>
              </w:rPr>
              <w:t xml:space="preserve">VBT</w:t>
            </w:r>
          </w:p>
        </w:tc>
        <w:tc>
          <w:tcPr>
            <w:tcW w:type="dxa" w:w="13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val="false"/>
              <w:jc w:val="center"/>
            </w:pPr>
            <w:r>
              <w:rPr>
                <w:sz w:val="17"/>
                <w:szCs w:val="17"/>
              </w:rPr>
              <w:t xml:space="preserve">−38.4</w:t>
            </w:r>
          </w:p>
        </w:tc>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val="false"/>
              <w:jc w:val="center"/>
            </w:pPr>
            <w:r>
              <w:rPr>
                <w:sz w:val="17"/>
                <w:szCs w:val="17"/>
              </w:rPr>
              <w:t xml:space="preserve">4.04 / 4.02</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val="false"/>
              <w:jc w:val="center"/>
            </w:pPr>
            <w:r>
              <w:rPr>
                <w:sz w:val="17"/>
                <w:szCs w:val="17"/>
              </w:rPr>
              <w:t xml:space="preserve">1.005</w:t>
            </w:r>
          </w:p>
        </w:tc>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val="false"/>
              <w:jc w:val="center"/>
            </w:pPr>
            <w:r>
              <w:rPr>
                <w:sz w:val="17"/>
                <w:szCs w:val="17"/>
              </w:rPr>
              <w:t xml:space="preserve">18.6</w:t>
            </w:r>
          </w:p>
        </w:tc>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val="false"/>
              <w:jc w:val="center"/>
            </w:pPr>
            <w:r>
              <w:rPr>
                <w:sz w:val="17"/>
                <w:szCs w:val="17"/>
              </w:rPr>
              <w:t xml:space="preserve">1.89 / 4.02</w:t>
            </w:r>
          </w:p>
        </w:tc>
        <w:tc>
          <w:tcPr>
            <w:tcW w:type="dxa" w:w="8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val="false"/>
              <w:jc w:val="center"/>
            </w:pPr>
            <w:r>
              <w:rPr>
                <w:sz w:val="17"/>
                <w:szCs w:val="17"/>
              </w:rPr>
              <w:t xml:space="preserve">0.470</w:t>
            </w:r>
          </w:p>
        </w:tc>
        <w:tc>
          <w:tcPr>
            <w:tcW w:type="dxa" w:w="10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val="false"/>
              <w:jc w:val="center"/>
            </w:pPr>
            <w:r>
              <w:rPr>
                <w:sz w:val="17"/>
                <w:szCs w:val="17"/>
              </w:rPr>
              <w:t xml:space="preserve">0.953</w:t>
            </w:r>
          </w:p>
        </w:tc>
      </w:tr>
    </w:tbl>
    <w:p>
      <w:pPr>
        <w:spacing w:after="80"/>
      </w:pPr>
    </w:p>
    <w:p>
      <w:pPr>
        <w:spacing w:after="120"/>
        <w:jc w:val="both"/>
      </w:pPr>
      <w:r>
        <w:t xml:space="preserve">As,req is singly reinforced, so a ratio just above 1 (VBT, 1.005) is not a failure: counting the compression bars, the section gives η = 0.953. The end beams need practically all their top steel at the sea face (0.998), which is why the torsion tension chord governs them (§6.4). Strength does not size the bottom steel of the inner beams; crack control does (§6.5). With the proposed 33.18 cm², the ULS utilisation of the bottom face drops to 0.49.</w:t>
      </w:r>
    </w:p>
    <w:p>
      <w:pPr>
        <w:keepNext/>
        <w:spacing w:after="80" w:before="160"/>
        <w:jc w:val="center"/>
      </w:pPr>
      <w:r>
        <w:rPr>
          <w:i/>
          <w:iCs/>
          <w:color w:val="404040"/>
          <w:sz w:val="18"/>
          <w:szCs w:val="18"/>
        </w:rPr>
        <w:t xml:space="preserve">Table 18 – Design resistances of the beam sections (Mode.CODIGO, Anejo 10 reinforcement).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1150"/>
        <w:gridCol w:w="1150"/>
        <w:gridCol w:w="1250"/>
        <w:gridCol w:w="1000"/>
        <w:gridCol w:w="1226"/>
      </w:tblGrid>
      <w:tr>
        <w:trPr>
          <w:cantSplit/>
          <w:tblHeader/>
        </w:trPr>
        <w:tc>
          <w:tcPr>
            <w:tcW w:type="dxa" w:w="21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7"/>
                <w:szCs w:val="17"/>
              </w:rPr>
              <w:t xml:space="preserve">Section</w:t>
            </w:r>
          </w:p>
        </w:tc>
        <w:tc>
          <w:tcPr>
            <w:tcW w:type="dxa" w:w="115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7"/>
                <w:szCs w:val="17"/>
              </w:rPr>
              <w:t xml:space="preserve">MRd hogging (kN·m)</w:t>
            </w:r>
          </w:p>
        </w:tc>
        <w:tc>
          <w:tcPr>
            <w:tcW w:type="dxa" w:w="115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7"/>
                <w:szCs w:val="17"/>
              </w:rPr>
              <w:t xml:space="preserve">MRd sagging (kN·m)</w:t>
            </w:r>
          </w:p>
        </w:tc>
        <w:tc>
          <w:tcPr>
            <w:tcW w:type="dxa" w:w="115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7"/>
                <w:szCs w:val="17"/>
              </w:rPr>
              <w:t xml:space="preserve">VRd,s cot θ = 2 (kN)</w:t>
            </w:r>
          </w:p>
        </w:tc>
        <w:tc>
          <w:tcPr>
            <w:tcW w:type="dxa" w:w="125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7"/>
                <w:szCs w:val="17"/>
              </w:rPr>
              <w:t xml:space="preserve">VRd,max cot θ = 2 (kN)</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7"/>
                <w:szCs w:val="17"/>
              </w:rPr>
              <w:t xml:space="preserve">VRd,c (kN)</w:t>
            </w:r>
          </w:p>
        </w:tc>
        <w:tc>
          <w:tcPr>
            <w:tcW w:type="dxa" w:w="12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7"/>
                <w:szCs w:val="17"/>
              </w:rPr>
              <w:t xml:space="preserve">TRd,max (kN·m)</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Inner T (5Ø20 / 7Ø20)</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344.5</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453.1</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814.3</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1209.6</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134.6</w:t>
            </w:r>
          </w:p>
        </w:tc>
        <w:tc>
          <w:tcPr>
            <w:tcW w:type="dxa" w:w="1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199.0</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End L (5Ø20 / 6Ø20)</w:t>
            </w:r>
          </w:p>
        </w:tc>
        <w:tc>
          <w:tcPr>
            <w:tcW w:type="dxa" w:w="115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362.6</w:t>
            </w:r>
          </w:p>
        </w:tc>
        <w:tc>
          <w:tcPr>
            <w:tcW w:type="dxa" w:w="115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429.3</w:t>
            </w:r>
          </w:p>
        </w:tc>
        <w:tc>
          <w:tcPr>
            <w:tcW w:type="dxa" w:w="115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814.3</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1935.4</w:t>
            </w:r>
          </w:p>
        </w:tc>
        <w:tc>
          <w:tcPr>
            <w:tcW w:type="dxa" w:w="10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184.1</w:t>
            </w:r>
          </w:p>
        </w:tc>
        <w:tc>
          <w:tcPr>
            <w:tcW w:type="dxa" w:w="12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387.0</w:t>
            </w:r>
          </w:p>
        </w:tc>
      </w:tr>
      <w:tr>
        <w:trPr>
          <w:cantSplit/>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7"/>
                <w:szCs w:val="17"/>
              </w:rPr>
              <w:t xml:space="preserve">Edge 25×30 (2Ø16 / 2Ø16)</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7"/>
                <w:szCs w:val="17"/>
              </w:rPr>
              <w:t xml:space="preserve">40.3</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7"/>
                <w:szCs w:val="17"/>
              </w:rPr>
              <w:t xml:space="preserve">40.3</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7"/>
                <w:szCs w:val="17"/>
              </w:rPr>
              <w:t xml:space="preserve">112.9</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7"/>
                <w:szCs w:val="17"/>
              </w:rPr>
              <w:t xml:space="preserve">294.8</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7"/>
                <w:szCs w:val="17"/>
              </w:rPr>
              <w:t xml:space="preserve">39.0</w:t>
            </w:r>
          </w:p>
        </w:tc>
        <w:tc>
          <w:tcPr>
            <w:tcW w:type="dxa" w:w="12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7"/>
                <w:szCs w:val="17"/>
              </w:rPr>
              <w:t xml:space="preserve">25.2</w:t>
            </w:r>
          </w:p>
        </w:tc>
      </w:tr>
    </w:tbl>
    <w:p>
      <w:pPr>
        <w:spacing w:after="80"/>
      </w:pPr>
    </w:p>
    <w:p>
      <w:pPr>
        <w:spacing w:after="120"/>
        <w:jc w:val="both"/>
      </w:pPr>
      <w:r>
        <w:t xml:space="preserve">For comparison, at θ = 45° (the CYPE case) the inner beam gives VRd,s = 407.15 kN and VRd,max = 1512.0 kN, and in Mode.CYPE its hogging MRd = 325.78 kN·m. These are the values printed in Anejo 10.</w:t>
      </w:r>
    </w:p>
    <w:p>
      <w:pPr>
        <w:pStyle w:val="Heading2"/>
      </w:pPr>
      <w:r>
        <w:t xml:space="preserve">6.3 Shear and suspension of the hollow-core plates</w:t>
      </w:r>
    </w:p>
    <w:p>
      <w:pPr>
        <w:spacing w:after="120"/>
        <w:jc w:val="both"/>
      </w:pPr>
      <w:r>
        <w:t xml:space="preserve">The links must carry the shear (A19.6.2.3, (6.8)). They must also carry the plate reactions: the plates bear on the ledges, near the bottom of the section, so their load has to be hung up into the web (A19.6.2.1(9)). The required link area per metre is:</w:t>
      </w:r>
    </w:p>
    <w:p>
      <w:pPr>
        <w:keepLines/>
        <w:tabs>
          <w:tab w:val="right" w:pos="9026"/>
        </w:tabs>
        <w:spacing w:after="120" w:before="80"/>
        <w:ind w:left="567"/>
        <w:jc w:val="left"/>
      </w:pPr>
      <w:r>
        <w:rPr>
          <w:rFonts w:ascii="Cambria Math" w:cs="Cambria Math" w:eastAsia="Cambria Math" w:hAnsi="Cambria Math"/>
          <w:i/>
          <w:iCs/>
        </w:rPr>
        <w:t xml:space="preserve">Asw/s = VEd / (z·fywd·cot θ) + Σ(q·Lp/2) / fyd</w:t>
      </w:r>
      <w:r>
        <w:rPr>
          <w:rFonts w:ascii="Cambria Math" w:cs="Cambria Math" w:eastAsia="Cambria Math" w:hAnsi="Cambria Math"/>
        </w:rPr>
        <w:t xml:space="preserve">	(11)</w:t>
      </w:r>
    </w:p>
    <w:p>
      <w:pPr>
        <w:spacing w:after="120"/>
        <w:jc w:val="both"/>
      </w:pPr>
      <w:r>
        <w:t xml:space="preserve">Here q·Lp/2 is the ULS plate reaction per bearing ledge: two ledges on inner beams, one on end beams. cot θ is the largest value in [0.5, 2] allowed at the section.</w:t>
      </w:r>
    </w:p>
    <w:p>
      <w:pPr>
        <w:spacing w:after="120"/>
        <w:jc w:val="both"/>
      </w:pPr>
      <w:r>
        <w:rPr>
          <w:b/>
          <w:bCs/>
        </w:rPr>
        <w:t xml:space="preserve">Worked example: VT2 (axis 2), sea-pile face, ELR08.</w:t>
      </w:r>
    </w:p>
    <w:p>
      <w:pPr>
        <w:pStyle w:val="ListParagraph"/>
        <w:numPr>
          <w:ilvl w:val="0"/>
          <w:numId w:val="3"/>
        </w:numPr>
        <w:spacing w:after="60"/>
        <w:jc w:val="both"/>
      </w:pPr>
      <w:r>
        <w:t xml:space="preserve">At the face, VEd = 539.2 kN against VRd,max = 1209.6 kN (cot θ = 2), so η = 0.446.</w:t>
      </w:r>
    </w:p>
    <w:p>
      <w:pPr>
        <w:pStyle w:val="ListParagraph"/>
        <w:numPr>
          <w:ilvl w:val="0"/>
          <w:numId w:val="3"/>
        </w:numPr>
        <w:spacing w:after="60"/>
        <w:jc w:val="both"/>
      </w:pPr>
      <w:r>
        <w:t xml:space="preserve">At d from the face, VEd = 443.2 kN. With z = 0.9d = 432 mm, fywd = 400 MPa and cot θ = 2, the shear steel is Asw/s = 443.2 kN/(0.432 m × 400 MPa × 2) = </w:t>
      </w:r>
      <w:r>
        <w:rPr>
          <w:b/>
          <w:bCs/>
        </w:rPr>
        <w:t xml:space="preserve">12.82 cm²/m</w:t>
      </w:r>
      <w:r>
        <w:t xml:space="preserve">.</w:t>
      </w:r>
    </w:p>
    <w:p>
      <w:pPr>
        <w:pStyle w:val="ListParagraph"/>
        <w:numPr>
          <w:ilvl w:val="0"/>
          <w:numId w:val="3"/>
        </w:numPr>
        <w:spacing w:after="60"/>
        <w:jc w:val="both"/>
      </w:pPr>
      <w:r>
        <w:t xml:space="preserve">The plates hang 176.9 kN/m from the two ledges, which needs 176.9 kN/m / 434.78 MPa = </w:t>
      </w:r>
      <w:r>
        <w:rPr>
          <w:b/>
          <w:bCs/>
        </w:rPr>
        <w:t xml:space="preserve">4.07 cm²/m</w:t>
      </w:r>
      <w:r>
        <w:t xml:space="preserve">.</w:t>
      </w:r>
    </w:p>
    <w:p>
      <w:pPr>
        <w:pStyle w:val="ListParagraph"/>
        <w:numPr>
          <w:ilvl w:val="0"/>
          <w:numId w:val="3"/>
        </w:numPr>
        <w:spacing w:after="60"/>
        <w:jc w:val="both"/>
      </w:pPr>
      <w:r>
        <w:t xml:space="preserve">The total, 16.89 cm²/m, compares with 3 legs Ø10 at 100 mm = 23.56 cm²/m, so </w:t>
      </w:r>
      <w:r>
        <w:rPr>
          <w:b/>
          <w:bCs/>
        </w:rPr>
        <w:t xml:space="preserve">η = 0.717</w:t>
      </w:r>
      <w:r>
        <w:t xml:space="preserve">. The shear-only check gives VRd,s = 814.3 kN, η = 0.544.</w:t>
      </w:r>
    </w:p>
    <w:p>
      <w:pPr>
        <w:spacing w:after="120"/>
        <w:jc w:val="both"/>
      </w:pPr>
      <w:r>
        <w:t xml:space="preserve">In the CYPE case (θ = 45°) the same beam gives VRd,s = 407.15 kN against VEd = 390.18 kN at 0.488 m, so η = 0.958, exactly as Anejo 10 prints. The optimum strut angle halves the link demand for shear. The suspension steel, which CYPECAD does not check, uses part of that margin.</w:t>
      </w:r>
    </w:p>
    <w:p>
      <w:pPr>
        <w:spacing w:after="120"/>
        <w:jc w:val="both"/>
      </w:pPr>
      <w:r>
        <w:t xml:space="preserve">The detailing checks also pass: ρw,min·bw = 4.73 cm²/m, and spacing 100 mm ≤ 0.75d = 360 mm, both along the beam and between legs. The maximum shear η over all transverse beams is 0.72 (inner) and 0.48 (end). The extra longitudinal tension from shear, ΔFtd = 0.5·VEd·cot θ (6.18), is discussed in §6.9.</w:t>
      </w:r>
    </w:p>
    <w:p>
      <w:pPr>
        <w:pStyle w:val="Heading2"/>
      </w:pPr>
      <w:r>
        <w:t xml:space="preserve">6.4 Torsion</w:t>
      </w:r>
    </w:p>
    <w:p>
      <w:pPr>
        <w:spacing w:after="120"/>
        <w:jc w:val="both"/>
      </w:pPr>
      <w:r>
        <w:t xml:space="preserve">The end beams carry </w:t>
      </w:r>
      <w:r>
        <w:rPr>
          <w:b/>
          <w:bCs/>
        </w:rPr>
        <w:t xml:space="preserve">equilibrium torsion</w:t>
      </w:r>
      <w:r>
        <w:t xml:space="preserve"> from their single ledge and from the SAP torque, so torsion is part of their verdict (A19.6.3). In the inner beams the SAP torque is </w:t>
      </w:r>
      <w:r>
        <w:rPr>
          <w:b/>
          <w:bCs/>
        </w:rPr>
        <w:t xml:space="preserve">compatibility torsion</w:t>
      </w:r>
      <w:r>
        <w:t xml:space="preserve">, which A19.6.3.1(2) allows to be neglected at ULS. It is reported as information only (0.75–0.88).</w:t>
      </w:r>
    </w:p>
    <w:p>
      <w:pPr>
        <w:keepLines/>
        <w:tabs>
          <w:tab w:val="right" w:pos="9026"/>
        </w:tabs>
        <w:spacing w:after="120" w:before="80"/>
        <w:ind w:left="567"/>
        <w:jc w:val="left"/>
      </w:pPr>
      <w:r>
        <w:rPr>
          <w:rFonts w:ascii="Cambria Math" w:cs="Cambria Math" w:eastAsia="Cambria Math" w:hAnsi="Cambria Math"/>
          <w:i/>
          <w:iCs/>
        </w:rPr>
        <w:t xml:space="preserve">ΣAsl,T = TEd·uk·cot θ / (2·Ak·fyd) ;   TEd/TRd,max + VEd/VRd,max ≤ 1</w:t>
      </w:r>
      <w:r>
        <w:rPr>
          <w:rFonts w:ascii="Cambria Math" w:cs="Cambria Math" w:eastAsia="Cambria Math" w:hAnsi="Cambria Math"/>
        </w:rPr>
        <w:t xml:space="preserve">	(12)</w:t>
      </w:r>
    </w:p>
    <w:p>
      <w:pPr>
        <w:spacing w:after="120"/>
        <w:jc w:val="both"/>
      </w:pPr>
      <w:r>
        <w:t xml:space="preserve">TRd,max = 2·ν·αcw·fcd·Ak·tef·sin θ·cos θ, with ν = 0.6(1 − fck/250) = 0.516 and tef = A/u. Ak and uk are the area and perimeter enclosed by the wall centre line. The link demand per hoop leg is Asw,V/(n·s) + TEd/(2·Ak·fyd·cot θ). The longitudinal torsion steel of the tension chord adds to the bending demand:</w:t>
      </w:r>
    </w:p>
    <w:p>
      <w:pPr>
        <w:keepLines/>
        <w:tabs>
          <w:tab w:val="right" w:pos="9026"/>
        </w:tabs>
        <w:spacing w:after="120" w:before="80"/>
        <w:ind w:left="567"/>
        <w:jc w:val="left"/>
      </w:pPr>
      <w:r>
        <w:rPr>
          <w:rFonts w:ascii="Cambria Math" w:cs="Cambria Math" w:eastAsia="Cambria Math" w:hAnsi="Cambria Math"/>
          <w:i/>
          <w:iCs/>
        </w:rPr>
        <w:t xml:space="preserve">ηchord = MEd/MRd + ΣAsl,T·(bk/uk) / As ≤ 1</w:t>
      </w:r>
      <w:r>
        <w:rPr>
          <w:rFonts w:ascii="Cambria Math" w:cs="Cambria Math" w:eastAsia="Cambria Math" w:hAnsi="Cambria Math"/>
        </w:rPr>
        <w:t xml:space="preserve">	(13)</w:t>
      </w:r>
    </w:p>
    <w:p>
      <w:pPr>
        <w:spacing w:after="120"/>
        <w:jc w:val="both"/>
      </w:pPr>
      <w:r>
        <w:rPr>
          <w:b/>
          <w:bCs/>
        </w:rPr>
        <w:t xml:space="preserve">VT1 (axis 1), sea-pile face, ELR08.</w:t>
      </w:r>
      <w:r>
        <w:t xml:space="preserve"> MEd = −316.3 kN·m, so M/MRd = 0.873. TEd = 26.5 kN·m, and ΣAsl,T = 5.06 cm², whose top-chord share adds 0.10. The result is </w:t>
      </w:r>
      <w:r>
        <w:rPr>
          <w:b/>
          <w:bCs/>
        </w:rPr>
        <w:t xml:space="preserve">ηchord = 0.973</w:t>
      </w:r>
      <w:r>
        <w:t xml:space="preserve">, the governing check of the end beams. The interaction TEd/TRd,max + VEd/VRd,max = 0.254 and the link demand per leg (0.54) also pass. VT7 gives ηchord = 0.906.</w:t>
      </w:r>
    </w:p>
    <w:p>
      <w:pPr>
        <w:pBdr>
          <w:left w:val="single" w:color="1F4E79" w:sz="18" w:space="8"/>
        </w:pBdr>
        <w:shd w:fill="EEF3F8" w:color="auto" w:val="clear"/>
        <w:spacing w:after="160" w:before="80"/>
        <w:ind w:left="284"/>
        <w:jc w:val="both"/>
      </w:pPr>
      <w:r>
        <w:rPr>
          <w:b/>
          <w:bCs/>
        </w:rPr>
        <w:t xml:space="preserve">Decision F4 — end beams (sensitivity).</w:t>
      </w:r>
      <w:r>
        <w:t xml:space="preserve"> CYPECAD states that the hollow-core plates bear at the pile axis, and neither SAP nor CYPECAD models them on the ledge. Suppose instead they bear on the single ledge, about 0.42 m from the pile axis. Their reaction then adds an equilibrium torque of about 56–61 kN·m at the pile faces (T = q·Lp/2·e·L/2 for 1.35G + 1.5Qa). At VT1 the total torque becomes TEd = 82.5 kN·m, ΣAsl,T = 15.76 cm² and ηchord = 1.18 (VT7: 1.12). The recommendation is to verify the bearing detail. If the plates do bear on the ledge, use top 4Ø25 (19.63 cm²) instead of 5Ø20, which gives η = 0.982. The provided design passes (0.973) on the modelled load path.</w:t>
      </w:r>
    </w:p>
    <w:p>
      <w:pPr>
        <w:pStyle w:val="Heading2"/>
      </w:pPr>
      <w:r>
        <w:t xml:space="preserve">6.5 Crack control</w:t>
      </w:r>
    </w:p>
    <w:p>
      <w:pPr>
        <w:spacing w:after="120"/>
        <w:jc w:val="both"/>
      </w:pPr>
      <w:r>
        <w:t xml:space="preserve">The check has three steps:</w:t>
      </w:r>
    </w:p>
    <w:p>
      <w:pPr>
        <w:pStyle w:val="ListParagraph"/>
        <w:numPr>
          <w:ilvl w:val="0"/>
          <w:numId w:val="6"/>
        </w:numPr>
        <w:spacing w:after="60"/>
        <w:jc w:val="both"/>
      </w:pPr>
      <w:r>
        <w:rPr>
          <w:b/>
          <w:bCs/>
        </w:rPr>
        <w:t xml:space="preserve">Quasi-permanent moment:</w:t>
      </w:r>
      <w:r>
        <w:t xml:space="preserve"> M_qp = M(G) + ψ2,Qa·M(Qa), with the bollard at ψ2 = 0.</w:t>
      </w:r>
    </w:p>
    <w:p>
      <w:pPr>
        <w:pStyle w:val="ListParagraph"/>
        <w:numPr>
          <w:ilvl w:val="0"/>
          <w:numId w:val="6"/>
        </w:numPr>
        <w:spacing w:after="60"/>
        <w:jc w:val="both"/>
      </w:pPr>
      <w:r>
        <w:rPr>
          <w:b/>
          <w:bCs/>
        </w:rPr>
        <w:t xml:space="preserve">Uncracked criterion</w:t>
      </w:r>
      <w:r>
        <w:t xml:space="preserve"> (A19.7.1(2)): on the homogenised section (αe = 6.52), σct = M_qp·(h − yc)/Ihom ≤ fct,eff = fctm. If this holds, wk = 0 and the check passes.</w:t>
      </w:r>
    </w:p>
    <w:p>
      <w:pPr>
        <w:pStyle w:val="ListParagraph"/>
        <w:numPr>
          <w:ilvl w:val="0"/>
          <w:numId w:val="6"/>
        </w:numPr>
        <w:spacing w:after="60"/>
        <w:jc w:val="both"/>
      </w:pPr>
      <w:r>
        <w:rPr>
          <w:b/>
          <w:bCs/>
        </w:rPr>
        <w:t xml:space="preserve">Cracked section:</w:t>
      </w:r>
      <w:r>
        <w:t xml:space="preserve"> σs comes from the fully cracked elastic section. Then (A19.7.3.4):</w:t>
      </w:r>
    </w:p>
    <w:p>
      <w:pPr>
        <w:keepLines/>
        <w:tabs>
          <w:tab w:val="right" w:pos="9026"/>
        </w:tabs>
        <w:spacing w:after="120" w:before="80"/>
        <w:ind w:left="567"/>
        <w:jc w:val="left"/>
      </w:pPr>
      <w:r>
        <w:rPr>
          <w:rFonts w:ascii="Cambria Math" w:cs="Cambria Math" w:eastAsia="Cambria Math" w:hAnsi="Cambria Math"/>
          <w:i/>
          <w:iCs/>
        </w:rPr>
        <w:t xml:space="preserve">wk = sr,max·(εsm − εcm)</w:t>
      </w:r>
      <w:r>
        <w:rPr>
          <w:rFonts w:ascii="Cambria Math" w:cs="Cambria Math" w:eastAsia="Cambria Math" w:hAnsi="Cambria Math"/>
        </w:rPr>
        <w:t xml:space="preserve">	(14)</w:t>
      </w:r>
    </w:p>
    <w:p>
      <w:pPr>
        <w:keepLines/>
        <w:tabs>
          <w:tab w:val="right" w:pos="9026"/>
        </w:tabs>
        <w:spacing w:after="120" w:before="80"/>
        <w:ind w:left="567"/>
        <w:jc w:val="left"/>
      </w:pPr>
      <w:r>
        <w:rPr>
          <w:rFonts w:ascii="Cambria Math" w:cs="Cambria Math" w:eastAsia="Cambria Math" w:hAnsi="Cambria Math"/>
          <w:i/>
          <w:iCs/>
        </w:rPr>
        <w:t xml:space="preserve">εsm − εcm = [σs − kt·fct,eff/ρp,eff·(1 + αe·ρp,eff)] / Es ≥ 0.6·σs/Es</w:t>
      </w:r>
      <w:r>
        <w:rPr>
          <w:rFonts w:ascii="Cambria Math" w:cs="Cambria Math" w:eastAsia="Cambria Math" w:hAnsi="Cambria Math"/>
        </w:rPr>
        <w:t xml:space="preserve">	(15)</w:t>
      </w:r>
    </w:p>
    <w:p>
      <w:pPr>
        <w:keepLines/>
        <w:tabs>
          <w:tab w:val="right" w:pos="9026"/>
        </w:tabs>
        <w:spacing w:after="120" w:before="80"/>
        <w:ind w:left="567"/>
        <w:jc w:val="left"/>
      </w:pPr>
      <w:r>
        <w:rPr>
          <w:rFonts w:ascii="Cambria Math" w:cs="Cambria Math" w:eastAsia="Cambria Math" w:hAnsi="Cambria Math"/>
          <w:i/>
          <w:iCs/>
        </w:rPr>
        <w:t xml:space="preserve">sr,max = k3·c + k1·k2·k4·Ø / ρp,eff</w:t>
      </w:r>
      <w:r>
        <w:rPr>
          <w:rFonts w:ascii="Cambria Math" w:cs="Cambria Math" w:eastAsia="Cambria Math" w:hAnsi="Cambria Math"/>
        </w:rPr>
        <w:t xml:space="preserve">	(16)</w:t>
      </w:r>
    </w:p>
    <w:p>
      <w:pPr>
        <w:spacing w:after="120"/>
        <w:jc w:val="both"/>
      </w:pPr>
      <w:r>
        <w:t xml:space="preserve">with kt = 0.4, k1 = 0.8, k2 = 0.5, k3 = 3.4, k4 = 0.425, c = 60 mm, ρp,eff = As/Ac,eff, Ac,eff = b·hc,ef and hc,ef = min{2.5(h − d), (h − x)/3, h/2}.</w:t>
      </w:r>
    </w:p>
    <w:p>
      <w:pPr>
        <w:spacing w:after="120"/>
        <w:jc w:val="both"/>
      </w:pPr>
      <w:r>
        <w:rPr>
          <w:b/>
          <w:bCs/>
        </w:rPr>
        <w:t xml:space="preserve">Worked example: VT2 (axis 2), span, ψ2,Qa = 0.8, provided bottom 7Ø20.</w:t>
      </w:r>
    </w:p>
    <w:p>
      <w:pPr>
        <w:pStyle w:val="ListParagraph"/>
        <w:numPr>
          <w:ilvl w:val="0"/>
          <w:numId w:val="3"/>
        </w:numPr>
        <w:spacing w:after="60"/>
        <w:jc w:val="both"/>
      </w:pPr>
      <w:r>
        <w:t xml:space="preserve">M_qp = 151.9 kN·m exceeds Mcr = 125.2 kN·m: σct = 3.89 MPa &gt; fctm = 3.21 MPa, so the section is cracked.</w:t>
      </w:r>
    </w:p>
    <w:p>
      <w:pPr>
        <w:pStyle w:val="ListParagraph"/>
        <w:numPr>
          <w:ilvl w:val="0"/>
          <w:numId w:val="3"/>
        </w:numPr>
        <w:spacing w:after="60"/>
        <w:jc w:val="both"/>
      </w:pPr>
      <w:r>
        <w:t xml:space="preserve">Cracked section: x = 136.0 mm and σs = 153.0 MPa; ρp,eff = 0.0199.</w:t>
      </w:r>
    </w:p>
    <w:p>
      <w:pPr>
        <w:pStyle w:val="ListParagraph"/>
        <w:numPr>
          <w:ilvl w:val="0"/>
          <w:numId w:val="3"/>
        </w:numPr>
        <w:spacing w:after="60"/>
        <w:jc w:val="both"/>
      </w:pPr>
      <w:r>
        <w:t xml:space="preserve">sr,max = 3.4 × 60 + 0.8 × 0.5 × 0.425 × 20/0.0199 = 374.7 mm.</w:t>
      </w:r>
    </w:p>
    <w:p>
      <w:pPr>
        <w:pStyle w:val="ListParagraph"/>
        <w:numPr>
          <w:ilvl w:val="0"/>
          <w:numId w:val="3"/>
        </w:numPr>
        <w:spacing w:after="60"/>
        <w:jc w:val="both"/>
      </w:pPr>
      <w:r>
        <w:t xml:space="preserve">εsm − εcm = [153.0 − 0.4 × 3.21/0.0199 × (1 + 6.52 × 0.0199)]/200 000 = 0.40 ‰. This is below the floor 0.6 × 153.0/200 000 = 0.459 ‰, so the floor governs.</w:t>
      </w:r>
    </w:p>
    <w:p>
      <w:pPr>
        <w:pStyle w:val="ListParagraph"/>
        <w:numPr>
          <w:ilvl w:val="0"/>
          <w:numId w:val="3"/>
        </w:numPr>
        <w:spacing w:after="60"/>
        <w:jc w:val="both"/>
      </w:pPr>
      <w:r>
        <w:t xml:space="preserve">wk = 374.7 × 0.000459 = </w:t>
      </w:r>
      <w:r>
        <w:rPr>
          <w:b/>
          <w:bCs/>
        </w:rPr>
        <w:t xml:space="preserve">0.172 mm &gt; 0.1 mm</w:t>
      </w:r>
      <w:r>
        <w:t xml:space="preserve"> (η = 1.72).</w:t>
      </w:r>
    </w:p>
    <w:p>
      <w:pPr>
        <w:spacing w:after="120"/>
        <w:jc w:val="both"/>
      </w:pPr>
      <w:r>
        <w:t xml:space="preserve">Once the section has cracked, even at M = Mcr, the floor of the εsm − εcm expression makes wk ≈ 0.14–0.15 mm with 7Ø20. With that steel, the XS3 limit can only be met by keeping the section uncracked. The largest ψ2,Qa for which each beam stays uncracked is therefore its threshold (Table 19).</w:t>
      </w:r>
    </w:p>
    <w:p>
      <w:pPr>
        <w:keepNext/>
        <w:spacing w:after="80" w:before="160"/>
        <w:jc w:val="center"/>
      </w:pPr>
      <w:r>
        <w:rPr>
          <w:i/>
          <w:iCs/>
          <w:color w:val="404040"/>
          <w:sz w:val="18"/>
          <w:szCs w:val="18"/>
        </w:rPr>
        <w:t xml:space="preserve">Table 19 – Cracking thresholds with the Anejo 10 reinforcement (bollard ψ2 =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900"/>
        <w:gridCol w:w="1250"/>
        <w:gridCol w:w="1250"/>
        <w:gridCol w:w="1300"/>
        <w:gridCol w:w="1050"/>
        <w:gridCol w:w="1076"/>
      </w:tblGrid>
      <w:tr>
        <w:trPr>
          <w:cantSplit/>
          <w:tblHeader/>
        </w:trPr>
        <w:tc>
          <w:tcPr>
            <w:tcW w:type="dxa" w:w="1100"/>
            <w:tcBorders>
              <w:top w:val="single" w:color="A6A6A6" w:sz="4"/>
              <w:left w:val="single" w:color="A6A6A6" w:sz="4"/>
              <w:bottom w:val="single" w:color="A6A6A6" w:sz="4"/>
              <w:right w:val="single" w:color="A6A6A6" w:sz="4"/>
            </w:tcBorders>
            <w:shd w:fill="1F4E79" w:color="auto" w:val="clear"/>
            <w:tcMar>
              <w:top w:type="dxa" w:w="50"/>
              <w:left w:type="dxa" w:w="60"/>
              <w:bottom w:type="dxa" w:w="50"/>
              <w:right w:type="dxa" w:w="60"/>
            </w:tcMar>
            <w:vAlign w:val="center"/>
          </w:tcPr>
          <w:p>
            <w:pPr>
              <w:keepNext/>
              <w:jc w:val="left"/>
            </w:pPr>
            <w:r>
              <w:rPr>
                <w:b/>
                <w:bCs/>
                <w:color w:val="FFFFFF"/>
                <w:sz w:val="17"/>
                <w:szCs w:val="17"/>
              </w:rPr>
              <w:t xml:space="preserve">Member</w:t>
            </w:r>
          </w:p>
        </w:tc>
        <w:tc>
          <w:tcPr>
            <w:tcW w:type="dxa" w:w="1100"/>
            <w:tcBorders>
              <w:top w:val="single" w:color="A6A6A6" w:sz="4"/>
              <w:left w:val="single" w:color="A6A6A6" w:sz="4"/>
              <w:bottom w:val="single" w:color="A6A6A6" w:sz="4"/>
              <w:right w:val="single" w:color="A6A6A6" w:sz="4"/>
            </w:tcBorders>
            <w:shd w:fill="1F4E79" w:color="auto" w:val="clear"/>
            <w:tcMar>
              <w:top w:type="dxa" w:w="50"/>
              <w:left w:type="dxa" w:w="60"/>
              <w:bottom w:type="dxa" w:w="50"/>
              <w:right w:type="dxa" w:w="60"/>
            </w:tcMar>
            <w:vAlign w:val="center"/>
          </w:tcPr>
          <w:p>
            <w:pPr>
              <w:keepNext/>
              <w:jc w:val="center"/>
            </w:pPr>
            <w:r>
              <w:rPr>
                <w:b/>
                <w:bCs/>
                <w:color w:val="FFFFFF"/>
                <w:sz w:val="17"/>
                <w:szCs w:val="17"/>
              </w:rPr>
              <w:t xml:space="preserve">Face</w:t>
            </w:r>
          </w:p>
        </w:tc>
        <w:tc>
          <w:tcPr>
            <w:tcW w:type="dxa" w:w="900"/>
            <w:tcBorders>
              <w:top w:val="single" w:color="A6A6A6" w:sz="4"/>
              <w:left w:val="single" w:color="A6A6A6" w:sz="4"/>
              <w:bottom w:val="single" w:color="A6A6A6" w:sz="4"/>
              <w:right w:val="single" w:color="A6A6A6" w:sz="4"/>
            </w:tcBorders>
            <w:shd w:fill="1F4E79" w:color="auto" w:val="clear"/>
            <w:tcMar>
              <w:top w:type="dxa" w:w="50"/>
              <w:left w:type="dxa" w:w="60"/>
              <w:bottom w:type="dxa" w:w="50"/>
              <w:right w:type="dxa" w:w="60"/>
            </w:tcMar>
            <w:vAlign w:val="center"/>
          </w:tcPr>
          <w:p>
            <w:pPr>
              <w:keepNext/>
              <w:jc w:val="center"/>
            </w:pPr>
            <w:r>
              <w:rPr>
                <w:b/>
                <w:bCs/>
                <w:color w:val="FFFFFF"/>
                <w:sz w:val="17"/>
                <w:szCs w:val="17"/>
              </w:rPr>
              <w:t xml:space="preserve">Mcr (kN·m)</w:t>
            </w:r>
          </w:p>
        </w:tc>
        <w:tc>
          <w:tcPr>
            <w:tcW w:type="dxa" w:w="1250"/>
            <w:tcBorders>
              <w:top w:val="single" w:color="A6A6A6" w:sz="4"/>
              <w:left w:val="single" w:color="A6A6A6" w:sz="4"/>
              <w:bottom w:val="single" w:color="A6A6A6" w:sz="4"/>
              <w:right w:val="single" w:color="A6A6A6" w:sz="4"/>
            </w:tcBorders>
            <w:shd w:fill="1F4E79" w:color="auto" w:val="clear"/>
            <w:tcMar>
              <w:top w:type="dxa" w:w="50"/>
              <w:left w:type="dxa" w:w="60"/>
              <w:bottom w:type="dxa" w:w="50"/>
              <w:right w:type="dxa" w:w="60"/>
            </w:tcMar>
            <w:vAlign w:val="center"/>
          </w:tcPr>
          <w:p>
            <w:pPr>
              <w:keepNext/>
              <w:jc w:val="center"/>
            </w:pPr>
            <w:r>
              <w:rPr>
                <w:b/>
                <w:bCs/>
                <w:color w:val="FFFFFF"/>
                <w:sz w:val="17"/>
                <w:szCs w:val="17"/>
              </w:rPr>
              <w:t xml:space="preserve">M_qp at ψ2 0.3 (kN·m)</w:t>
            </w:r>
          </w:p>
        </w:tc>
        <w:tc>
          <w:tcPr>
            <w:tcW w:type="dxa" w:w="1250"/>
            <w:tcBorders>
              <w:top w:val="single" w:color="A6A6A6" w:sz="4"/>
              <w:left w:val="single" w:color="A6A6A6" w:sz="4"/>
              <w:bottom w:val="single" w:color="A6A6A6" w:sz="4"/>
              <w:right w:val="single" w:color="A6A6A6" w:sz="4"/>
            </w:tcBorders>
            <w:shd w:fill="1F4E79" w:color="auto" w:val="clear"/>
            <w:tcMar>
              <w:top w:type="dxa" w:w="50"/>
              <w:left w:type="dxa" w:w="60"/>
              <w:bottom w:type="dxa" w:w="50"/>
              <w:right w:type="dxa" w:w="60"/>
            </w:tcMar>
            <w:vAlign w:val="center"/>
          </w:tcPr>
          <w:p>
            <w:pPr>
              <w:keepNext/>
              <w:jc w:val="center"/>
            </w:pPr>
            <w:r>
              <w:rPr>
                <w:b/>
                <w:bCs/>
                <w:color w:val="FFFFFF"/>
                <w:sz w:val="17"/>
                <w:szCs w:val="17"/>
              </w:rPr>
              <w:t xml:space="preserve">M_qp at ψ2 0.8 (kN·m)</w:t>
            </w:r>
          </w:p>
        </w:tc>
        <w:tc>
          <w:tcPr>
            <w:tcW w:type="dxa" w:w="1300"/>
            <w:tcBorders>
              <w:top w:val="single" w:color="A6A6A6" w:sz="4"/>
              <w:left w:val="single" w:color="A6A6A6" w:sz="4"/>
              <w:bottom w:val="single" w:color="A6A6A6" w:sz="4"/>
              <w:right w:val="single" w:color="A6A6A6" w:sz="4"/>
            </w:tcBorders>
            <w:shd w:fill="1F4E79" w:color="auto" w:val="clear"/>
            <w:tcMar>
              <w:top w:type="dxa" w:w="50"/>
              <w:left w:type="dxa" w:w="60"/>
              <w:bottom w:type="dxa" w:w="50"/>
              <w:right w:type="dxa" w:w="60"/>
            </w:tcMar>
            <w:vAlign w:val="center"/>
          </w:tcPr>
          <w:p>
            <w:pPr>
              <w:keepNext/>
              <w:jc w:val="center"/>
            </w:pPr>
            <w:r>
              <w:rPr>
                <w:b/>
                <w:bCs/>
                <w:color w:val="FFFFFF"/>
                <w:sz w:val="17"/>
                <w:szCs w:val="17"/>
              </w:rPr>
              <w:t xml:space="preserve">ψ2 at first cracking (fctm)</w:t>
            </w:r>
          </w:p>
        </w:tc>
        <w:tc>
          <w:tcPr>
            <w:tcW w:type="dxa" w:w="1050"/>
            <w:tcBorders>
              <w:top w:val="single" w:color="A6A6A6" w:sz="4"/>
              <w:left w:val="single" w:color="A6A6A6" w:sz="4"/>
              <w:bottom w:val="single" w:color="A6A6A6" w:sz="4"/>
              <w:right w:val="single" w:color="A6A6A6" w:sz="4"/>
            </w:tcBorders>
            <w:shd w:fill="1F4E79" w:color="auto" w:val="clear"/>
            <w:tcMar>
              <w:top w:type="dxa" w:w="50"/>
              <w:left w:type="dxa" w:w="60"/>
              <w:bottom w:type="dxa" w:w="50"/>
              <w:right w:type="dxa" w:w="60"/>
            </w:tcMar>
            <w:vAlign w:val="center"/>
          </w:tcPr>
          <w:p>
            <w:pPr>
              <w:keepNext/>
              <w:jc w:val="center"/>
            </w:pPr>
            <w:r>
              <w:rPr>
                <w:b/>
                <w:bCs/>
                <w:color w:val="FFFFFF"/>
                <w:sz w:val="17"/>
                <w:szCs w:val="17"/>
              </w:rPr>
              <w:t xml:space="preserve">Same with fctm,fl</w:t>
            </w:r>
          </w:p>
        </w:tc>
        <w:tc>
          <w:tcPr>
            <w:tcW w:type="dxa" w:w="1076"/>
            <w:tcBorders>
              <w:top w:val="single" w:color="A6A6A6" w:sz="4"/>
              <w:left w:val="single" w:color="A6A6A6" w:sz="4"/>
              <w:bottom w:val="single" w:color="A6A6A6" w:sz="4"/>
              <w:right w:val="single" w:color="A6A6A6" w:sz="4"/>
            </w:tcBorders>
            <w:shd w:fill="1F4E79" w:color="auto" w:val="clear"/>
            <w:tcMar>
              <w:top w:type="dxa" w:w="50"/>
              <w:left w:type="dxa" w:w="60"/>
              <w:bottom w:type="dxa" w:w="50"/>
              <w:right w:type="dxa" w:w="60"/>
            </w:tcMar>
            <w:vAlign w:val="center"/>
          </w:tcPr>
          <w:p>
            <w:pPr>
              <w:keepNext/>
              <w:jc w:val="center"/>
            </w:pPr>
            <w:r>
              <w:rPr>
                <w:b/>
                <w:bCs/>
                <w:color w:val="FFFFFF"/>
                <w:sz w:val="17"/>
                <w:szCs w:val="17"/>
              </w:rPr>
              <w:t xml:space="preserve">wk at ψ2 0.8 (mm)</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left"/>
            </w:pPr>
            <w:r>
              <w:rPr>
                <w:sz w:val="17"/>
                <w:szCs w:val="17"/>
              </w:rPr>
              <w:t xml:space="preserve">VT2, VT6</w:t>
            </w:r>
          </w:p>
        </w:tc>
        <w:tc>
          <w:tcPr>
            <w:tcW w:type="dxa" w:w="11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bottom</w:t>
            </w:r>
          </w:p>
        </w:tc>
        <w:tc>
          <w:tcPr>
            <w:tcW w:type="dxa" w:w="9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125.2</w:t>
            </w:r>
          </w:p>
        </w:tc>
        <w:tc>
          <w:tcPr>
            <w:tcW w:type="dxa" w:w="12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90.4</w:t>
            </w:r>
          </w:p>
        </w:tc>
        <w:tc>
          <w:tcPr>
            <w:tcW w:type="dxa" w:w="12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151.9</w:t>
            </w:r>
          </w:p>
        </w:tc>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b/>
                <w:bCs/>
                <w:sz w:val="17"/>
                <w:szCs w:val="17"/>
              </w:rPr>
              <w:t xml:space="preserve">0.583</w:t>
            </w:r>
          </w:p>
        </w:tc>
        <w:tc>
          <w:tcPr>
            <w:tcW w:type="dxa" w:w="10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0.634</w:t>
            </w:r>
          </w:p>
        </w:tc>
        <w:tc>
          <w:tcPr>
            <w:tcW w:type="dxa" w:w="1076"/>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b/>
                <w:bCs/>
                <w:color w:val="C00000"/>
                <w:sz w:val="17"/>
                <w:szCs w:val="17"/>
              </w:rPr>
              <w:t xml:space="preserve">0.172</w:t>
            </w:r>
          </w:p>
        </w:tc>
      </w:tr>
      <w:tr>
        <w:trPr>
          <w:cantSplit/>
        </w:trPr>
        <w:tc>
          <w:tcPr>
            <w:tcW w:type="dxa" w:w="11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left"/>
            </w:pPr>
            <w:r>
              <w:rPr>
                <w:sz w:val="17"/>
                <w:szCs w:val="17"/>
              </w:rPr>
              <w:t xml:space="preserve">VT3, VT5</w:t>
            </w:r>
          </w:p>
        </w:tc>
        <w:tc>
          <w:tcPr>
            <w:tcW w:type="dxa" w:w="11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bottom</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125.2</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81.7</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136.8</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0.695</w:t>
            </w:r>
          </w:p>
        </w:tc>
        <w:tc>
          <w:tcPr>
            <w:tcW w:type="dxa" w:w="10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0.751</w:t>
            </w:r>
          </w:p>
        </w:tc>
        <w:tc>
          <w:tcPr>
            <w:tcW w:type="dxa" w:w="1076"/>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b/>
                <w:bCs/>
                <w:color w:val="C00000"/>
                <w:sz w:val="17"/>
                <w:szCs w:val="17"/>
              </w:rPr>
              <w:t xml:space="preserve">0.155</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left"/>
            </w:pPr>
            <w:r>
              <w:rPr>
                <w:sz w:val="17"/>
                <w:szCs w:val="17"/>
              </w:rPr>
              <w:t xml:space="preserve">VT4</w:t>
            </w:r>
          </w:p>
        </w:tc>
        <w:tc>
          <w:tcPr>
            <w:tcW w:type="dxa" w:w="11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bottom</w:t>
            </w:r>
          </w:p>
        </w:tc>
        <w:tc>
          <w:tcPr>
            <w:tcW w:type="dxa" w:w="9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125.2</w:t>
            </w:r>
          </w:p>
        </w:tc>
        <w:tc>
          <w:tcPr>
            <w:tcW w:type="dxa" w:w="12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83.4</w:t>
            </w:r>
          </w:p>
        </w:tc>
        <w:tc>
          <w:tcPr>
            <w:tcW w:type="dxa" w:w="12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139.8</w:t>
            </w:r>
          </w:p>
        </w:tc>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0.671</w:t>
            </w:r>
          </w:p>
        </w:tc>
        <w:tc>
          <w:tcPr>
            <w:tcW w:type="dxa" w:w="10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sz w:val="17"/>
                <w:szCs w:val="17"/>
              </w:rPr>
              <w:t xml:space="preserve">0.726</w:t>
            </w:r>
          </w:p>
        </w:tc>
        <w:tc>
          <w:tcPr>
            <w:tcW w:type="dxa" w:w="1076"/>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jc w:val="center"/>
            </w:pPr>
            <w:r>
              <w:rPr>
                <w:b/>
                <w:bCs/>
                <w:color w:val="C00000"/>
                <w:sz w:val="17"/>
                <w:szCs w:val="17"/>
              </w:rPr>
              <w:t xml:space="preserve">0.158</w:t>
            </w:r>
          </w:p>
        </w:tc>
      </w:tr>
      <w:tr>
        <w:trPr>
          <w:cantSplit/>
        </w:trPr>
        <w:tc>
          <w:tcPr>
            <w:tcW w:type="dxa" w:w="11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left"/>
            </w:pPr>
            <w:r>
              <w:rPr>
                <w:sz w:val="17"/>
                <w:szCs w:val="17"/>
              </w:rPr>
              <w:t xml:space="preserve">VT1, VT7</w:t>
            </w:r>
          </w:p>
        </w:tc>
        <w:tc>
          <w:tcPr>
            <w:tcW w:type="dxa" w:w="11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bottom</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157.0</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48.0</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76.1</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uncracked</w:t>
            </w:r>
          </w:p>
        </w:tc>
        <w:tc>
          <w:tcPr>
            <w:tcW w:type="dxa" w:w="1050"/>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w:t>
            </w:r>
          </w:p>
        </w:tc>
        <w:tc>
          <w:tcPr>
            <w:tcW w:type="dxa" w:w="1076"/>
            <w:tcBorders>
              <w:top w:val="single" w:color="A6A6A6" w:sz="4"/>
              <w:left w:val="single" w:color="A6A6A6" w:sz="4"/>
              <w:bottom w:val="single" w:color="A6A6A6" w:sz="4"/>
              <w:right w:val="single" w:color="A6A6A6" w:sz="4"/>
            </w:tcBorders>
            <w:shd w:fill="F2F2F2" w:color="auto" w:val="clear"/>
            <w:tcMar>
              <w:top w:type="dxa" w:w="50"/>
              <w:left w:type="dxa" w:w="60"/>
              <w:bottom w:type="dxa" w:w="50"/>
              <w:right w:type="dxa" w:w="60"/>
            </w:tcMar>
            <w:vAlign w:val="center"/>
          </w:tcPr>
          <w:p>
            <w:pPr>
              <w:keepNext/>
              <w:jc w:val="center"/>
            </w:pPr>
            <w:r>
              <w:rPr>
                <w:sz w:val="17"/>
                <w:szCs w:val="17"/>
              </w:rPr>
              <w:t xml:space="preserve">0</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val="false"/>
              <w:jc w:val="left"/>
            </w:pPr>
            <w:r>
              <w:rPr>
                <w:sz w:val="17"/>
                <w:szCs w:val="17"/>
              </w:rPr>
              <w:t xml:space="preserve">VBM, VBT</w:t>
            </w:r>
          </w:p>
        </w:tc>
        <w:tc>
          <w:tcPr>
            <w:tcW w:type="dxa" w:w="11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val="false"/>
              <w:jc w:val="center"/>
            </w:pPr>
            <w:r>
              <w:rPr>
                <w:sz w:val="17"/>
                <w:szCs w:val="17"/>
              </w:rPr>
              <w:t xml:space="preserve">top (support)</w:t>
            </w:r>
          </w:p>
        </w:tc>
        <w:tc>
          <w:tcPr>
            <w:tcW w:type="dxa" w:w="9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val="false"/>
              <w:jc w:val="center"/>
            </w:pPr>
            <w:r>
              <w:rPr>
                <w:sz w:val="17"/>
                <w:szCs w:val="17"/>
              </w:rPr>
              <w:t xml:space="preserve">12.7</w:t>
            </w:r>
          </w:p>
        </w:tc>
        <w:tc>
          <w:tcPr>
            <w:tcW w:type="dxa" w:w="12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val="false"/>
              <w:jc w:val="center"/>
            </w:pPr>
            <w:r>
              <w:rPr>
                <w:sz w:val="17"/>
                <w:szCs w:val="17"/>
              </w:rPr>
              <w:t xml:space="preserve">−13.5 / −13.6</w:t>
            </w:r>
          </w:p>
        </w:tc>
        <w:tc>
          <w:tcPr>
            <w:tcW w:type="dxa" w:w="12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val="false"/>
              <w:jc w:val="center"/>
            </w:pPr>
            <w:r>
              <w:rPr>
                <w:sz w:val="17"/>
                <w:szCs w:val="17"/>
              </w:rPr>
              <w:t xml:space="preserve">−22.2 / −22.3</w:t>
            </w:r>
          </w:p>
        </w:tc>
        <w:tc>
          <w:tcPr>
            <w:tcW w:type="dxa" w:w="130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val="false"/>
              <w:jc w:val="center"/>
            </w:pPr>
            <w:r>
              <w:rPr>
                <w:sz w:val="17"/>
                <w:szCs w:val="17"/>
              </w:rPr>
              <w:t xml:space="preserve">0.252 / 0.249</w:t>
            </w:r>
          </w:p>
        </w:tc>
        <w:tc>
          <w:tcPr>
            <w:tcW w:type="dxa" w:w="1050"/>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val="false"/>
              <w:jc w:val="center"/>
            </w:pPr>
            <w:r>
              <w:rPr>
                <w:sz w:val="17"/>
                <w:szCs w:val="17"/>
              </w:rPr>
              <w:t xml:space="preserve">0.473 / 0.468</w:t>
            </w:r>
          </w:p>
        </w:tc>
        <w:tc>
          <w:tcPr>
            <w:tcW w:type="dxa" w:w="1076"/>
            <w:tcBorders>
              <w:top w:val="single" w:color="A6A6A6" w:sz="4"/>
              <w:left w:val="single" w:color="A6A6A6" w:sz="4"/>
              <w:bottom w:val="single" w:color="A6A6A6" w:sz="4"/>
              <w:right w:val="single" w:color="A6A6A6" w:sz="4"/>
            </w:tcBorders>
            <w:tcMar>
              <w:top w:type="dxa" w:w="50"/>
              <w:left w:type="dxa" w:w="60"/>
              <w:bottom w:type="dxa" w:w="50"/>
              <w:right w:type="dxa" w:w="60"/>
            </w:tcMar>
            <w:vAlign w:val="center"/>
          </w:tcPr>
          <w:p>
            <w:pPr>
              <w:keepNext w:val="false"/>
              <w:jc w:val="center"/>
            </w:pPr>
            <w:r>
              <w:rPr>
                <w:b/>
                <w:bCs/>
                <w:color w:val="C00000"/>
                <w:sz w:val="17"/>
                <w:szCs w:val="17"/>
              </w:rPr>
              <w:t xml:space="preserve">0.306 / 0.308</w:t>
            </w:r>
          </w:p>
        </w:tc>
      </w:tr>
    </w:tbl>
    <w:p>
      <w:pPr>
        <w:spacing w:after="80"/>
      </w:pPr>
    </w:p>
    <w:p>
      <w:pPr>
        <w:pBdr>
          <w:left w:val="single" w:color="1F4E79" w:sz="18" w:space="8"/>
        </w:pBdr>
        <w:shd w:fill="EEF3F8" w:color="auto" w:val="clear"/>
        <w:spacing w:after="160" w:before="80"/>
        <w:ind w:left="284"/>
        <w:jc w:val="both"/>
      </w:pPr>
      <w:r>
        <w:rPr>
          <w:b/>
          <w:bCs/>
        </w:rPr>
        <w:t xml:space="preserve">Decision F3 — inner beams.</w:t>
      </w:r>
      <w:r>
        <w:t xml:space="preserve"> Bottom reinforcement </w:t>
      </w:r>
      <w:r>
        <w:rPr>
          <w:b/>
          <w:bCs/>
        </w:rPr>
        <w:t xml:space="preserve">8Ø20 in the web + 4Ø16 in the ledges (33.18 cm²)</w:t>
      </w:r>
      <w:r>
        <w:t xml:space="preserve"> instead of 5Ø20 + 2Ø20 (21.99 cm²). With ψ2,Qa = 0.8 this gives wk = 0.096 mm (η = 0.962 at VT2 and VT6; 0.867–0.885 at VT3–VT5), and the section passes up to ψ2,Qa ≈ 0.85. The top 5Ø20 and the links are unchanged: web hoop Ø10 + leg Ø10 + ledge hoop, 3 legs Ø10 c/100. Steel weight: 32.1 → 40.8 kg/m. With CYPECAD’s ψ2 = 0.3 the provided layout passes, as CYPECAD found.</w:t>
      </w:r>
    </w:p>
    <w:p>
      <w:pPr>
        <w:spacing w:after="120"/>
        <w:jc w:val="both"/>
      </w:pPr>
      <w:r>
        <w:t xml:space="preserve">The layout was chosen from 115 candidates by the lowest As·(1 + 0.002·n_bars). The next-best alternatives are 7Ø20 web + 6Ø16 ledges (34.05 cm², η 0.921), 11Ø20 with 5 in the web and 6 in the ledges (34.56 cm², η 0.926), and 3Ø25 web + 6Ø20 ledges (33.58 cm², η 0.999). The clear spacing of the 8Ø20 in the web is 31 mm ≥ dg + 5 = 25 mm (open point 6). With the ψ2,TB = 0.5 sensitivity of §5.8 the transverse beams would also crack, for example the hogging at the VT3 sea face (wk/wmax up to 1.57 even with the final layout). This is one more reason to settle the bollard ψ2 (open point 2).</w:t>
      </w:r>
    </w:p>
    <w:p>
      <w:pPr>
        <w:keepNext/>
        <w:spacing w:before="120"/>
        <w:jc w:val="center"/>
      </w:pPr>
      <w:r>
        <w:drawing>
          <wp:inline distT="0" distB="0" distL="0" distR="0">
            <wp:extent cx="5715000" cy="2514600"/>
            <wp:effectExtent t="0" r="0" b="0" l="0"/>
            <wp:docPr id="1" name="d4_fisuracion_psi2.png" descr="Figure 7 – Inner beams, envelope of axes 2–6: effect of ψ2,Qa (bollard ψ2 = 0). Left: σct/fctm on the uncracked section; the section cracks above 1.0. Right: crack width wk. Grey: provided 7Ø20 (cracks at ψ2 = 0.583 and wk jumps to ≈ 0.14 mm). Blue: proposed 8Ø20 + 4Ø16 (0.096 mm at ψ2 0.8; wk &gt; 0.1 mm only above ψ2 ≈ 0.85). The vertical lines mark ψ2 = 0.3 (CYPE/CTE) and 0.8 (ROM)." title="Figure 7 – Inner beams, envelope of axes 2–6: effect of ψ2,Qa (bollard ψ2 = 0). Left: σct/fctm on the uncracked section; the section cracks above 1.0. Right: crack width wk. Grey: provided 7Ø20 (cracks at ψ2 = 0.583 and wk jumps to ≈ 0.14 mm). Blue: proposed 8Ø20 + 4Ø16 (0.096 mm at ψ2 0.8; wk &gt; 0.1 mm only above ψ2 ≈ 0.85). The vertical lines mark ψ2 = 0.3 (CYPE/CTE) and 0.8 (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514600"/>
                    </a:xfrm>
                    <a:prstGeom prst="rect">
                      <a:avLst/>
                    </a:prstGeom>
                  </pic:spPr>
                </pic:pic>
              </a:graphicData>
            </a:graphic>
          </wp:inline>
        </w:drawing>
      </w:r>
    </w:p>
    <w:p>
      <w:pPr>
        <w:spacing w:after="200"/>
        <w:jc w:val="center"/>
      </w:pPr>
      <w:r>
        <w:rPr>
          <w:i/>
          <w:iCs/>
          <w:color w:val="404040"/>
          <w:sz w:val="18"/>
          <w:szCs w:val="18"/>
        </w:rPr>
        <w:t xml:space="preserve">Figure 7 – Inner beams, envelope of axes 2–6: effect of ψ2,Qa (bollard ψ2 = 0). Left: σct/fctm on the uncracked section; the section cracks above 1.0. Right: crack width wk. Grey: provided 7Ø20 (cracks at ψ2 = 0.583 and wk jumps to ≈ 0.14 mm). Blue: proposed 8Ø20 + 4Ø16 (0.096 mm at ψ2 0.8; wk &gt; 0.1 mm only above ψ2 ≈ 0.85). The vertical lines mark ψ2 = 0.3 (CYPE/CTE) and 0.8 (ROM).</w:t>
      </w:r>
    </w:p>
    <w:p>
      <w:pPr>
        <w:pStyle w:val="Heading2"/>
      </w:pPr>
      <w:r>
        <w:t xml:space="preserve">6.6 Deflection</w:t>
      </w:r>
    </w:p>
    <w:p>
      <w:pPr>
        <w:spacing w:after="120"/>
        <w:jc w:val="both"/>
      </w:pPr>
      <w:r>
        <w:t xml:space="preserve">Deflections are obtained by integrating the curvature between the pile faces, using the (7.18) interpolation between the uncracked and cracked states with φ = 2.0 and β = 0.5. The limits are L/250 = 12.2 mm (total) and L/500 = 6.1 mm (active) for L = 3.05 m. For VT2 (ROM, provided steel) the total deflection is 1.21 mm and the active deflection 1.09 mm (η = 0.178). The largest deflection utilisation of all members is 0.328, in span 1 of the edge beams. For P3–P4, CYPECAD printed fT,max = 1.53 mm and fA,max = 1.33 mm.</w:t>
      </w:r>
    </w:p>
    <w:p>
      <w:pPr>
        <w:pStyle w:val="Heading2"/>
      </w:pPr>
      <w:r>
        <w:t xml:space="preserve">6.7 Results per beam</w:t>
      </w:r>
    </w:p>
    <w:p>
      <w:pPr>
        <w:keepNext/>
        <w:spacing w:after="80" w:before="160"/>
        <w:jc w:val="center"/>
      </w:pPr>
      <w:r>
        <w:rPr>
          <w:i/>
          <w:iCs/>
          <w:color w:val="404040"/>
          <w:sz w:val="18"/>
          <w:szCs w:val="18"/>
        </w:rPr>
        <w:t xml:space="preserve">Table 20 – Beam utilisations with the Anejo 10 reinforcement (CE-ROM), verdict, and final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760"/>
        <w:gridCol w:w="680"/>
        <w:gridCol w:w="760"/>
        <w:gridCol w:w="900"/>
        <w:gridCol w:w="820"/>
        <w:gridCol w:w="1150"/>
        <w:gridCol w:w="1250"/>
        <w:gridCol w:w="2146"/>
      </w:tblGrid>
      <w:tr>
        <w:trPr>
          <w:cantSplit/>
          <w:tblHeader/>
        </w:trPr>
        <w:tc>
          <w:tcPr>
            <w:tcW w:type="dxa" w:w="560"/>
            <w:tcBorders>
              <w:top w:val="single" w:color="A6A6A6" w:sz="4"/>
              <w:left w:val="single" w:color="A6A6A6" w:sz="4"/>
              <w:bottom w:val="single" w:color="A6A6A6" w:sz="4"/>
              <w:right w:val="single" w:color="A6A6A6" w:sz="4"/>
            </w:tcBorders>
            <w:shd w:fill="1F4E79" w:color="auto" w:val="clear"/>
            <w:tcMar>
              <w:top w:type="dxa" w:w="50"/>
              <w:left w:type="dxa" w:w="45"/>
              <w:bottom w:type="dxa" w:w="50"/>
              <w:right w:type="dxa" w:w="45"/>
            </w:tcMar>
            <w:vAlign w:val="center"/>
          </w:tcPr>
          <w:p>
            <w:pPr>
              <w:keepNext/>
              <w:jc w:val="left"/>
            </w:pPr>
            <w:r>
              <w:rPr>
                <w:b/>
                <w:bCs/>
                <w:color w:val="FFFFFF"/>
                <w:sz w:val="14"/>
                <w:szCs w:val="14"/>
              </w:rPr>
              <w:t xml:space="preserve">Beam</w:t>
            </w:r>
          </w:p>
        </w:tc>
        <w:tc>
          <w:tcPr>
            <w:tcW w:type="dxa" w:w="760"/>
            <w:tcBorders>
              <w:top w:val="single" w:color="A6A6A6" w:sz="4"/>
              <w:left w:val="single" w:color="A6A6A6" w:sz="4"/>
              <w:bottom w:val="single" w:color="A6A6A6" w:sz="4"/>
              <w:right w:val="single" w:color="A6A6A6" w:sz="4"/>
            </w:tcBorders>
            <w:shd w:fill="1F4E79" w:color="auto" w:val="clear"/>
            <w:tcMar>
              <w:top w:type="dxa" w:w="50"/>
              <w:left w:type="dxa" w:w="45"/>
              <w:bottom w:type="dxa" w:w="50"/>
              <w:right w:type="dxa" w:w="45"/>
            </w:tcMar>
            <w:vAlign w:val="center"/>
          </w:tcPr>
          <w:p>
            <w:pPr>
              <w:keepNext/>
              <w:jc w:val="center"/>
            </w:pPr>
            <w:r>
              <w:rPr>
                <w:b/>
                <w:bCs/>
                <w:color w:val="FFFFFF"/>
                <w:sz w:val="14"/>
                <w:szCs w:val="14"/>
              </w:rPr>
              <w:t xml:space="preserve">Bending</w:t>
            </w:r>
          </w:p>
        </w:tc>
        <w:tc>
          <w:tcPr>
            <w:tcW w:type="dxa" w:w="680"/>
            <w:tcBorders>
              <w:top w:val="single" w:color="A6A6A6" w:sz="4"/>
              <w:left w:val="single" w:color="A6A6A6" w:sz="4"/>
              <w:bottom w:val="single" w:color="A6A6A6" w:sz="4"/>
              <w:right w:val="single" w:color="A6A6A6" w:sz="4"/>
            </w:tcBorders>
            <w:shd w:fill="1F4E79" w:color="auto" w:val="clear"/>
            <w:tcMar>
              <w:top w:type="dxa" w:w="50"/>
              <w:left w:type="dxa" w:w="45"/>
              <w:bottom w:type="dxa" w:w="50"/>
              <w:right w:type="dxa" w:w="45"/>
            </w:tcMar>
            <w:vAlign w:val="center"/>
          </w:tcPr>
          <w:p>
            <w:pPr>
              <w:keepNext/>
              <w:jc w:val="center"/>
            </w:pPr>
            <w:r>
              <w:rPr>
                <w:b/>
                <w:bCs/>
                <w:color w:val="FFFFFF"/>
                <w:sz w:val="14"/>
                <w:szCs w:val="14"/>
              </w:rPr>
              <w:t xml:space="preserve">Shear</w:t>
            </w:r>
          </w:p>
        </w:tc>
        <w:tc>
          <w:tcPr>
            <w:tcW w:type="dxa" w:w="760"/>
            <w:tcBorders>
              <w:top w:val="single" w:color="A6A6A6" w:sz="4"/>
              <w:left w:val="single" w:color="A6A6A6" w:sz="4"/>
              <w:bottom w:val="single" w:color="A6A6A6" w:sz="4"/>
              <w:right w:val="single" w:color="A6A6A6" w:sz="4"/>
            </w:tcBorders>
            <w:shd w:fill="1F4E79" w:color="auto" w:val="clear"/>
            <w:tcMar>
              <w:top w:type="dxa" w:w="50"/>
              <w:left w:type="dxa" w:w="45"/>
              <w:bottom w:type="dxa" w:w="50"/>
              <w:right w:type="dxa" w:w="45"/>
            </w:tcMar>
            <w:vAlign w:val="center"/>
          </w:tcPr>
          <w:p>
            <w:pPr>
              <w:keepNext/>
              <w:jc w:val="center"/>
            </w:pPr>
            <w:r>
              <w:rPr>
                <w:b/>
                <w:bCs/>
                <w:color w:val="FFFFFF"/>
                <w:sz w:val="14"/>
                <w:szCs w:val="14"/>
              </w:rPr>
              <w:t xml:space="preserve">Torsion</w:t>
            </w:r>
          </w:p>
        </w:tc>
        <w:tc>
          <w:tcPr>
            <w:tcW w:type="dxa" w:w="900"/>
            <w:tcBorders>
              <w:top w:val="single" w:color="A6A6A6" w:sz="4"/>
              <w:left w:val="single" w:color="A6A6A6" w:sz="4"/>
              <w:bottom w:val="single" w:color="A6A6A6" w:sz="4"/>
              <w:right w:val="single" w:color="A6A6A6" w:sz="4"/>
            </w:tcBorders>
            <w:shd w:fill="1F4E79" w:color="auto" w:val="clear"/>
            <w:tcMar>
              <w:top w:type="dxa" w:w="50"/>
              <w:left w:type="dxa" w:w="45"/>
              <w:bottom w:type="dxa" w:w="50"/>
              <w:right w:type="dxa" w:w="45"/>
            </w:tcMar>
            <w:vAlign w:val="center"/>
          </w:tcPr>
          <w:p>
            <w:pPr>
              <w:keepNext/>
              <w:jc w:val="center"/>
            </w:pPr>
            <w:r>
              <w:rPr>
                <w:b/>
                <w:bCs/>
                <w:color w:val="FFFFFF"/>
                <w:sz w:val="14"/>
                <w:szCs w:val="14"/>
              </w:rPr>
              <w:t xml:space="preserve">Detailing</w:t>
            </w:r>
          </w:p>
        </w:tc>
        <w:tc>
          <w:tcPr>
            <w:tcW w:type="dxa" w:w="820"/>
            <w:tcBorders>
              <w:top w:val="single" w:color="A6A6A6" w:sz="4"/>
              <w:left w:val="single" w:color="A6A6A6" w:sz="4"/>
              <w:bottom w:val="single" w:color="A6A6A6" w:sz="4"/>
              <w:right w:val="single" w:color="A6A6A6" w:sz="4"/>
            </w:tcBorders>
            <w:shd w:fill="1F4E79" w:color="auto" w:val="clear"/>
            <w:tcMar>
              <w:top w:type="dxa" w:w="50"/>
              <w:left w:type="dxa" w:w="45"/>
              <w:bottom w:type="dxa" w:w="50"/>
              <w:right w:type="dxa" w:w="45"/>
            </w:tcMar>
            <w:vAlign w:val="center"/>
          </w:tcPr>
          <w:p>
            <w:pPr>
              <w:keepNext/>
              <w:jc w:val="center"/>
            </w:pPr>
            <w:r>
              <w:rPr>
                <w:b/>
                <w:bCs/>
                <w:color w:val="FFFFFF"/>
                <w:sz w:val="14"/>
                <w:szCs w:val="14"/>
              </w:rPr>
              <w:t xml:space="preserve">Cracking</w:t>
            </w:r>
          </w:p>
        </w:tc>
        <w:tc>
          <w:tcPr>
            <w:tcW w:type="dxa" w:w="1150"/>
            <w:tcBorders>
              <w:top w:val="single" w:color="A6A6A6" w:sz="4"/>
              <w:left w:val="single" w:color="A6A6A6" w:sz="4"/>
              <w:bottom w:val="single" w:color="A6A6A6" w:sz="4"/>
              <w:right w:val="single" w:color="A6A6A6" w:sz="4"/>
            </w:tcBorders>
            <w:shd w:fill="1F4E79" w:color="auto" w:val="clear"/>
            <w:tcMar>
              <w:top w:type="dxa" w:w="50"/>
              <w:left w:type="dxa" w:w="45"/>
              <w:bottom w:type="dxa" w:w="50"/>
              <w:right w:type="dxa" w:w="45"/>
            </w:tcMar>
            <w:vAlign w:val="center"/>
          </w:tcPr>
          <w:p>
            <w:pPr>
              <w:keepNext/>
              <w:jc w:val="center"/>
            </w:pPr>
            <w:r>
              <w:rPr>
                <w:b/>
                <w:bCs/>
                <w:color w:val="FFFFFF"/>
                <w:sz w:val="14"/>
                <w:szCs w:val="14"/>
              </w:rPr>
              <w:t xml:space="preserve">Stresses / deflection</w:t>
            </w:r>
          </w:p>
        </w:tc>
        <w:tc>
          <w:tcPr>
            <w:tcW w:type="dxa" w:w="1250"/>
            <w:tcBorders>
              <w:top w:val="single" w:color="A6A6A6" w:sz="4"/>
              <w:left w:val="single" w:color="A6A6A6" w:sz="4"/>
              <w:bottom w:val="single" w:color="A6A6A6" w:sz="4"/>
              <w:right w:val="single" w:color="A6A6A6" w:sz="4"/>
            </w:tcBorders>
            <w:shd w:fill="1F4E79" w:color="auto" w:val="clear"/>
            <w:tcMar>
              <w:top w:type="dxa" w:w="50"/>
              <w:left w:type="dxa" w:w="45"/>
              <w:bottom w:type="dxa" w:w="50"/>
              <w:right w:type="dxa" w:w="45"/>
            </w:tcMar>
            <w:vAlign w:val="center"/>
          </w:tcPr>
          <w:p>
            <w:pPr>
              <w:keepNext/>
              <w:jc w:val="center"/>
            </w:pPr>
            <w:r>
              <w:rPr>
                <w:b/>
                <w:bCs/>
                <w:color w:val="FFFFFF"/>
                <w:sz w:val="14"/>
                <w:szCs w:val="14"/>
              </w:rPr>
              <w:t xml:space="preserve">Anejo 10 steel</w:t>
            </w:r>
          </w:p>
        </w:tc>
        <w:tc>
          <w:tcPr>
            <w:tcW w:type="dxa" w:w="2146"/>
            <w:tcBorders>
              <w:top w:val="single" w:color="A6A6A6" w:sz="4"/>
              <w:left w:val="single" w:color="A6A6A6" w:sz="4"/>
              <w:bottom w:val="single" w:color="A6A6A6" w:sz="4"/>
              <w:right w:val="single" w:color="A6A6A6" w:sz="4"/>
            </w:tcBorders>
            <w:shd w:fill="1F4E79" w:color="auto" w:val="clear"/>
            <w:tcMar>
              <w:top w:type="dxa" w:w="50"/>
              <w:left w:type="dxa" w:w="45"/>
              <w:bottom w:type="dxa" w:w="50"/>
              <w:right w:type="dxa" w:w="45"/>
            </w:tcMar>
            <w:vAlign w:val="center"/>
          </w:tcPr>
          <w:p>
            <w:pPr>
              <w:keepNext/>
              <w:jc w:val="center"/>
            </w:pPr>
            <w:r>
              <w:rPr>
                <w:b/>
                <w:bCs/>
                <w:color w:val="FFFFFF"/>
                <w:sz w:val="14"/>
                <w:szCs w:val="14"/>
              </w:rPr>
              <w:t xml:space="preserve">Final design (η, governing check)</w:t>
            </w:r>
          </w:p>
        </w:tc>
      </w:tr>
      <w:tr>
        <w:trPr>
          <w:cantSplit/>
        </w:trPr>
        <w:tc>
          <w:tcPr>
            <w:tcW w:type="dxa" w:w="56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left"/>
            </w:pPr>
            <w:r>
              <w:rPr>
                <w:sz w:val="16"/>
                <w:szCs w:val="16"/>
              </w:rPr>
              <w:t xml:space="preserve">VT1</w:t>
            </w:r>
          </w:p>
        </w:tc>
        <w:tc>
          <w:tcPr>
            <w:tcW w:type="dxa" w:w="76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center"/>
            </w:pPr>
            <w:r>
              <w:rPr>
                <w:sz w:val="16"/>
                <w:szCs w:val="16"/>
              </w:rPr>
              <w:t xml:space="preserve">0.873</w:t>
            </w:r>
          </w:p>
        </w:tc>
        <w:tc>
          <w:tcPr>
            <w:tcW w:type="dxa" w:w="68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center"/>
            </w:pPr>
            <w:r>
              <w:rPr>
                <w:sz w:val="16"/>
                <w:szCs w:val="16"/>
              </w:rPr>
              <w:t xml:space="preserve">0.478</w:t>
            </w:r>
          </w:p>
        </w:tc>
        <w:tc>
          <w:tcPr>
            <w:tcW w:type="dxa" w:w="76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center"/>
            </w:pPr>
            <w:r>
              <w:rPr>
                <w:sz w:val="16"/>
                <w:szCs w:val="16"/>
              </w:rPr>
              <w:t xml:space="preserve">0.973</w:t>
            </w:r>
          </w:p>
        </w:tc>
        <w:tc>
          <w:tcPr>
            <w:tcW w:type="dxa" w:w="90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center"/>
            </w:pPr>
            <w:r>
              <w:rPr>
                <w:sz w:val="16"/>
                <w:szCs w:val="16"/>
              </w:rPr>
              <w:t xml:space="preserve">0.958</w:t>
            </w:r>
          </w:p>
        </w:tc>
        <w:tc>
          <w:tcPr>
            <w:tcW w:type="dxa" w:w="82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center"/>
            </w:pPr>
            <w:r>
              <w:rPr>
                <w:sz w:val="16"/>
                <w:szCs w:val="16"/>
              </w:rPr>
              <w:t xml:space="preserve">0</w:t>
            </w:r>
          </w:p>
        </w:tc>
        <w:tc>
          <w:tcPr>
            <w:tcW w:type="dxa" w:w="115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center"/>
            </w:pPr>
            <w:r>
              <w:rPr>
                <w:sz w:val="16"/>
                <w:szCs w:val="16"/>
              </w:rPr>
              <w:t xml:space="preserve">0.715 / 0.069</w:t>
            </w:r>
          </w:p>
        </w:tc>
        <w:tc>
          <w:tcPr>
            <w:tcW w:type="dxa" w:w="125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center"/>
            </w:pPr>
            <w:r>
              <w:rPr>
                <w:b/>
                <w:bCs/>
                <w:color w:val="2E7D32"/>
                <w:sz w:val="16"/>
                <w:szCs w:val="16"/>
              </w:rPr>
              <w:t xml:space="preserve">CUMPLE</w:t>
            </w:r>
          </w:p>
        </w:tc>
        <w:tc>
          <w:tcPr>
            <w:tcW w:type="dxa" w:w="2146"/>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center"/>
            </w:pPr>
            <w:r>
              <w:rPr>
                <w:sz w:val="16"/>
                <w:szCs w:val="16"/>
              </w:rPr>
              <w:t xml:space="preserve">0.973 torsion</w:t>
            </w:r>
          </w:p>
        </w:tc>
      </w:tr>
      <w:tr>
        <w:trPr>
          <w:cantSplit/>
        </w:trPr>
        <w:tc>
          <w:tcPr>
            <w:tcW w:type="dxa" w:w="560"/>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left"/>
            </w:pPr>
            <w:r>
              <w:rPr>
                <w:sz w:val="16"/>
                <w:szCs w:val="16"/>
              </w:rPr>
              <w:t xml:space="preserve">VT2</w:t>
            </w:r>
          </w:p>
        </w:tc>
        <w:tc>
          <w:tcPr>
            <w:tcW w:type="dxa" w:w="760"/>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center"/>
            </w:pPr>
            <w:r>
              <w:rPr>
                <w:sz w:val="16"/>
                <w:szCs w:val="16"/>
              </w:rPr>
              <w:t xml:space="preserve">0.770</w:t>
            </w:r>
          </w:p>
        </w:tc>
        <w:tc>
          <w:tcPr>
            <w:tcW w:type="dxa" w:w="680"/>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center"/>
            </w:pPr>
            <w:r>
              <w:rPr>
                <w:sz w:val="16"/>
                <w:szCs w:val="16"/>
              </w:rPr>
              <w:t xml:space="preserve">0.717</w:t>
            </w:r>
          </w:p>
        </w:tc>
        <w:tc>
          <w:tcPr>
            <w:tcW w:type="dxa" w:w="760"/>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center"/>
            </w:pPr>
            <w:r>
              <w:rPr>
                <w:sz w:val="16"/>
                <w:szCs w:val="16"/>
              </w:rPr>
              <w:t xml:space="preserve">(0.83)</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center"/>
            </w:pPr>
            <w:r>
              <w:rPr>
                <w:sz w:val="16"/>
                <w:szCs w:val="16"/>
              </w:rPr>
              <w:t xml:space="preserve">0.542</w:t>
            </w:r>
          </w:p>
        </w:tc>
        <w:tc>
          <w:tcPr>
            <w:tcW w:type="dxa" w:w="820"/>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center"/>
            </w:pPr>
            <w:r>
              <w:rPr>
                <w:b/>
                <w:bCs/>
                <w:color w:val="C00000"/>
                <w:sz w:val="16"/>
                <w:szCs w:val="16"/>
              </w:rPr>
              <w:t xml:space="preserve">1.720</w:t>
            </w:r>
          </w:p>
        </w:tc>
        <w:tc>
          <w:tcPr>
            <w:tcW w:type="dxa" w:w="1150"/>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center"/>
            </w:pPr>
            <w:r>
              <w:rPr>
                <w:sz w:val="16"/>
                <w:szCs w:val="16"/>
              </w:rPr>
              <w:t xml:space="preserve">0.622 / 0.178</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center"/>
            </w:pPr>
            <w:r>
              <w:rPr>
                <w:b/>
                <w:bCs/>
                <w:color w:val="C00000"/>
                <w:sz w:val="16"/>
                <w:szCs w:val="16"/>
              </w:rPr>
              <w:t xml:space="preserve">NO CUMPLE</w:t>
            </w:r>
          </w:p>
        </w:tc>
        <w:tc>
          <w:tcPr>
            <w:tcW w:type="dxa" w:w="2146"/>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center"/>
            </w:pPr>
            <w:r>
              <w:rPr>
                <w:sz w:val="16"/>
                <w:szCs w:val="16"/>
              </w:rPr>
              <w:t xml:space="preserve">0.962 cracking</w:t>
            </w:r>
          </w:p>
        </w:tc>
      </w:tr>
      <w:tr>
        <w:trPr>
          <w:cantSplit/>
        </w:trPr>
        <w:tc>
          <w:tcPr>
            <w:tcW w:type="dxa" w:w="56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left"/>
            </w:pPr>
            <w:r>
              <w:rPr>
                <w:sz w:val="16"/>
                <w:szCs w:val="16"/>
              </w:rPr>
              <w:t xml:space="preserve">VT3</w:t>
            </w:r>
          </w:p>
        </w:tc>
        <w:tc>
          <w:tcPr>
            <w:tcW w:type="dxa" w:w="76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center"/>
            </w:pPr>
            <w:r>
              <w:rPr>
                <w:sz w:val="16"/>
                <w:szCs w:val="16"/>
              </w:rPr>
              <w:t xml:space="preserve">0.879</w:t>
            </w:r>
          </w:p>
        </w:tc>
        <w:tc>
          <w:tcPr>
            <w:tcW w:type="dxa" w:w="68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center"/>
            </w:pPr>
            <w:r>
              <w:rPr>
                <w:sz w:val="16"/>
                <w:szCs w:val="16"/>
              </w:rPr>
              <w:t xml:space="preserve">0.700</w:t>
            </w:r>
          </w:p>
        </w:tc>
        <w:tc>
          <w:tcPr>
            <w:tcW w:type="dxa" w:w="76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center"/>
            </w:pPr>
            <w:r>
              <w:rPr>
                <w:sz w:val="16"/>
                <w:szCs w:val="16"/>
              </w:rPr>
              <w:t xml:space="preserve">(0.88)</w:t>
            </w:r>
          </w:p>
        </w:tc>
        <w:tc>
          <w:tcPr>
            <w:tcW w:type="dxa" w:w="90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center"/>
            </w:pPr>
            <w:r>
              <w:rPr>
                <w:sz w:val="16"/>
                <w:szCs w:val="16"/>
              </w:rPr>
              <w:t xml:space="preserve">0.542</w:t>
            </w:r>
          </w:p>
        </w:tc>
        <w:tc>
          <w:tcPr>
            <w:tcW w:type="dxa" w:w="82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center"/>
            </w:pPr>
            <w:r>
              <w:rPr>
                <w:b/>
                <w:bCs/>
                <w:color w:val="C00000"/>
                <w:sz w:val="16"/>
                <w:szCs w:val="16"/>
              </w:rPr>
              <w:t xml:space="preserve">1.550</w:t>
            </w:r>
          </w:p>
        </w:tc>
        <w:tc>
          <w:tcPr>
            <w:tcW w:type="dxa" w:w="115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center"/>
            </w:pPr>
            <w:r>
              <w:rPr>
                <w:sz w:val="16"/>
                <w:szCs w:val="16"/>
              </w:rPr>
              <w:t xml:space="preserve">0.696 / 0.161</w:t>
            </w:r>
          </w:p>
        </w:tc>
        <w:tc>
          <w:tcPr>
            <w:tcW w:type="dxa" w:w="125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center"/>
            </w:pPr>
            <w:r>
              <w:rPr>
                <w:b/>
                <w:bCs/>
                <w:color w:val="C00000"/>
                <w:sz w:val="16"/>
                <w:szCs w:val="16"/>
              </w:rPr>
              <w:t xml:space="preserve">NO CUMPLE</w:t>
            </w:r>
          </w:p>
        </w:tc>
        <w:tc>
          <w:tcPr>
            <w:tcW w:type="dxa" w:w="2146"/>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center"/>
            </w:pPr>
            <w:r>
              <w:rPr>
                <w:sz w:val="16"/>
                <w:szCs w:val="16"/>
              </w:rPr>
              <w:t xml:space="preserve">0.878 bending</w:t>
            </w:r>
          </w:p>
        </w:tc>
      </w:tr>
      <w:tr>
        <w:trPr>
          <w:cantSplit/>
        </w:trPr>
        <w:tc>
          <w:tcPr>
            <w:tcW w:type="dxa" w:w="560"/>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left"/>
            </w:pPr>
            <w:r>
              <w:rPr>
                <w:sz w:val="16"/>
                <w:szCs w:val="16"/>
              </w:rPr>
              <w:t xml:space="preserve">VT4</w:t>
            </w:r>
          </w:p>
        </w:tc>
        <w:tc>
          <w:tcPr>
            <w:tcW w:type="dxa" w:w="760"/>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center"/>
            </w:pPr>
            <w:r>
              <w:rPr>
                <w:sz w:val="16"/>
                <w:szCs w:val="16"/>
              </w:rPr>
              <w:t xml:space="preserve">0.744</w:t>
            </w:r>
          </w:p>
        </w:tc>
        <w:tc>
          <w:tcPr>
            <w:tcW w:type="dxa" w:w="680"/>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center"/>
            </w:pPr>
            <w:r>
              <w:rPr>
                <w:sz w:val="16"/>
                <w:szCs w:val="16"/>
              </w:rPr>
              <w:t xml:space="preserve">0.684</w:t>
            </w:r>
          </w:p>
        </w:tc>
        <w:tc>
          <w:tcPr>
            <w:tcW w:type="dxa" w:w="760"/>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center"/>
            </w:pPr>
            <w:r>
              <w:rPr>
                <w:sz w:val="16"/>
                <w:szCs w:val="16"/>
              </w:rPr>
              <w:t xml:space="preserve">(0.75)</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center"/>
            </w:pPr>
            <w:r>
              <w:rPr>
                <w:sz w:val="16"/>
                <w:szCs w:val="16"/>
              </w:rPr>
              <w:t xml:space="preserve">0.542</w:t>
            </w:r>
          </w:p>
        </w:tc>
        <w:tc>
          <w:tcPr>
            <w:tcW w:type="dxa" w:w="820"/>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center"/>
            </w:pPr>
            <w:r>
              <w:rPr>
                <w:b/>
                <w:bCs/>
                <w:color w:val="C00000"/>
                <w:sz w:val="16"/>
                <w:szCs w:val="16"/>
              </w:rPr>
              <w:t xml:space="preserve">1.584</w:t>
            </w:r>
          </w:p>
        </w:tc>
        <w:tc>
          <w:tcPr>
            <w:tcW w:type="dxa" w:w="1150"/>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center"/>
            </w:pPr>
            <w:r>
              <w:rPr>
                <w:sz w:val="16"/>
                <w:szCs w:val="16"/>
              </w:rPr>
              <w:t xml:space="preserve">0.588 / 0.164</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center"/>
            </w:pPr>
            <w:r>
              <w:rPr>
                <w:b/>
                <w:bCs/>
                <w:color w:val="C00000"/>
                <w:sz w:val="16"/>
                <w:szCs w:val="16"/>
              </w:rPr>
              <w:t xml:space="preserve">NO CUMPLE</w:t>
            </w:r>
          </w:p>
        </w:tc>
        <w:tc>
          <w:tcPr>
            <w:tcW w:type="dxa" w:w="2146"/>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center"/>
            </w:pPr>
            <w:r>
              <w:rPr>
                <w:sz w:val="16"/>
                <w:szCs w:val="16"/>
              </w:rPr>
              <w:t xml:space="preserve">0.885 cracking</w:t>
            </w:r>
          </w:p>
        </w:tc>
      </w:tr>
      <w:tr>
        <w:trPr>
          <w:cantSplit/>
        </w:trPr>
        <w:tc>
          <w:tcPr>
            <w:tcW w:type="dxa" w:w="56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left"/>
            </w:pPr>
            <w:r>
              <w:rPr>
                <w:sz w:val="16"/>
                <w:szCs w:val="16"/>
              </w:rPr>
              <w:t xml:space="preserve">VT5</w:t>
            </w:r>
          </w:p>
        </w:tc>
        <w:tc>
          <w:tcPr>
            <w:tcW w:type="dxa" w:w="76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center"/>
            </w:pPr>
            <w:r>
              <w:rPr>
                <w:sz w:val="16"/>
                <w:szCs w:val="16"/>
              </w:rPr>
              <w:t xml:space="preserve">0.853</w:t>
            </w:r>
          </w:p>
        </w:tc>
        <w:tc>
          <w:tcPr>
            <w:tcW w:type="dxa" w:w="68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center"/>
            </w:pPr>
            <w:r>
              <w:rPr>
                <w:sz w:val="16"/>
                <w:szCs w:val="16"/>
              </w:rPr>
              <w:t xml:space="preserve">0.693</w:t>
            </w:r>
          </w:p>
        </w:tc>
        <w:tc>
          <w:tcPr>
            <w:tcW w:type="dxa" w:w="76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center"/>
            </w:pPr>
            <w:r>
              <w:rPr>
                <w:sz w:val="16"/>
                <w:szCs w:val="16"/>
              </w:rPr>
              <w:t xml:space="preserve">(0.86)</w:t>
            </w:r>
          </w:p>
        </w:tc>
        <w:tc>
          <w:tcPr>
            <w:tcW w:type="dxa" w:w="90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center"/>
            </w:pPr>
            <w:r>
              <w:rPr>
                <w:sz w:val="16"/>
                <w:szCs w:val="16"/>
              </w:rPr>
              <w:t xml:space="preserve">0.542</w:t>
            </w:r>
          </w:p>
        </w:tc>
        <w:tc>
          <w:tcPr>
            <w:tcW w:type="dxa" w:w="82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center"/>
            </w:pPr>
            <w:r>
              <w:rPr>
                <w:b/>
                <w:bCs/>
                <w:color w:val="C00000"/>
                <w:sz w:val="16"/>
                <w:szCs w:val="16"/>
              </w:rPr>
              <w:t xml:space="preserve">1.550</w:t>
            </w:r>
          </w:p>
        </w:tc>
        <w:tc>
          <w:tcPr>
            <w:tcW w:type="dxa" w:w="115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center"/>
            </w:pPr>
            <w:r>
              <w:rPr>
                <w:sz w:val="16"/>
                <w:szCs w:val="16"/>
              </w:rPr>
              <w:t xml:space="preserve">0.675 / 0.161</w:t>
            </w:r>
          </w:p>
        </w:tc>
        <w:tc>
          <w:tcPr>
            <w:tcW w:type="dxa" w:w="125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center"/>
            </w:pPr>
            <w:r>
              <w:rPr>
                <w:b/>
                <w:bCs/>
                <w:color w:val="C00000"/>
                <w:sz w:val="16"/>
                <w:szCs w:val="16"/>
              </w:rPr>
              <w:t xml:space="preserve">NO CUMPLE</w:t>
            </w:r>
          </w:p>
        </w:tc>
        <w:tc>
          <w:tcPr>
            <w:tcW w:type="dxa" w:w="2146"/>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center"/>
            </w:pPr>
            <w:r>
              <w:rPr>
                <w:sz w:val="16"/>
                <w:szCs w:val="16"/>
              </w:rPr>
              <w:t xml:space="preserve">0.867 cracking</w:t>
            </w:r>
          </w:p>
        </w:tc>
      </w:tr>
      <w:tr>
        <w:trPr>
          <w:cantSplit/>
        </w:trPr>
        <w:tc>
          <w:tcPr>
            <w:tcW w:type="dxa" w:w="560"/>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left"/>
            </w:pPr>
            <w:r>
              <w:rPr>
                <w:sz w:val="16"/>
                <w:szCs w:val="16"/>
              </w:rPr>
              <w:t xml:space="preserve">VT6</w:t>
            </w:r>
          </w:p>
        </w:tc>
        <w:tc>
          <w:tcPr>
            <w:tcW w:type="dxa" w:w="760"/>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center"/>
            </w:pPr>
            <w:r>
              <w:rPr>
                <w:sz w:val="16"/>
                <w:szCs w:val="16"/>
              </w:rPr>
              <w:t xml:space="preserve">0.719</w:t>
            </w:r>
          </w:p>
        </w:tc>
        <w:tc>
          <w:tcPr>
            <w:tcW w:type="dxa" w:w="680"/>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center"/>
            </w:pPr>
            <w:r>
              <w:rPr>
                <w:sz w:val="16"/>
                <w:szCs w:val="16"/>
              </w:rPr>
              <w:t xml:space="preserve">0.703</w:t>
            </w:r>
          </w:p>
        </w:tc>
        <w:tc>
          <w:tcPr>
            <w:tcW w:type="dxa" w:w="760"/>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center"/>
            </w:pPr>
            <w:r>
              <w:rPr>
                <w:sz w:val="16"/>
                <w:szCs w:val="16"/>
              </w:rPr>
              <w:t xml:space="preserve">(0.78)</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center"/>
            </w:pPr>
            <w:r>
              <w:rPr>
                <w:sz w:val="16"/>
                <w:szCs w:val="16"/>
              </w:rPr>
              <w:t xml:space="preserve">0.542</w:t>
            </w:r>
          </w:p>
        </w:tc>
        <w:tc>
          <w:tcPr>
            <w:tcW w:type="dxa" w:w="820"/>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center"/>
            </w:pPr>
            <w:r>
              <w:rPr>
                <w:b/>
                <w:bCs/>
                <w:color w:val="C00000"/>
                <w:sz w:val="16"/>
                <w:szCs w:val="16"/>
              </w:rPr>
              <w:t xml:space="preserve">1.720</w:t>
            </w:r>
          </w:p>
        </w:tc>
        <w:tc>
          <w:tcPr>
            <w:tcW w:type="dxa" w:w="1150"/>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center"/>
            </w:pPr>
            <w:r>
              <w:rPr>
                <w:sz w:val="16"/>
                <w:szCs w:val="16"/>
              </w:rPr>
              <w:t xml:space="preserve">0.609 / 0.178</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center"/>
            </w:pPr>
            <w:r>
              <w:rPr>
                <w:b/>
                <w:bCs/>
                <w:color w:val="C00000"/>
                <w:sz w:val="16"/>
                <w:szCs w:val="16"/>
              </w:rPr>
              <w:t xml:space="preserve">NO CUMPLE</w:t>
            </w:r>
          </w:p>
        </w:tc>
        <w:tc>
          <w:tcPr>
            <w:tcW w:type="dxa" w:w="2146"/>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center"/>
            </w:pPr>
            <w:r>
              <w:rPr>
                <w:sz w:val="16"/>
                <w:szCs w:val="16"/>
              </w:rPr>
              <w:t xml:space="preserve">0.962 cracking</w:t>
            </w:r>
          </w:p>
        </w:tc>
      </w:tr>
      <w:tr>
        <w:trPr>
          <w:cantSplit/>
        </w:trPr>
        <w:tc>
          <w:tcPr>
            <w:tcW w:type="dxa" w:w="56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left"/>
            </w:pPr>
            <w:r>
              <w:rPr>
                <w:sz w:val="16"/>
                <w:szCs w:val="16"/>
              </w:rPr>
              <w:t xml:space="preserve">VT7</w:t>
            </w:r>
          </w:p>
        </w:tc>
        <w:tc>
          <w:tcPr>
            <w:tcW w:type="dxa" w:w="76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center"/>
            </w:pPr>
            <w:r>
              <w:rPr>
                <w:sz w:val="16"/>
                <w:szCs w:val="16"/>
              </w:rPr>
              <w:t xml:space="preserve">0.798</w:t>
            </w:r>
          </w:p>
        </w:tc>
        <w:tc>
          <w:tcPr>
            <w:tcW w:type="dxa" w:w="68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center"/>
            </w:pPr>
            <w:r>
              <w:rPr>
                <w:sz w:val="16"/>
                <w:szCs w:val="16"/>
              </w:rPr>
              <w:t xml:space="preserve">0.456</w:t>
            </w:r>
          </w:p>
        </w:tc>
        <w:tc>
          <w:tcPr>
            <w:tcW w:type="dxa" w:w="76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center"/>
            </w:pPr>
            <w:r>
              <w:rPr>
                <w:sz w:val="16"/>
                <w:szCs w:val="16"/>
              </w:rPr>
              <w:t xml:space="preserve">0.906</w:t>
            </w:r>
          </w:p>
        </w:tc>
        <w:tc>
          <w:tcPr>
            <w:tcW w:type="dxa" w:w="90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center"/>
            </w:pPr>
            <w:r>
              <w:rPr>
                <w:sz w:val="16"/>
                <w:szCs w:val="16"/>
              </w:rPr>
              <w:t xml:space="preserve">0.958</w:t>
            </w:r>
          </w:p>
        </w:tc>
        <w:tc>
          <w:tcPr>
            <w:tcW w:type="dxa" w:w="82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center"/>
            </w:pPr>
            <w:r>
              <w:rPr>
                <w:sz w:val="16"/>
                <w:szCs w:val="16"/>
              </w:rPr>
              <w:t xml:space="preserve">0</w:t>
            </w:r>
          </w:p>
        </w:tc>
        <w:tc>
          <w:tcPr>
            <w:tcW w:type="dxa" w:w="115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center"/>
            </w:pPr>
            <w:r>
              <w:rPr>
                <w:sz w:val="16"/>
                <w:szCs w:val="16"/>
              </w:rPr>
              <w:t xml:space="preserve">0.654 / 0.069</w:t>
            </w:r>
          </w:p>
        </w:tc>
        <w:tc>
          <w:tcPr>
            <w:tcW w:type="dxa" w:w="125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center"/>
            </w:pPr>
            <w:r>
              <w:rPr>
                <w:b/>
                <w:bCs/>
                <w:color w:val="2E7D32"/>
                <w:sz w:val="16"/>
                <w:szCs w:val="16"/>
              </w:rPr>
              <w:t xml:space="preserve">CUMPLE</w:t>
            </w:r>
          </w:p>
        </w:tc>
        <w:tc>
          <w:tcPr>
            <w:tcW w:type="dxa" w:w="2146"/>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jc w:val="center"/>
            </w:pPr>
            <w:r>
              <w:rPr>
                <w:sz w:val="16"/>
                <w:szCs w:val="16"/>
              </w:rPr>
              <w:t xml:space="preserve">0.958 detailing</w:t>
            </w:r>
          </w:p>
        </w:tc>
      </w:tr>
      <w:tr>
        <w:trPr>
          <w:cantSplit/>
        </w:trPr>
        <w:tc>
          <w:tcPr>
            <w:tcW w:type="dxa" w:w="560"/>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left"/>
            </w:pPr>
            <w:r>
              <w:rPr>
                <w:sz w:val="16"/>
                <w:szCs w:val="16"/>
              </w:rPr>
              <w:t xml:space="preserve">VBM</w:t>
            </w:r>
          </w:p>
        </w:tc>
        <w:tc>
          <w:tcPr>
            <w:tcW w:type="dxa" w:w="760"/>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center"/>
            </w:pPr>
            <w:r>
              <w:rPr>
                <w:sz w:val="16"/>
                <w:szCs w:val="16"/>
              </w:rPr>
              <w:t xml:space="preserve">0.931</w:t>
            </w:r>
          </w:p>
        </w:tc>
        <w:tc>
          <w:tcPr>
            <w:tcW w:type="dxa" w:w="680"/>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center"/>
            </w:pPr>
            <w:r>
              <w:rPr>
                <w:sz w:val="16"/>
                <w:szCs w:val="16"/>
              </w:rPr>
              <w:t xml:space="preserve">0.522</w:t>
            </w:r>
          </w:p>
        </w:tc>
        <w:tc>
          <w:tcPr>
            <w:tcW w:type="dxa" w:w="760"/>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center"/>
            </w:pPr>
            <w:r>
              <w:rPr>
                <w:sz w:val="16"/>
                <w:szCs w:val="16"/>
              </w:rPr>
              <w:t xml:space="preserve">(1.05)</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center"/>
            </w:pPr>
            <w:r>
              <w:rPr>
                <w:sz w:val="16"/>
                <w:szCs w:val="16"/>
              </w:rPr>
              <w:t xml:space="preserve">0.855</w:t>
            </w:r>
          </w:p>
        </w:tc>
        <w:tc>
          <w:tcPr>
            <w:tcW w:type="dxa" w:w="820"/>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center"/>
            </w:pPr>
            <w:r>
              <w:rPr>
                <w:b/>
                <w:bCs/>
                <w:color w:val="C00000"/>
                <w:sz w:val="16"/>
                <w:szCs w:val="16"/>
              </w:rPr>
              <w:t xml:space="preserve">3.063</w:t>
            </w:r>
          </w:p>
        </w:tc>
        <w:tc>
          <w:tcPr>
            <w:tcW w:type="dxa" w:w="1150"/>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center"/>
            </w:pPr>
            <w:r>
              <w:rPr>
                <w:sz w:val="16"/>
                <w:szCs w:val="16"/>
              </w:rPr>
              <w:t xml:space="preserve">0.771 / 0.328</w:t>
            </w:r>
          </w:p>
        </w:tc>
        <w:tc>
          <w:tcPr>
            <w:tcW w:type="dxa" w:w="1250"/>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center"/>
            </w:pPr>
            <w:r>
              <w:rPr>
                <w:b/>
                <w:bCs/>
                <w:color w:val="C00000"/>
                <w:sz w:val="16"/>
                <w:szCs w:val="16"/>
              </w:rPr>
              <w:t xml:space="preserve">NO CUMPLE</w:t>
            </w:r>
          </w:p>
        </w:tc>
        <w:tc>
          <w:tcPr>
            <w:tcW w:type="dxa" w:w="2146"/>
            <w:tcBorders>
              <w:top w:val="single" w:color="A6A6A6" w:sz="4"/>
              <w:left w:val="single" w:color="A6A6A6" w:sz="4"/>
              <w:bottom w:val="single" w:color="A6A6A6" w:sz="4"/>
              <w:right w:val="single" w:color="A6A6A6" w:sz="4"/>
            </w:tcBorders>
            <w:shd w:fill="F2F2F2" w:color="auto" w:val="clear"/>
            <w:tcMar>
              <w:top w:type="dxa" w:w="50"/>
              <w:left w:type="dxa" w:w="45"/>
              <w:bottom w:type="dxa" w:w="50"/>
              <w:right w:type="dxa" w:w="45"/>
            </w:tcMar>
            <w:vAlign w:val="center"/>
          </w:tcPr>
          <w:p>
            <w:pPr>
              <w:keepNext/>
              <w:jc w:val="center"/>
            </w:pPr>
            <w:r>
              <w:rPr>
                <w:sz w:val="16"/>
                <w:szCs w:val="16"/>
              </w:rPr>
              <w:t xml:space="preserve">0.872 detailing (conditional, F5)</w:t>
            </w:r>
          </w:p>
        </w:tc>
      </w:tr>
      <w:tr>
        <w:trPr>
          <w:cantSplit/>
        </w:trPr>
        <w:tc>
          <w:tcPr>
            <w:tcW w:type="dxa" w:w="56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val="false"/>
              <w:jc w:val="left"/>
            </w:pPr>
            <w:r>
              <w:rPr>
                <w:sz w:val="16"/>
                <w:szCs w:val="16"/>
              </w:rPr>
              <w:t xml:space="preserve">VBT</w:t>
            </w:r>
          </w:p>
        </w:tc>
        <w:tc>
          <w:tcPr>
            <w:tcW w:type="dxa" w:w="76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val="false"/>
              <w:jc w:val="center"/>
            </w:pPr>
            <w:r>
              <w:rPr>
                <w:sz w:val="16"/>
                <w:szCs w:val="16"/>
              </w:rPr>
              <w:t xml:space="preserve">0.953</w:t>
            </w:r>
          </w:p>
        </w:tc>
        <w:tc>
          <w:tcPr>
            <w:tcW w:type="dxa" w:w="68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val="false"/>
              <w:jc w:val="center"/>
            </w:pPr>
            <w:r>
              <w:rPr>
                <w:sz w:val="16"/>
                <w:szCs w:val="16"/>
              </w:rPr>
              <w:t xml:space="preserve">0.547</w:t>
            </w:r>
          </w:p>
        </w:tc>
        <w:tc>
          <w:tcPr>
            <w:tcW w:type="dxa" w:w="76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val="false"/>
              <w:jc w:val="center"/>
            </w:pPr>
            <w:r>
              <w:rPr>
                <w:sz w:val="16"/>
                <w:szCs w:val="16"/>
              </w:rPr>
              <w:t xml:space="preserve">(1.06)</w:t>
            </w:r>
          </w:p>
        </w:tc>
        <w:tc>
          <w:tcPr>
            <w:tcW w:type="dxa" w:w="90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val="false"/>
              <w:jc w:val="center"/>
            </w:pPr>
            <w:r>
              <w:rPr>
                <w:sz w:val="16"/>
                <w:szCs w:val="16"/>
              </w:rPr>
              <w:t xml:space="preserve">0.855</w:t>
            </w:r>
          </w:p>
        </w:tc>
        <w:tc>
          <w:tcPr>
            <w:tcW w:type="dxa" w:w="82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val="false"/>
              <w:jc w:val="center"/>
            </w:pPr>
            <w:r>
              <w:rPr>
                <w:b/>
                <w:bCs/>
                <w:color w:val="C00000"/>
                <w:sz w:val="16"/>
                <w:szCs w:val="16"/>
              </w:rPr>
              <w:t xml:space="preserve">3.083</w:t>
            </w:r>
          </w:p>
        </w:tc>
        <w:tc>
          <w:tcPr>
            <w:tcW w:type="dxa" w:w="115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val="false"/>
              <w:jc w:val="center"/>
            </w:pPr>
            <w:r>
              <w:rPr>
                <w:sz w:val="16"/>
                <w:szCs w:val="16"/>
              </w:rPr>
              <w:t xml:space="preserve">0.789 / 0.328</w:t>
            </w:r>
          </w:p>
        </w:tc>
        <w:tc>
          <w:tcPr>
            <w:tcW w:type="dxa" w:w="1250"/>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val="false"/>
              <w:jc w:val="center"/>
            </w:pPr>
            <w:r>
              <w:rPr>
                <w:b/>
                <w:bCs/>
                <w:color w:val="C00000"/>
                <w:sz w:val="16"/>
                <w:szCs w:val="16"/>
              </w:rPr>
              <w:t xml:space="preserve">NO CUMPLE</w:t>
            </w:r>
          </w:p>
        </w:tc>
        <w:tc>
          <w:tcPr>
            <w:tcW w:type="dxa" w:w="2146"/>
            <w:tcBorders>
              <w:top w:val="single" w:color="A6A6A6" w:sz="4"/>
              <w:left w:val="single" w:color="A6A6A6" w:sz="4"/>
              <w:bottom w:val="single" w:color="A6A6A6" w:sz="4"/>
              <w:right w:val="single" w:color="A6A6A6" w:sz="4"/>
            </w:tcBorders>
            <w:tcMar>
              <w:top w:type="dxa" w:w="50"/>
              <w:left w:type="dxa" w:w="45"/>
              <w:bottom w:type="dxa" w:w="50"/>
              <w:right w:type="dxa" w:w="45"/>
            </w:tcMar>
            <w:vAlign w:val="center"/>
          </w:tcPr>
          <w:p>
            <w:pPr>
              <w:keepNext w:val="false"/>
              <w:jc w:val="center"/>
            </w:pPr>
            <w:r>
              <w:rPr>
                <w:sz w:val="16"/>
                <w:szCs w:val="16"/>
              </w:rPr>
              <w:t xml:space="preserve">0.872 detailing (conditional, F5)</w:t>
            </w:r>
          </w:p>
        </w:tc>
      </w:tr>
    </w:tbl>
    <w:p>
      <w:pPr>
        <w:spacing w:after="120" w:before="80"/>
        <w:jc w:val="both"/>
      </w:pPr>
      <w:r>
        <w:t xml:space="preserve">Values in brackets are compatibility torsion, reported as information and not part of the verdict (A19.6.3.1(2)). In the final design every beam is CUMPLE; the edge beams are conditional on F5. With the final top 3Ø25, the edge-beam torsion information drops to 0.85.</w:t>
      </w:r>
    </w:p>
    <w:p>
      <w:pPr>
        <w:pStyle w:val="Heading2"/>
      </w:pPr>
      <w:r>
        <w:t xml:space="preserve">6.8 Edge beams (decision F5)</w:t>
      </w:r>
    </w:p>
    <w:p>
      <w:pPr>
        <w:spacing w:after="120"/>
        <w:jc w:val="both"/>
      </w:pPr>
      <w:r>
        <w:t xml:space="preserve">The edge beams 25×30 have 2Ø16 top and bottom and Ø8 ties at 150 mm. In the SAP model the orthotropic slab shell shares the slab load with them. Compared with CYPECAD’s strip loading, their shear is about twice as large and their moments are 13–21 % higher. The consequences in the CE-ROM case are:</w:t>
      </w:r>
    </w:p>
    <w:p>
      <w:pPr>
        <w:pStyle w:val="ListParagraph"/>
        <w:numPr>
          <w:ilvl w:val="0"/>
          <w:numId w:val="3"/>
        </w:numPr>
        <w:spacing w:after="60"/>
        <w:jc w:val="both"/>
      </w:pPr>
      <w:r>
        <w:t xml:space="preserve">Bending passes (0.931 / 0.953). Shear passes with the optimum cot θ (0.522 / 0.547), but at θ = 45° (CYPE case) it is 1.04 / 1.08.</w:t>
      </w:r>
    </w:p>
    <w:p>
      <w:pPr>
        <w:pStyle w:val="ListParagraph"/>
        <w:numPr>
          <w:ilvl w:val="0"/>
          <w:numId w:val="3"/>
        </w:numPr>
        <w:spacing w:after="60"/>
        <w:jc w:val="both"/>
      </w:pPr>
      <w:r>
        <w:t xml:space="preserve">Cracking fails at the supports (hogging): M_qp = −22.2 kN·m ≫ Mcr = 12.7 kN·m, and wk = 0.306 / 0.308 mm (η 3.06 / 3.08). The beams crack even with ψ2 = 0.3 (threshold ψ2 ≈ 0.25; wk = 0.156 mm).</w:t>
      </w:r>
    </w:p>
    <w:p>
      <w:pPr>
        <w:pBdr>
          <w:left w:val="single" w:color="1F4E79" w:sz="18" w:space="8"/>
        </w:pBdr>
        <w:shd w:fill="EEF3F8" w:color="auto" w:val="clear"/>
        <w:spacing w:after="160" w:before="80"/>
        <w:ind w:left="284"/>
        <w:jc w:val="both"/>
      </w:pPr>
      <w:r>
        <w:rPr>
          <w:b/>
          <w:bCs/>
        </w:rPr>
        <w:t xml:space="preserve">Decision F5 — edge beams (conditional on the SAP load sharing).</w:t>
      </w:r>
      <w:r>
        <w:t xml:space="preserve"> Top </w:t>
      </w:r>
      <w:r>
        <w:rPr>
          <w:b/>
          <w:bCs/>
        </w:rPr>
        <w:t xml:space="preserve">3Ø25 over the supports</w:t>
      </w:r>
      <w:r>
        <w:t xml:space="preserve"> (14.73 cm²), which gives wk = 0.067 mm. The governing η of the final design is 0.872 (link spacing). An alternative is a deeper edge beam. If only CYPECAD’s strip loading applies, the provided 2Ø16 is enough for ULS. Steel weight: 6.3 → 14.7 kg/m, an upper bound that assumes 3Ø25 over the full length.</w:t>
      </w:r>
    </w:p>
    <w:p>
      <w:pPr>
        <w:pStyle w:val="Heading2"/>
      </w:pPr>
      <w:r>
        <w:t xml:space="preserve">6.9 Shift rule at the pile faces (decision F6, information)</w:t>
      </w:r>
    </w:p>
    <w:p>
      <w:pPr>
        <w:spacing w:after="120"/>
        <w:jc w:val="both"/>
      </w:pPr>
      <w:r>
        <w:t xml:space="preserve">At a monolithic support, A19.5.3.2.2(3) allows the design moment to be taken at the face. The extra tension from shear, ΔFtd = 0.5·VEd·cot θ (6.18), is then capped at MEd,max/z at the face, so it adds nothing there. The shift al = z·cot θ/2 (0.43 m at cot θ = 2) only matters for bar curtailment.</w:t>
      </w:r>
    </w:p>
    <w:p>
      <w:pPr>
        <w:spacing w:after="120"/>
        <w:jc w:val="both"/>
      </w:pPr>
      <w:r>
        <w:t xml:space="preserve">If the rigid-node moment at the pile axis were taken as MEd,max instead, the top tension chord at the sea face would reach η = 1.03–1.18 for VT1–VT6 (CE-ROM, cot θ = 2). For example, VT3 has an axis moment of −406.4 kN·m against MRd = 344.5 kN·m, η = 1.18; VT7 gives 0.99. With cot θ = 1 (CYPECAD) the effect is smaller. This is information and not part of the verdict.</w:t>
      </w:r>
    </w:p>
    <w:p>
      <w:pPr>
        <w:pBdr>
          <w:left w:val="single" w:color="1F4E79" w:sz="18" w:space="8"/>
        </w:pBdr>
        <w:shd w:fill="EEF3F8" w:color="auto" w:val="clear"/>
        <w:spacing w:after="160" w:before="80"/>
        <w:ind w:left="284"/>
        <w:jc w:val="both"/>
      </w:pPr>
      <w:r>
        <w:rPr>
          <w:b/>
          <w:bCs/>
        </w:rPr>
        <w:t xml:space="preserve">Recommendation F6.</w:t>
      </w:r>
      <w:r>
        <w:t xml:space="preserve"> Do not curtail the top bars within al = z·cot θ/2 ≈ 0.43 m of the pile faces, and anchor them fully over the piles. The Anejo 10 drawings already show full-length top bars with end legs.</w:t>
      </w:r>
    </w:p>
    <w:p>
      <w:pPr>
        <w:pStyle w:val="Heading1"/>
        <w:pageBreakBefore/>
      </w:pPr>
      <w:r>
        <w:t xml:space="preserve">7. Final design</w:t>
      </w:r>
    </w:p>
    <w:p>
      <w:pPr>
        <w:spacing w:after="120"/>
        <w:jc w:val="both"/>
      </w:pPr>
      <w:r>
        <w:t xml:space="preserve">The final design keeps the Anejo 10 reinforcement wherever it passes and changes three items. The verdict case is ROM basis, Mode.CODIGO, XS3 wmax = 0.1 mm (F0).</w:t>
      </w:r>
    </w:p>
    <w:p>
      <w:pPr>
        <w:keepNext/>
        <w:spacing w:after="80" w:before="160"/>
        <w:jc w:val="center"/>
      </w:pPr>
      <w:r>
        <w:rPr>
          <w:i/>
          <w:iCs/>
          <w:color w:val="404040"/>
          <w:sz w:val="18"/>
          <w:szCs w:val="18"/>
        </w:rPr>
        <w:t xml:space="preserve">Table 21 – Final reinforcement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950"/>
        <w:gridCol w:w="1100"/>
        <w:gridCol w:w="900"/>
        <w:gridCol w:w="1350"/>
        <w:gridCol w:w="1300"/>
        <w:gridCol w:w="1100"/>
        <w:gridCol w:w="1076"/>
      </w:tblGrid>
      <w:tr>
        <w:trPr>
          <w:cantSplit/>
          <w:tblHeader/>
        </w:trPr>
        <w:tc>
          <w:tcPr>
            <w:tcW w:type="dxa" w:w="1250"/>
            <w:tcBorders>
              <w:top w:val="single" w:color="A6A6A6" w:sz="4"/>
              <w:left w:val="single" w:color="A6A6A6" w:sz="4"/>
              <w:bottom w:val="single" w:color="A6A6A6" w:sz="4"/>
              <w:right w:val="single" w:color="A6A6A6" w:sz="4"/>
            </w:tcBorders>
            <w:shd w:fill="1F4E79" w:color="auto" w:val="clear"/>
            <w:tcMar>
              <w:top w:type="dxa" w:w="50"/>
              <w:left w:type="dxa" w:w="50"/>
              <w:bottom w:type="dxa" w:w="50"/>
              <w:right w:type="dxa" w:w="50"/>
            </w:tcMar>
            <w:vAlign w:val="center"/>
          </w:tcPr>
          <w:p>
            <w:pPr>
              <w:keepNext/>
              <w:jc w:val="left"/>
            </w:pPr>
            <w:r>
              <w:rPr>
                <w:b/>
                <w:bCs/>
                <w:color w:val="FFFFFF"/>
                <w:sz w:val="15"/>
                <w:szCs w:val="15"/>
              </w:rPr>
              <w:t xml:space="preserve">Element</w:t>
            </w:r>
          </w:p>
        </w:tc>
        <w:tc>
          <w:tcPr>
            <w:tcW w:type="dxa" w:w="950"/>
            <w:tcBorders>
              <w:top w:val="single" w:color="A6A6A6" w:sz="4"/>
              <w:left w:val="single" w:color="A6A6A6" w:sz="4"/>
              <w:bottom w:val="single" w:color="A6A6A6" w:sz="4"/>
              <w:right w:val="single" w:color="A6A6A6" w:sz="4"/>
            </w:tcBorders>
            <w:shd w:fill="1F4E79" w:color="auto" w:val="clear"/>
            <w:tcMar>
              <w:top w:type="dxa" w:w="50"/>
              <w:left w:type="dxa" w:w="50"/>
              <w:bottom w:type="dxa" w:w="50"/>
              <w:right w:type="dxa" w:w="50"/>
            </w:tcMar>
            <w:vAlign w:val="center"/>
          </w:tcPr>
          <w:p>
            <w:pPr>
              <w:keepNext/>
              <w:jc w:val="left"/>
            </w:pPr>
            <w:r>
              <w:rPr>
                <w:b/>
                <w:bCs/>
                <w:color w:val="FFFFFF"/>
                <w:sz w:val="15"/>
                <w:szCs w:val="15"/>
              </w:rPr>
              <w:t xml:space="preserve">Top</w:t>
            </w:r>
          </w:p>
        </w:tc>
        <w:tc>
          <w:tcPr>
            <w:tcW w:type="dxa" w:w="1100"/>
            <w:tcBorders>
              <w:top w:val="single" w:color="A6A6A6" w:sz="4"/>
              <w:left w:val="single" w:color="A6A6A6" w:sz="4"/>
              <w:bottom w:val="single" w:color="A6A6A6" w:sz="4"/>
              <w:right w:val="single" w:color="A6A6A6" w:sz="4"/>
            </w:tcBorders>
            <w:shd w:fill="1F4E79" w:color="auto" w:val="clear"/>
            <w:tcMar>
              <w:top w:type="dxa" w:w="50"/>
              <w:left w:type="dxa" w:w="50"/>
              <w:bottom w:type="dxa" w:w="50"/>
              <w:right w:type="dxa" w:w="50"/>
            </w:tcMar>
            <w:vAlign w:val="center"/>
          </w:tcPr>
          <w:p>
            <w:pPr>
              <w:keepNext/>
              <w:jc w:val="left"/>
            </w:pPr>
            <w:r>
              <w:rPr>
                <w:b/>
                <w:bCs/>
                <w:color w:val="FFFFFF"/>
                <w:sz w:val="15"/>
                <w:szCs w:val="15"/>
              </w:rPr>
              <w:t xml:space="preserve">Bottom</w:t>
            </w:r>
          </w:p>
        </w:tc>
        <w:tc>
          <w:tcPr>
            <w:tcW w:type="dxa" w:w="900"/>
            <w:tcBorders>
              <w:top w:val="single" w:color="A6A6A6" w:sz="4"/>
              <w:left w:val="single" w:color="A6A6A6" w:sz="4"/>
              <w:bottom w:val="single" w:color="A6A6A6" w:sz="4"/>
              <w:right w:val="single" w:color="A6A6A6" w:sz="4"/>
            </w:tcBorders>
            <w:shd w:fill="1F4E79" w:color="auto" w:val="clear"/>
            <w:tcMar>
              <w:top w:type="dxa" w:w="50"/>
              <w:left w:type="dxa" w:w="50"/>
              <w:bottom w:type="dxa" w:w="50"/>
              <w:right w:type="dxa" w:w="50"/>
            </w:tcMar>
            <w:vAlign w:val="center"/>
          </w:tcPr>
          <w:p>
            <w:pPr>
              <w:keepNext/>
              <w:jc w:val="left"/>
            </w:pPr>
            <w:r>
              <w:rPr>
                <w:b/>
                <w:bCs/>
                <w:color w:val="FFFFFF"/>
                <w:sz w:val="15"/>
                <w:szCs w:val="15"/>
              </w:rPr>
              <w:t xml:space="preserve">Side</w:t>
            </w:r>
          </w:p>
        </w:tc>
        <w:tc>
          <w:tcPr>
            <w:tcW w:type="dxa" w:w="1350"/>
            <w:tcBorders>
              <w:top w:val="single" w:color="A6A6A6" w:sz="4"/>
              <w:left w:val="single" w:color="A6A6A6" w:sz="4"/>
              <w:bottom w:val="single" w:color="A6A6A6" w:sz="4"/>
              <w:right w:val="single" w:color="A6A6A6" w:sz="4"/>
            </w:tcBorders>
            <w:shd w:fill="1F4E79" w:color="auto" w:val="clear"/>
            <w:tcMar>
              <w:top w:type="dxa" w:w="50"/>
              <w:left w:type="dxa" w:w="50"/>
              <w:bottom w:type="dxa" w:w="50"/>
              <w:right w:type="dxa" w:w="50"/>
            </w:tcMar>
            <w:vAlign w:val="center"/>
          </w:tcPr>
          <w:p>
            <w:pPr>
              <w:keepNext/>
              <w:jc w:val="left"/>
            </w:pPr>
            <w:r>
              <w:rPr>
                <w:b/>
                <w:bCs/>
                <w:color w:val="FFFFFF"/>
                <w:sz w:val="15"/>
                <w:szCs w:val="15"/>
              </w:rPr>
              <w:t xml:space="preserve">Transverse</w:t>
            </w:r>
          </w:p>
        </w:tc>
        <w:tc>
          <w:tcPr>
            <w:tcW w:type="dxa" w:w="1300"/>
            <w:tcBorders>
              <w:top w:val="single" w:color="A6A6A6" w:sz="4"/>
              <w:left w:val="single" w:color="A6A6A6" w:sz="4"/>
              <w:bottom w:val="single" w:color="A6A6A6" w:sz="4"/>
              <w:right w:val="single" w:color="A6A6A6" w:sz="4"/>
            </w:tcBorders>
            <w:shd w:fill="1F4E79" w:color="auto" w:val="clear"/>
            <w:tcMar>
              <w:top w:type="dxa" w:w="50"/>
              <w:left w:type="dxa" w:w="50"/>
              <w:bottom w:type="dxa" w:w="50"/>
              <w:right w:type="dxa" w:w="50"/>
            </w:tcMar>
            <w:vAlign w:val="center"/>
          </w:tcPr>
          <w:p>
            <w:pPr>
              <w:keepNext/>
              <w:jc w:val="left"/>
            </w:pPr>
            <w:r>
              <w:rPr>
                <w:b/>
                <w:bCs/>
                <w:color w:val="FFFFFF"/>
                <w:sz w:val="15"/>
                <w:szCs w:val="15"/>
              </w:rPr>
              <w:t xml:space="preserve">Change vs Anejo 10</w:t>
            </w:r>
          </w:p>
        </w:tc>
        <w:tc>
          <w:tcPr>
            <w:tcW w:type="dxa" w:w="1100"/>
            <w:tcBorders>
              <w:top w:val="single" w:color="A6A6A6" w:sz="4"/>
              <w:left w:val="single" w:color="A6A6A6" w:sz="4"/>
              <w:bottom w:val="single" w:color="A6A6A6" w:sz="4"/>
              <w:right w:val="single" w:color="A6A6A6" w:sz="4"/>
            </w:tcBorders>
            <w:shd w:fill="1F4E79" w:color="auto" w:val="clear"/>
            <w:tcMar>
              <w:top w:type="dxa" w:w="50"/>
              <w:left w:type="dxa" w:w="50"/>
              <w:bottom w:type="dxa" w:w="50"/>
              <w:right w:type="dxa" w:w="50"/>
            </w:tcMar>
            <w:vAlign w:val="center"/>
          </w:tcPr>
          <w:p>
            <w:pPr>
              <w:keepNext/>
              <w:jc w:val="left"/>
            </w:pPr>
            <w:r>
              <w:rPr>
                <w:b/>
                <w:bCs/>
                <w:color w:val="FFFFFF"/>
                <w:sz w:val="15"/>
                <w:szCs w:val="15"/>
              </w:rPr>
              <w:t xml:space="preserve">η, governing check</w:t>
            </w:r>
          </w:p>
        </w:tc>
        <w:tc>
          <w:tcPr>
            <w:tcW w:type="dxa" w:w="1076"/>
            <w:tcBorders>
              <w:top w:val="single" w:color="A6A6A6" w:sz="4"/>
              <w:left w:val="single" w:color="A6A6A6" w:sz="4"/>
              <w:bottom w:val="single" w:color="A6A6A6" w:sz="4"/>
              <w:right w:val="single" w:color="A6A6A6" w:sz="4"/>
            </w:tcBorders>
            <w:shd w:fill="1F4E79" w:color="auto" w:val="clear"/>
            <w:tcMar>
              <w:top w:type="dxa" w:w="50"/>
              <w:left w:type="dxa" w:w="50"/>
              <w:bottom w:type="dxa" w:w="50"/>
              <w:right w:type="dxa" w:w="50"/>
            </w:tcMar>
            <w:vAlign w:val="center"/>
          </w:tcPr>
          <w:p>
            <w:pPr>
              <w:keepNext/>
              <w:jc w:val="center"/>
            </w:pPr>
            <w:r>
              <w:rPr>
                <w:b/>
                <w:bCs/>
                <w:color w:val="FFFFFF"/>
                <w:sz w:val="15"/>
                <w:szCs w:val="15"/>
              </w:rPr>
              <w:t xml:space="preserve">Verdict</w:t>
            </w:r>
          </w:p>
        </w:tc>
      </w:tr>
      <w:tr>
        <w:trPr>
          <w:cantSplit/>
        </w:trPr>
        <w:tc>
          <w:tcPr>
            <w:tcW w:type="dxa" w:w="1250"/>
            <w:tcBorders>
              <w:top w:val="single" w:color="A6A6A6" w:sz="4"/>
              <w:left w:val="single" w:color="A6A6A6" w:sz="4"/>
              <w:bottom w:val="single" w:color="A6A6A6" w:sz="4"/>
              <w:right w:val="single" w:color="A6A6A6" w:sz="4"/>
            </w:tcBorders>
            <w:tcMar>
              <w:top w:type="dxa" w:w="50"/>
              <w:left w:type="dxa" w:w="50"/>
              <w:bottom w:type="dxa" w:w="50"/>
              <w:right w:type="dxa" w:w="50"/>
            </w:tcMar>
            <w:vAlign w:val="center"/>
          </w:tcPr>
          <w:p>
            <w:pPr>
              <w:keepNext/>
              <w:jc w:val="left"/>
            </w:pPr>
            <w:r>
              <w:rPr>
                <w:sz w:val="15"/>
                <w:szCs w:val="15"/>
              </w:rPr>
              <w:t xml:space="preserve">Piles P1–P18 (14, precast 40×40 HA-50)</w:t>
            </w:r>
          </w:p>
        </w:tc>
        <w:tc>
          <w:tcPr>
            <w:tcW w:type="dxa" w:w="950"/>
            <w:tcBorders>
              <w:top w:val="single" w:color="A6A6A6" w:sz="4"/>
              <w:left w:val="single" w:color="A6A6A6" w:sz="4"/>
              <w:bottom w:val="single" w:color="A6A6A6" w:sz="4"/>
              <w:right w:val="single" w:color="A6A6A6" w:sz="4"/>
            </w:tcBorders>
            <w:tcMar>
              <w:top w:type="dxa" w:w="50"/>
              <w:left w:type="dxa" w:w="50"/>
              <w:bottom w:type="dxa" w:w="50"/>
              <w:right w:type="dxa" w:w="50"/>
            </w:tcMar>
            <w:vAlign w:val="center"/>
          </w:tcPr>
          <w:p>
            <w:pPr>
              <w:keepNext/>
              <w:jc w:val="left"/>
            </w:pPr>
            <w:r>
              <w:rPr>
                <w:sz w:val="15"/>
                <w:szCs w:val="15"/>
              </w:rPr>
              <w:t xml:space="preserve">12Ø25, 4 per face (ρ = 3.68 %)</w:t>
            </w:r>
          </w:p>
        </w:tc>
        <w:tc>
          <w:tcPr>
            <w:tcW w:type="dxa" w:w="1100"/>
            <w:tcBorders>
              <w:top w:val="single" w:color="A6A6A6" w:sz="4"/>
              <w:left w:val="single" w:color="A6A6A6" w:sz="4"/>
              <w:bottom w:val="single" w:color="A6A6A6" w:sz="4"/>
              <w:right w:val="single" w:color="A6A6A6" w:sz="4"/>
            </w:tcBorders>
            <w:tcMar>
              <w:top w:type="dxa" w:w="50"/>
              <w:left w:type="dxa" w:w="50"/>
              <w:bottom w:type="dxa" w:w="50"/>
              <w:right w:type="dxa" w:w="50"/>
            </w:tcMar>
            <w:vAlign w:val="center"/>
          </w:tcPr>
          <w:p>
            <w:pPr>
              <w:keepNext/>
              <w:jc w:val="left"/>
            </w:pPr>
            <w:r>
              <w:rPr>
                <w:sz w:val="15"/>
                <w:szCs w:val="15"/>
              </w:rPr>
              <w:t xml:space="preserve">—</w:t>
            </w:r>
          </w:p>
        </w:tc>
        <w:tc>
          <w:tcPr>
            <w:tcW w:type="dxa" w:w="900"/>
            <w:tcBorders>
              <w:top w:val="single" w:color="A6A6A6" w:sz="4"/>
              <w:left w:val="single" w:color="A6A6A6" w:sz="4"/>
              <w:bottom w:val="single" w:color="A6A6A6" w:sz="4"/>
              <w:right w:val="single" w:color="A6A6A6" w:sz="4"/>
            </w:tcBorders>
            <w:tcMar>
              <w:top w:type="dxa" w:w="50"/>
              <w:left w:type="dxa" w:w="50"/>
              <w:bottom w:type="dxa" w:w="50"/>
              <w:right w:type="dxa" w:w="50"/>
            </w:tcMar>
            <w:vAlign w:val="center"/>
          </w:tcPr>
          <w:p>
            <w:pPr>
              <w:keepNext/>
              <w:jc w:val="left"/>
            </w:pPr>
            <w:r>
              <w:rPr>
                <w:sz w:val="15"/>
                <w:szCs w:val="15"/>
              </w:rPr>
              <w:t xml:space="preserve">—</w:t>
            </w:r>
          </w:p>
        </w:tc>
        <w:tc>
          <w:tcPr>
            <w:tcW w:type="dxa" w:w="1350"/>
            <w:tcBorders>
              <w:top w:val="single" w:color="A6A6A6" w:sz="4"/>
              <w:left w:val="single" w:color="A6A6A6" w:sz="4"/>
              <w:bottom w:val="single" w:color="A6A6A6" w:sz="4"/>
              <w:right w:val="single" w:color="A6A6A6" w:sz="4"/>
            </w:tcBorders>
            <w:tcMar>
              <w:top w:type="dxa" w:w="50"/>
              <w:left w:type="dxa" w:w="50"/>
              <w:bottom w:type="dxa" w:w="50"/>
              <w:right w:type="dxa" w:w="50"/>
            </w:tcMar>
            <w:vAlign w:val="center"/>
          </w:tcPr>
          <w:p>
            <w:pPr>
              <w:keepNext/>
              <w:jc w:val="left"/>
            </w:pPr>
            <w:r>
              <w:rPr>
                <w:sz w:val="15"/>
                <w:szCs w:val="15"/>
              </w:rPr>
              <w:t xml:space="preserve">3 ties Ø10 (2eØ10 + 1eØ10) c/150 in the shaft; </w:t>
            </w:r>
            <w:r>
              <w:rPr>
                <w:b/>
                <w:bCs/>
                <w:sz w:val="15"/>
                <w:szCs w:val="15"/>
              </w:rPr>
              <w:t xml:space="preserve">c/100 in the top 0.40 m</w:t>
            </w:r>
            <w:r>
              <w:rPr>
                <w:sz w:val="15"/>
                <w:szCs w:val="15"/>
              </w:rPr>
              <w:t xml:space="preserve">; fixity section 1eØ8</w:t>
            </w:r>
          </w:p>
        </w:tc>
        <w:tc>
          <w:tcPr>
            <w:tcW w:type="dxa" w:w="1300"/>
            <w:tcBorders>
              <w:top w:val="single" w:color="A6A6A6" w:sz="4"/>
              <w:left w:val="single" w:color="A6A6A6" w:sz="4"/>
              <w:bottom w:val="single" w:color="A6A6A6" w:sz="4"/>
              <w:right w:val="single" w:color="A6A6A6" w:sz="4"/>
            </w:tcBorders>
            <w:tcMar>
              <w:top w:type="dxa" w:w="50"/>
              <w:left w:type="dxa" w:w="50"/>
              <w:bottom w:type="dxa" w:w="50"/>
              <w:right w:type="dxa" w:w="50"/>
            </w:tcMar>
            <w:vAlign w:val="center"/>
          </w:tcPr>
          <w:p>
            <w:pPr>
              <w:keepNext/>
              <w:jc w:val="left"/>
            </w:pPr>
            <w:r>
              <w:rPr>
                <w:sz w:val="15"/>
                <w:szCs w:val="15"/>
              </w:rPr>
              <w:t xml:space="preserve">ties c/150 → c/100 in the top 0.40 m (confinement), +2.8 kg/pile</w:t>
            </w:r>
          </w:p>
        </w:tc>
        <w:tc>
          <w:tcPr>
            <w:tcW w:type="dxa" w:w="1100"/>
            <w:tcBorders>
              <w:top w:val="single" w:color="A6A6A6" w:sz="4"/>
              <w:left w:val="single" w:color="A6A6A6" w:sz="4"/>
              <w:bottom w:val="single" w:color="A6A6A6" w:sz="4"/>
              <w:right w:val="single" w:color="A6A6A6" w:sz="4"/>
            </w:tcBorders>
            <w:tcMar>
              <w:top w:type="dxa" w:w="50"/>
              <w:left w:type="dxa" w:w="50"/>
              <w:bottom w:type="dxa" w:w="50"/>
              <w:right w:type="dxa" w:w="50"/>
            </w:tcMar>
            <w:vAlign w:val="center"/>
          </w:tcPr>
          <w:p>
            <w:pPr>
              <w:keepNext/>
              <w:jc w:val="left"/>
            </w:pPr>
            <w:r>
              <w:rPr>
                <w:sz w:val="15"/>
                <w:szCs w:val="15"/>
              </w:rPr>
              <w:t xml:space="preserve">0.987, N-M 2nd order, P3 head (ELR08)</w:t>
            </w:r>
          </w:p>
        </w:tc>
        <w:tc>
          <w:tcPr>
            <w:tcW w:type="dxa" w:w="1076"/>
            <w:tcBorders>
              <w:top w:val="single" w:color="A6A6A6" w:sz="4"/>
              <w:left w:val="single" w:color="A6A6A6" w:sz="4"/>
              <w:bottom w:val="single" w:color="A6A6A6" w:sz="4"/>
              <w:right w:val="single" w:color="A6A6A6" w:sz="4"/>
            </w:tcBorders>
            <w:tcMar>
              <w:top w:type="dxa" w:w="50"/>
              <w:left w:type="dxa" w:w="50"/>
              <w:bottom w:type="dxa" w:w="50"/>
              <w:right w:type="dxa" w:w="50"/>
            </w:tcMar>
            <w:vAlign w:val="center"/>
          </w:tcPr>
          <w:p>
            <w:pPr>
              <w:keepNext/>
              <w:jc w:val="center"/>
            </w:pPr>
            <w:r>
              <w:rPr>
                <w:b/>
                <w:bCs/>
                <w:color w:val="2E7D32"/>
                <w:sz w:val="15"/>
                <w:szCs w:val="15"/>
              </w:rPr>
              <w:t xml:space="preserve">CUMPLE</w:t>
            </w:r>
            <w:r>
              <w:rPr>
                <w:sz w:val="15"/>
                <w:szCs w:val="15"/>
              </w:rPr>
              <w:t xml:space="preserve"> (with confinement ties)</w:t>
            </w:r>
          </w:p>
        </w:tc>
      </w:tr>
      <w:tr>
        <w:trPr>
          <w:cantSplit/>
        </w:trPr>
        <w:tc>
          <w:tcPr>
            <w:tcW w:type="dxa" w:w="1250"/>
            <w:tcBorders>
              <w:top w:val="single" w:color="A6A6A6" w:sz="4"/>
              <w:left w:val="single" w:color="A6A6A6" w:sz="4"/>
              <w:bottom w:val="single" w:color="A6A6A6" w:sz="4"/>
              <w:right w:val="single" w:color="A6A6A6" w:sz="4"/>
            </w:tcBorders>
            <w:shd w:fill="F2F2F2" w:color="auto" w:val="clear"/>
            <w:tcMar>
              <w:top w:type="dxa" w:w="50"/>
              <w:left w:type="dxa" w:w="50"/>
              <w:bottom w:type="dxa" w:w="50"/>
              <w:right w:type="dxa" w:w="50"/>
            </w:tcMar>
            <w:vAlign w:val="center"/>
          </w:tcPr>
          <w:p>
            <w:pPr>
              <w:keepNext/>
              <w:jc w:val="left"/>
            </w:pPr>
            <w:r>
              <w:rPr>
                <w:sz w:val="15"/>
                <w:szCs w:val="15"/>
              </w:rPr>
              <w:t xml:space="preserve">Inner beams, axes 2–6 (T 50x55+15x30+15x30)</w:t>
            </w:r>
          </w:p>
        </w:tc>
        <w:tc>
          <w:tcPr>
            <w:tcW w:type="dxa" w:w="950"/>
            <w:tcBorders>
              <w:top w:val="single" w:color="A6A6A6" w:sz="4"/>
              <w:left w:val="single" w:color="A6A6A6" w:sz="4"/>
              <w:bottom w:val="single" w:color="A6A6A6" w:sz="4"/>
              <w:right w:val="single" w:color="A6A6A6" w:sz="4"/>
            </w:tcBorders>
            <w:shd w:fill="F2F2F2" w:color="auto" w:val="clear"/>
            <w:tcMar>
              <w:top w:type="dxa" w:w="50"/>
              <w:left w:type="dxa" w:w="50"/>
              <w:bottom w:type="dxa" w:w="50"/>
              <w:right w:type="dxa" w:w="50"/>
            </w:tcMar>
            <w:vAlign w:val="center"/>
          </w:tcPr>
          <w:p>
            <w:pPr>
              <w:keepNext/>
              <w:jc w:val="left"/>
            </w:pPr>
            <w:r>
              <w:rPr>
                <w:sz w:val="15"/>
                <w:szCs w:val="15"/>
              </w:rPr>
              <w:t xml:space="preserve">5Ø20 (15.71 cm²)</w:t>
            </w:r>
          </w:p>
        </w:tc>
        <w:tc>
          <w:tcPr>
            <w:tcW w:type="dxa" w:w="1100"/>
            <w:tcBorders>
              <w:top w:val="single" w:color="A6A6A6" w:sz="4"/>
              <w:left w:val="single" w:color="A6A6A6" w:sz="4"/>
              <w:bottom w:val="single" w:color="A6A6A6" w:sz="4"/>
              <w:right w:val="single" w:color="A6A6A6" w:sz="4"/>
            </w:tcBorders>
            <w:shd w:fill="F2F2F2" w:color="auto" w:val="clear"/>
            <w:tcMar>
              <w:top w:type="dxa" w:w="50"/>
              <w:left w:type="dxa" w:w="50"/>
              <w:bottom w:type="dxa" w:w="50"/>
              <w:right w:type="dxa" w:w="50"/>
            </w:tcMar>
            <w:vAlign w:val="center"/>
          </w:tcPr>
          <w:p>
            <w:pPr>
              <w:keepNext/>
              <w:jc w:val="left"/>
            </w:pPr>
            <w:r>
              <w:rPr>
                <w:b/>
                <w:bCs/>
                <w:sz w:val="15"/>
                <w:szCs w:val="15"/>
              </w:rPr>
              <w:t xml:space="preserve">8Ø20 web + 4Ø16 ledges (33.18 cm²)</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50"/>
              <w:bottom w:type="dxa" w:w="50"/>
              <w:right w:type="dxa" w:w="50"/>
            </w:tcMar>
            <w:vAlign w:val="center"/>
          </w:tcPr>
          <w:p>
            <w:pPr>
              <w:keepNext/>
              <w:jc w:val="left"/>
            </w:pPr>
            <w:r>
              <w:rPr>
                <w:sz w:val="15"/>
                <w:szCs w:val="15"/>
              </w:rPr>
              <w:t xml:space="preserve">2Ø10 + 2Ø10 at 235 mm</w:t>
            </w:r>
          </w:p>
        </w:tc>
        <w:tc>
          <w:tcPr>
            <w:tcW w:type="dxa" w:w="1350"/>
            <w:tcBorders>
              <w:top w:val="single" w:color="A6A6A6" w:sz="4"/>
              <w:left w:val="single" w:color="A6A6A6" w:sz="4"/>
              <w:bottom w:val="single" w:color="A6A6A6" w:sz="4"/>
              <w:right w:val="single" w:color="A6A6A6" w:sz="4"/>
            </w:tcBorders>
            <w:shd w:fill="F2F2F2" w:color="auto" w:val="clear"/>
            <w:tcMar>
              <w:top w:type="dxa" w:w="50"/>
              <w:left w:type="dxa" w:w="50"/>
              <w:bottom w:type="dxa" w:w="50"/>
              <w:right w:type="dxa" w:w="50"/>
            </w:tcMar>
            <w:vAlign w:val="center"/>
          </w:tcPr>
          <w:p>
            <w:pPr>
              <w:keepNext/>
              <w:jc w:val="left"/>
            </w:pPr>
            <w:r>
              <w:rPr>
                <w:sz w:val="15"/>
                <w:szCs w:val="15"/>
              </w:rPr>
              <w:t xml:space="preserve">web hoop Ø10 + leg Ø10 (3 legs) + ledge hoop Ø10, c/100</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50"/>
              <w:bottom w:type="dxa" w:w="50"/>
              <w:right w:type="dxa" w:w="50"/>
            </w:tcMar>
            <w:vAlign w:val="center"/>
          </w:tcPr>
          <w:p>
            <w:pPr>
              <w:keepNext/>
              <w:jc w:val="left"/>
            </w:pPr>
            <w:r>
              <w:rPr>
                <w:sz w:val="15"/>
                <w:szCs w:val="15"/>
              </w:rPr>
              <w:t xml:space="preserve">bottom 7Ø20 (21.99 cm²) → 8Ø20 + 4Ø16; 32.1 → 40.8 kg/m</w:t>
            </w:r>
          </w:p>
        </w:tc>
        <w:tc>
          <w:tcPr>
            <w:tcW w:type="dxa" w:w="1100"/>
            <w:tcBorders>
              <w:top w:val="single" w:color="A6A6A6" w:sz="4"/>
              <w:left w:val="single" w:color="A6A6A6" w:sz="4"/>
              <w:bottom w:val="single" w:color="A6A6A6" w:sz="4"/>
              <w:right w:val="single" w:color="A6A6A6" w:sz="4"/>
            </w:tcBorders>
            <w:shd w:fill="F2F2F2" w:color="auto" w:val="clear"/>
            <w:tcMar>
              <w:top w:type="dxa" w:w="50"/>
              <w:left w:type="dxa" w:w="50"/>
              <w:bottom w:type="dxa" w:w="50"/>
              <w:right w:type="dxa" w:w="50"/>
            </w:tcMar>
            <w:vAlign w:val="center"/>
          </w:tcPr>
          <w:p>
            <w:pPr>
              <w:keepNext/>
              <w:jc w:val="left"/>
            </w:pPr>
            <w:r>
              <w:rPr>
                <w:sz w:val="15"/>
                <w:szCs w:val="15"/>
              </w:rPr>
              <w:t xml:space="preserve">0.962, cracking VT2 (wk 0.096 mm, ψ2 0.8)</w:t>
            </w:r>
          </w:p>
        </w:tc>
        <w:tc>
          <w:tcPr>
            <w:tcW w:type="dxa" w:w="1076"/>
            <w:tcBorders>
              <w:top w:val="single" w:color="A6A6A6" w:sz="4"/>
              <w:left w:val="single" w:color="A6A6A6" w:sz="4"/>
              <w:bottom w:val="single" w:color="A6A6A6" w:sz="4"/>
              <w:right w:val="single" w:color="A6A6A6" w:sz="4"/>
            </w:tcBorders>
            <w:shd w:fill="F2F2F2" w:color="auto" w:val="clear"/>
            <w:tcMar>
              <w:top w:type="dxa" w:w="50"/>
              <w:left w:type="dxa" w:w="50"/>
              <w:bottom w:type="dxa" w:w="50"/>
              <w:right w:type="dxa" w:w="50"/>
            </w:tcMar>
            <w:vAlign w:val="center"/>
          </w:tcPr>
          <w:p>
            <w:pPr>
              <w:keepNext/>
              <w:jc w:val="center"/>
            </w:pPr>
            <w:r>
              <w:rPr>
                <w:b/>
                <w:bCs/>
                <w:color w:val="2E7D32"/>
                <w:sz w:val="15"/>
                <w:szCs w:val="15"/>
              </w:rPr>
              <w:t xml:space="preserve">CUMPLE</w:t>
            </w:r>
          </w:p>
        </w:tc>
      </w:tr>
      <w:tr>
        <w:trPr>
          <w:cantSplit/>
        </w:trPr>
        <w:tc>
          <w:tcPr>
            <w:tcW w:type="dxa" w:w="1250"/>
            <w:tcBorders>
              <w:top w:val="single" w:color="A6A6A6" w:sz="4"/>
              <w:left w:val="single" w:color="A6A6A6" w:sz="4"/>
              <w:bottom w:val="single" w:color="A6A6A6" w:sz="4"/>
              <w:right w:val="single" w:color="A6A6A6" w:sz="4"/>
            </w:tcBorders>
            <w:tcMar>
              <w:top w:type="dxa" w:w="50"/>
              <w:left w:type="dxa" w:w="50"/>
              <w:bottom w:type="dxa" w:w="50"/>
              <w:right w:type="dxa" w:w="50"/>
            </w:tcMar>
            <w:vAlign w:val="center"/>
          </w:tcPr>
          <w:p>
            <w:pPr>
              <w:keepNext/>
              <w:jc w:val="left"/>
            </w:pPr>
            <w:r>
              <w:rPr>
                <w:sz w:val="15"/>
                <w:szCs w:val="15"/>
              </w:rPr>
              <w:t xml:space="preserve">End beams, axes 1 and 7 (L 80x55+15x30)</w:t>
            </w:r>
          </w:p>
        </w:tc>
        <w:tc>
          <w:tcPr>
            <w:tcW w:type="dxa" w:w="950"/>
            <w:tcBorders>
              <w:top w:val="single" w:color="A6A6A6" w:sz="4"/>
              <w:left w:val="single" w:color="A6A6A6" w:sz="4"/>
              <w:bottom w:val="single" w:color="A6A6A6" w:sz="4"/>
              <w:right w:val="single" w:color="A6A6A6" w:sz="4"/>
            </w:tcBorders>
            <w:tcMar>
              <w:top w:type="dxa" w:w="50"/>
              <w:left w:type="dxa" w:w="50"/>
              <w:bottom w:type="dxa" w:w="50"/>
              <w:right w:type="dxa" w:w="50"/>
            </w:tcMar>
            <w:vAlign w:val="center"/>
          </w:tcPr>
          <w:p>
            <w:pPr>
              <w:keepNext/>
              <w:jc w:val="left"/>
            </w:pPr>
            <w:r>
              <w:rPr>
                <w:sz w:val="15"/>
                <w:szCs w:val="15"/>
              </w:rPr>
              <w:t xml:space="preserve">5Ø20 (15.71 cm²)</w:t>
            </w:r>
          </w:p>
        </w:tc>
        <w:tc>
          <w:tcPr>
            <w:tcW w:type="dxa" w:w="1100"/>
            <w:tcBorders>
              <w:top w:val="single" w:color="A6A6A6" w:sz="4"/>
              <w:left w:val="single" w:color="A6A6A6" w:sz="4"/>
              <w:bottom w:val="single" w:color="A6A6A6" w:sz="4"/>
              <w:right w:val="single" w:color="A6A6A6" w:sz="4"/>
            </w:tcBorders>
            <w:tcMar>
              <w:top w:type="dxa" w:w="50"/>
              <w:left w:type="dxa" w:w="50"/>
              <w:bottom w:type="dxa" w:w="50"/>
              <w:right w:type="dxa" w:w="50"/>
            </w:tcMar>
            <w:vAlign w:val="center"/>
          </w:tcPr>
          <w:p>
            <w:pPr>
              <w:keepNext/>
              <w:jc w:val="left"/>
            </w:pPr>
            <w:r>
              <w:rPr>
                <w:sz w:val="15"/>
                <w:szCs w:val="15"/>
              </w:rPr>
              <w:t xml:space="preserve">5Ø20 web + 1Ø20 ledge (18.85 cm²)</w:t>
            </w:r>
          </w:p>
        </w:tc>
        <w:tc>
          <w:tcPr>
            <w:tcW w:type="dxa" w:w="900"/>
            <w:tcBorders>
              <w:top w:val="single" w:color="A6A6A6" w:sz="4"/>
              <w:left w:val="single" w:color="A6A6A6" w:sz="4"/>
              <w:bottom w:val="single" w:color="A6A6A6" w:sz="4"/>
              <w:right w:val="single" w:color="A6A6A6" w:sz="4"/>
            </w:tcBorders>
            <w:tcMar>
              <w:top w:type="dxa" w:w="50"/>
              <w:left w:type="dxa" w:w="50"/>
              <w:bottom w:type="dxa" w:w="50"/>
              <w:right w:type="dxa" w:w="50"/>
            </w:tcMar>
            <w:vAlign w:val="center"/>
          </w:tcPr>
          <w:p>
            <w:pPr>
              <w:keepNext/>
              <w:jc w:val="left"/>
            </w:pPr>
            <w:r>
              <w:rPr>
                <w:sz w:val="15"/>
                <w:szCs w:val="15"/>
              </w:rPr>
              <w:t xml:space="preserve">1Ø20 ledge top + 2Ø10 at 235 mm</w:t>
            </w:r>
          </w:p>
        </w:tc>
        <w:tc>
          <w:tcPr>
            <w:tcW w:type="dxa" w:w="1350"/>
            <w:tcBorders>
              <w:top w:val="single" w:color="A6A6A6" w:sz="4"/>
              <w:left w:val="single" w:color="A6A6A6" w:sz="4"/>
              <w:bottom w:val="single" w:color="A6A6A6" w:sz="4"/>
              <w:right w:val="single" w:color="A6A6A6" w:sz="4"/>
            </w:tcBorders>
            <w:tcMar>
              <w:top w:type="dxa" w:w="50"/>
              <w:left w:type="dxa" w:w="50"/>
              <w:bottom w:type="dxa" w:w="50"/>
              <w:right w:type="dxa" w:w="50"/>
            </w:tcMar>
            <w:vAlign w:val="center"/>
          </w:tcPr>
          <w:p>
            <w:pPr>
              <w:keepNext/>
              <w:jc w:val="left"/>
            </w:pPr>
            <w:r>
              <w:rPr>
                <w:sz w:val="15"/>
                <w:szCs w:val="15"/>
              </w:rPr>
              <w:t xml:space="preserve">as inner beams</w:t>
            </w:r>
          </w:p>
        </w:tc>
        <w:tc>
          <w:tcPr>
            <w:tcW w:type="dxa" w:w="1300"/>
            <w:tcBorders>
              <w:top w:val="single" w:color="A6A6A6" w:sz="4"/>
              <w:left w:val="single" w:color="A6A6A6" w:sz="4"/>
              <w:bottom w:val="single" w:color="A6A6A6" w:sz="4"/>
              <w:right w:val="single" w:color="A6A6A6" w:sz="4"/>
            </w:tcBorders>
            <w:tcMar>
              <w:top w:type="dxa" w:w="50"/>
              <w:left w:type="dxa" w:w="50"/>
              <w:bottom w:type="dxa" w:w="50"/>
              <w:right w:type="dxa" w:w="50"/>
            </w:tcMar>
            <w:vAlign w:val="center"/>
          </w:tcPr>
          <w:p>
            <w:pPr>
              <w:keepNext/>
              <w:jc w:val="left"/>
            </w:pPr>
            <w:r>
              <w:rPr>
                <w:sz w:val="15"/>
                <w:szCs w:val="15"/>
              </w:rPr>
              <w:t xml:space="preserve">none (if the plates bear on the ledge: top 4Ø25, η 1.18 → 0.98)</w:t>
            </w:r>
          </w:p>
        </w:tc>
        <w:tc>
          <w:tcPr>
            <w:tcW w:type="dxa" w:w="1100"/>
            <w:tcBorders>
              <w:top w:val="single" w:color="A6A6A6" w:sz="4"/>
              <w:left w:val="single" w:color="A6A6A6" w:sz="4"/>
              <w:bottom w:val="single" w:color="A6A6A6" w:sz="4"/>
              <w:right w:val="single" w:color="A6A6A6" w:sz="4"/>
            </w:tcBorders>
            <w:tcMar>
              <w:top w:type="dxa" w:w="50"/>
              <w:left w:type="dxa" w:w="50"/>
              <w:bottom w:type="dxa" w:w="50"/>
              <w:right w:type="dxa" w:w="50"/>
            </w:tcMar>
            <w:vAlign w:val="center"/>
          </w:tcPr>
          <w:p>
            <w:pPr>
              <w:keepNext/>
              <w:jc w:val="left"/>
            </w:pPr>
            <w:r>
              <w:rPr>
                <w:sz w:val="15"/>
                <w:szCs w:val="15"/>
              </w:rPr>
              <w:t xml:space="preserve">0.973, torsion tension chord (VT1)</w:t>
            </w:r>
          </w:p>
        </w:tc>
        <w:tc>
          <w:tcPr>
            <w:tcW w:type="dxa" w:w="1076"/>
            <w:tcBorders>
              <w:top w:val="single" w:color="A6A6A6" w:sz="4"/>
              <w:left w:val="single" w:color="A6A6A6" w:sz="4"/>
              <w:bottom w:val="single" w:color="A6A6A6" w:sz="4"/>
              <w:right w:val="single" w:color="A6A6A6" w:sz="4"/>
            </w:tcBorders>
            <w:tcMar>
              <w:top w:type="dxa" w:w="50"/>
              <w:left w:type="dxa" w:w="50"/>
              <w:bottom w:type="dxa" w:w="50"/>
              <w:right w:type="dxa" w:w="50"/>
            </w:tcMar>
            <w:vAlign w:val="center"/>
          </w:tcPr>
          <w:p>
            <w:pPr>
              <w:keepNext/>
              <w:jc w:val="center"/>
            </w:pPr>
            <w:r>
              <w:rPr>
                <w:b/>
                <w:bCs/>
                <w:color w:val="2E7D32"/>
                <w:sz w:val="15"/>
                <w:szCs w:val="15"/>
              </w:rPr>
              <w:t xml:space="preserve">CUMPLE</w:t>
            </w:r>
          </w:p>
        </w:tc>
      </w:tr>
      <w:tr>
        <w:trPr>
          <w:cantSplit/>
        </w:trPr>
        <w:tc>
          <w:tcPr>
            <w:tcW w:type="dxa" w:w="1250"/>
            <w:tcBorders>
              <w:top w:val="single" w:color="A6A6A6" w:sz="4"/>
              <w:left w:val="single" w:color="A6A6A6" w:sz="4"/>
              <w:bottom w:val="single" w:color="A6A6A6" w:sz="4"/>
              <w:right w:val="single" w:color="A6A6A6" w:sz="4"/>
            </w:tcBorders>
            <w:shd w:fill="F2F2F2" w:color="auto" w:val="clear"/>
            <w:tcMar>
              <w:top w:type="dxa" w:w="50"/>
              <w:left w:type="dxa" w:w="50"/>
              <w:bottom w:type="dxa" w:w="50"/>
              <w:right w:type="dxa" w:w="50"/>
            </w:tcMar>
            <w:vAlign w:val="center"/>
          </w:tcPr>
          <w:p>
            <w:pPr>
              <w:keepNext w:val="false"/>
              <w:jc w:val="left"/>
            </w:pPr>
            <w:r>
              <w:rPr>
                <w:sz w:val="15"/>
                <w:szCs w:val="15"/>
              </w:rPr>
              <w:t xml:space="preserve">Edge beams, pórticos 1 and 10 (25×30)</w:t>
            </w:r>
          </w:p>
        </w:tc>
        <w:tc>
          <w:tcPr>
            <w:tcW w:type="dxa" w:w="950"/>
            <w:tcBorders>
              <w:top w:val="single" w:color="A6A6A6" w:sz="4"/>
              <w:left w:val="single" w:color="A6A6A6" w:sz="4"/>
              <w:bottom w:val="single" w:color="A6A6A6" w:sz="4"/>
              <w:right w:val="single" w:color="A6A6A6" w:sz="4"/>
            </w:tcBorders>
            <w:shd w:fill="F2F2F2" w:color="auto" w:val="clear"/>
            <w:tcMar>
              <w:top w:type="dxa" w:w="50"/>
              <w:left w:type="dxa" w:w="50"/>
              <w:bottom w:type="dxa" w:w="50"/>
              <w:right w:type="dxa" w:w="50"/>
            </w:tcMar>
            <w:vAlign w:val="center"/>
          </w:tcPr>
          <w:p>
            <w:pPr>
              <w:keepNext w:val="false"/>
              <w:jc w:val="left"/>
            </w:pPr>
            <w:r>
              <w:rPr>
                <w:b/>
                <w:bCs/>
                <w:sz w:val="15"/>
                <w:szCs w:val="15"/>
              </w:rPr>
              <w:t xml:space="preserve">3Ø25 over the supports (14.73 cm²)</w:t>
            </w:r>
          </w:p>
        </w:tc>
        <w:tc>
          <w:tcPr>
            <w:tcW w:type="dxa" w:w="1100"/>
            <w:tcBorders>
              <w:top w:val="single" w:color="A6A6A6" w:sz="4"/>
              <w:left w:val="single" w:color="A6A6A6" w:sz="4"/>
              <w:bottom w:val="single" w:color="A6A6A6" w:sz="4"/>
              <w:right w:val="single" w:color="A6A6A6" w:sz="4"/>
            </w:tcBorders>
            <w:shd w:fill="F2F2F2" w:color="auto" w:val="clear"/>
            <w:tcMar>
              <w:top w:type="dxa" w:w="50"/>
              <w:left w:type="dxa" w:w="50"/>
              <w:bottom w:type="dxa" w:w="50"/>
              <w:right w:type="dxa" w:w="50"/>
            </w:tcMar>
            <w:vAlign w:val="center"/>
          </w:tcPr>
          <w:p>
            <w:pPr>
              <w:keepNext w:val="false"/>
              <w:jc w:val="left"/>
            </w:pPr>
            <w:r>
              <w:rPr>
                <w:sz w:val="15"/>
                <w:szCs w:val="15"/>
              </w:rPr>
              <w:t xml:space="preserve">2Ø16 (4.02 cm²)</w:t>
            </w:r>
          </w:p>
        </w:tc>
        <w:tc>
          <w:tcPr>
            <w:tcW w:type="dxa" w:w="900"/>
            <w:tcBorders>
              <w:top w:val="single" w:color="A6A6A6" w:sz="4"/>
              <w:left w:val="single" w:color="A6A6A6" w:sz="4"/>
              <w:bottom w:val="single" w:color="A6A6A6" w:sz="4"/>
              <w:right w:val="single" w:color="A6A6A6" w:sz="4"/>
            </w:tcBorders>
            <w:shd w:fill="F2F2F2" w:color="auto" w:val="clear"/>
            <w:tcMar>
              <w:top w:type="dxa" w:w="50"/>
              <w:left w:type="dxa" w:w="50"/>
              <w:bottom w:type="dxa" w:w="50"/>
              <w:right w:type="dxa" w:w="50"/>
            </w:tcMar>
            <w:vAlign w:val="center"/>
          </w:tcPr>
          <w:p>
            <w:pPr>
              <w:keepNext w:val="false"/>
              <w:jc w:val="left"/>
            </w:pPr>
            <w:r>
              <w:rPr>
                <w:sz w:val="15"/>
                <w:szCs w:val="15"/>
              </w:rPr>
              <w:t xml:space="preserve">—</w:t>
            </w:r>
          </w:p>
        </w:tc>
        <w:tc>
          <w:tcPr>
            <w:tcW w:type="dxa" w:w="1350"/>
            <w:tcBorders>
              <w:top w:val="single" w:color="A6A6A6" w:sz="4"/>
              <w:left w:val="single" w:color="A6A6A6" w:sz="4"/>
              <w:bottom w:val="single" w:color="A6A6A6" w:sz="4"/>
              <w:right w:val="single" w:color="A6A6A6" w:sz="4"/>
            </w:tcBorders>
            <w:shd w:fill="F2F2F2" w:color="auto" w:val="clear"/>
            <w:tcMar>
              <w:top w:type="dxa" w:w="50"/>
              <w:left w:type="dxa" w:w="50"/>
              <w:bottom w:type="dxa" w:w="50"/>
              <w:right w:type="dxa" w:w="50"/>
            </w:tcMar>
            <w:vAlign w:val="center"/>
          </w:tcPr>
          <w:p>
            <w:pPr>
              <w:keepNext w:val="false"/>
              <w:jc w:val="left"/>
            </w:pPr>
            <w:r>
              <w:rPr>
                <w:sz w:val="15"/>
                <w:szCs w:val="15"/>
              </w:rPr>
              <w:t xml:space="preserve">1eØ8 c/150</w:t>
            </w:r>
          </w:p>
        </w:tc>
        <w:tc>
          <w:tcPr>
            <w:tcW w:type="dxa" w:w="1300"/>
            <w:tcBorders>
              <w:top w:val="single" w:color="A6A6A6" w:sz="4"/>
              <w:left w:val="single" w:color="A6A6A6" w:sz="4"/>
              <w:bottom w:val="single" w:color="A6A6A6" w:sz="4"/>
              <w:right w:val="single" w:color="A6A6A6" w:sz="4"/>
            </w:tcBorders>
            <w:shd w:fill="F2F2F2" w:color="auto" w:val="clear"/>
            <w:tcMar>
              <w:top w:type="dxa" w:w="50"/>
              <w:left w:type="dxa" w:w="50"/>
              <w:bottom w:type="dxa" w:w="50"/>
              <w:right w:type="dxa" w:w="50"/>
            </w:tcMar>
            <w:vAlign w:val="center"/>
          </w:tcPr>
          <w:p>
            <w:pPr>
              <w:keepNext w:val="false"/>
              <w:jc w:val="left"/>
            </w:pPr>
            <w:r>
              <w:rPr>
                <w:sz w:val="15"/>
                <w:szCs w:val="15"/>
              </w:rPr>
              <w:t xml:space="preserve">top 2Ø16 → 3Ø25 over the supports (wk 0.067 mm)</w:t>
            </w:r>
          </w:p>
        </w:tc>
        <w:tc>
          <w:tcPr>
            <w:tcW w:type="dxa" w:w="1100"/>
            <w:tcBorders>
              <w:top w:val="single" w:color="A6A6A6" w:sz="4"/>
              <w:left w:val="single" w:color="A6A6A6" w:sz="4"/>
              <w:bottom w:val="single" w:color="A6A6A6" w:sz="4"/>
              <w:right w:val="single" w:color="A6A6A6" w:sz="4"/>
            </w:tcBorders>
            <w:shd w:fill="F2F2F2" w:color="auto" w:val="clear"/>
            <w:tcMar>
              <w:top w:type="dxa" w:w="50"/>
              <w:left w:type="dxa" w:w="50"/>
              <w:bottom w:type="dxa" w:w="50"/>
              <w:right w:type="dxa" w:w="50"/>
            </w:tcMar>
            <w:vAlign w:val="center"/>
          </w:tcPr>
          <w:p>
            <w:pPr>
              <w:keepNext w:val="false"/>
              <w:jc w:val="left"/>
            </w:pPr>
            <w:r>
              <w:rPr>
                <w:sz w:val="15"/>
                <w:szCs w:val="15"/>
              </w:rPr>
              <w:t xml:space="preserve">0.872, link spacing (VBM)</w:t>
            </w:r>
          </w:p>
        </w:tc>
        <w:tc>
          <w:tcPr>
            <w:tcW w:type="dxa" w:w="1076"/>
            <w:tcBorders>
              <w:top w:val="single" w:color="A6A6A6" w:sz="4"/>
              <w:left w:val="single" w:color="A6A6A6" w:sz="4"/>
              <w:bottom w:val="single" w:color="A6A6A6" w:sz="4"/>
              <w:right w:val="single" w:color="A6A6A6" w:sz="4"/>
            </w:tcBorders>
            <w:shd w:fill="F2F2F2" w:color="auto" w:val="clear"/>
            <w:tcMar>
              <w:top w:type="dxa" w:w="50"/>
              <w:left w:type="dxa" w:w="50"/>
              <w:bottom w:type="dxa" w:w="50"/>
              <w:right w:type="dxa" w:w="50"/>
            </w:tcMar>
            <w:vAlign w:val="center"/>
          </w:tcPr>
          <w:p>
            <w:pPr>
              <w:keepNext w:val="false"/>
              <w:jc w:val="center"/>
            </w:pPr>
            <w:r>
              <w:rPr>
                <w:b/>
                <w:bCs/>
                <w:color w:val="2E7D32"/>
                <w:sz w:val="15"/>
                <w:szCs w:val="15"/>
              </w:rPr>
              <w:t xml:space="preserve">CUMPLE</w:t>
            </w:r>
            <w:r>
              <w:rPr>
                <w:sz w:val="15"/>
                <w:szCs w:val="15"/>
              </w:rPr>
              <w:t xml:space="preserve"> (conditional, F5)</w:t>
            </w:r>
          </w:p>
        </w:tc>
      </w:tr>
    </w:tbl>
    <w:p>
      <w:pPr>
        <w:spacing w:after="80"/>
      </w:pPr>
    </w:p>
    <w:p>
      <w:pPr>
        <w:spacing w:after="120"/>
        <w:jc w:val="both"/>
      </w:pPr>
      <w:r>
        <w:t xml:space="preserve">There are 14 identical piles, 5 inner beams, 2 end beams and 2 edge beams per module. η is demand/capacity in the final case.</w:t>
      </w:r>
    </w:p>
    <w:p>
      <w:pPr>
        <w:keepNext/>
        <w:spacing w:after="80" w:before="160"/>
        <w:jc w:val="center"/>
      </w:pPr>
      <w:r>
        <w:rPr>
          <w:i/>
          <w:iCs/>
          <w:color w:val="404040"/>
          <w:sz w:val="18"/>
          <w:szCs w:val="18"/>
        </w:rPr>
        <w:t xml:space="preserve">Table 22 – Steel quantities (longitudinal steel per metre of 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26"/>
        <w:gridCol w:w="1500"/>
        <w:gridCol w:w="1700"/>
      </w:tblGrid>
      <w:tr>
        <w:trPr>
          <w:cantSplit/>
          <w:tblHeader/>
        </w:trPr>
        <w:tc>
          <w:tcPr>
            <w:tcW w:type="dxa" w:w="14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8"/>
                <w:szCs w:val="18"/>
              </w:rPr>
              <w:t xml:space="preserve">Element</w:t>
            </w:r>
          </w:p>
        </w:tc>
        <w:tc>
          <w:tcPr>
            <w:tcW w:type="dxa" w:w="2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8"/>
                <w:szCs w:val="18"/>
              </w:rPr>
              <w:t xml:space="preserve">Provided (Anejo 10)</w:t>
            </w:r>
          </w:p>
        </w:tc>
        <w:tc>
          <w:tcPr>
            <w:tcW w:type="dxa" w:w="24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8"/>
                <w:szCs w:val="18"/>
              </w:rPr>
              <w:t xml:space="preserve">Proposed</w:t>
            </w:r>
          </w:p>
        </w:tc>
        <w:tc>
          <w:tcPr>
            <w:tcW w:type="dxa" w:w="15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8"/>
                <w:szCs w:val="18"/>
              </w:rPr>
              <w:t xml:space="preserve">kg/m provided</w:t>
            </w:r>
          </w:p>
        </w:tc>
        <w:tc>
          <w:tcPr>
            <w:tcW w:type="dxa" w:w="1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8"/>
                <w:szCs w:val="18"/>
              </w:rPr>
              <w:t xml:space="preserve">kg/m proposed</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8"/>
                <w:szCs w:val="18"/>
              </w:rPr>
              <w:t xml:space="preserve">Pile (shaft)</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8"/>
                <w:szCs w:val="18"/>
              </w:rPr>
              <w:t xml:space="preserve">12Ø25 + 3 ties Ø10/150</w:t>
            </w:r>
          </w:p>
        </w:tc>
        <w:tc>
          <w:tcPr>
            <w:tcW w:type="dxa" w:w="24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8"/>
                <w:szCs w:val="18"/>
              </w:rPr>
              <w:t xml:space="preserve">same + ties Ø10/100 in the top 0.40 m</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8"/>
                <w:szCs w:val="18"/>
              </w:rPr>
              <w:t xml:space="preserve">60.2 (bars + ties)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8"/>
                <w:szCs w:val="18"/>
              </w:rPr>
              <w:t xml:space="preserve">60.2 + 2.8 kg per pile</w:t>
            </w:r>
          </w:p>
        </w:tc>
      </w:tr>
      <w:tr>
        <w:trPr>
          <w:cantSplit/>
        </w:trPr>
        <w:tc>
          <w:tcPr>
            <w:tcW w:type="dxa" w:w="14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8"/>
                <w:szCs w:val="18"/>
              </w:rPr>
              <w:t xml:space="preserve">Inner beam</w:t>
            </w:r>
          </w:p>
        </w:tc>
        <w:tc>
          <w:tcPr>
            <w:tcW w:type="dxa" w:w="20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8"/>
                <w:szCs w:val="18"/>
              </w:rPr>
              <w:t xml:space="preserve">5Ø20 / 5Ø20 + 2Ø20</w:t>
            </w:r>
          </w:p>
        </w:tc>
        <w:tc>
          <w:tcPr>
            <w:tcW w:type="dxa" w:w="24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8"/>
                <w:szCs w:val="18"/>
              </w:rPr>
              <w:t xml:space="preserve">5Ø20 / 8Ø20 web + 4Ø16 ledges</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8"/>
                <w:szCs w:val="18"/>
              </w:rPr>
              <w:t xml:space="preserve">32.1</w:t>
            </w:r>
          </w:p>
        </w:tc>
        <w:tc>
          <w:tcPr>
            <w:tcW w:type="dxa" w:w="1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8"/>
                <w:szCs w:val="18"/>
              </w:rPr>
              <w:t xml:space="preserve">40.8</w:t>
            </w:r>
          </w:p>
        </w:tc>
      </w:tr>
      <w:tr>
        <w:trPr>
          <w:cantSplit/>
        </w:trPr>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8"/>
                <w:szCs w:val="18"/>
              </w:rPr>
              <w:t xml:space="preserve">End beam</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8"/>
                <w:szCs w:val="18"/>
              </w:rPr>
              <w:t xml:space="preserve">5Ø20 / 5Ø20 + 1Ø20</w:t>
            </w:r>
          </w:p>
        </w:tc>
        <w:tc>
          <w:tcPr>
            <w:tcW w:type="dxa" w:w="24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8"/>
                <w:szCs w:val="18"/>
              </w:rPr>
              <w:t xml:space="preserve">no change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8"/>
                <w:szCs w:val="18"/>
              </w:rPr>
              <w:t xml:space="preserve">30.8</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8"/>
                <w:szCs w:val="18"/>
              </w:rPr>
              <w:t xml:space="preserve">30.8</w:t>
            </w:r>
          </w:p>
        </w:tc>
      </w:tr>
      <w:tr>
        <w:trPr>
          <w:cantSplit/>
        </w:trPr>
        <w:tc>
          <w:tcPr>
            <w:tcW w:type="dxa" w:w="14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8"/>
                <w:szCs w:val="18"/>
              </w:rPr>
              <w:t xml:space="preserve">Edge beam</w:t>
            </w:r>
          </w:p>
        </w:tc>
        <w:tc>
          <w:tcPr>
            <w:tcW w:type="dxa" w:w="20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8"/>
                <w:szCs w:val="18"/>
              </w:rPr>
              <w:t xml:space="preserve">2Ø16 / 2Ø16</w:t>
            </w:r>
          </w:p>
        </w:tc>
        <w:tc>
          <w:tcPr>
            <w:tcW w:type="dxa" w:w="24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8"/>
                <w:szCs w:val="18"/>
              </w:rPr>
              <w:t xml:space="preserve">3Ø25 top (supports) / 2Ø16</w:t>
            </w:r>
          </w:p>
        </w:tc>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center"/>
            </w:pPr>
            <w:r>
              <w:rPr>
                <w:sz w:val="18"/>
                <w:szCs w:val="18"/>
              </w:rPr>
              <w:t xml:space="preserve">6.3</w:t>
            </w:r>
          </w:p>
        </w:tc>
        <w:tc>
          <w:tcPr>
            <w:tcW w:type="dxa" w:w="1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8"/>
                <w:szCs w:val="18"/>
              </w:rPr>
              <w:t xml:space="preserve">14.7 (3Ø25 over the full length, upper bound)</w:t>
            </w:r>
          </w:p>
        </w:tc>
      </w:tr>
    </w:tbl>
    <w:p>
      <w:pPr>
        <w:keepNext/>
        <w:spacing w:before="120"/>
        <w:jc w:val="center"/>
      </w:pPr>
      <w:r>
        <w:drawing>
          <wp:inline distT="0" distB="0" distL="0" distR="0">
            <wp:extent cx="5715000" cy="2847975"/>
            <wp:effectExtent t="0" r="0" b="0" l="0"/>
            <wp:docPr id="1" name="d5_seccion_T_actual_propuesta.png" descr="Figure 8 – Inner beams, axes 2–6: inverted-T section 50x55+15x30+15x30 (HA-35, cover 50 mm; dimensions in mm). Left: Anejo 10, bottom 5Ø20 web + 2Ø20 ledges = 21.99 cm², wk = 0.172 mm &gt; 0.1 mm at ψ2 0.8. Right: final design, bottom 8Ø20 web + 4Ø16 ledges = 33.18 cm² (blue), wk = 0.096 mm. The top 5Ø20, side bars and links (web hoop + leg + ledge hoop, Ø10 c/100) are unchanged." title="Figure 8 – Inner beams, axes 2–6: inverted-T section 50x55+15x30+15x30 (HA-35, cover 50 mm; dimensions in mm). Left: Anejo 10, bottom 5Ø20 web + 2Ø20 ledges = 21.99 cm², wk = 0.172 mm &gt; 0.1 mm at ψ2 0.8. Right: final design, bottom 8Ø20 web + 4Ø16 ledges = 33.18 cm² (blue), wk = 0.096 mm. The top 5Ø20, side bars and links (web hoop + leg + ledge hoop, Ø10 c/100) are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847975"/>
                    </a:xfrm>
                    <a:prstGeom prst="rect">
                      <a:avLst/>
                    </a:prstGeom>
                  </pic:spPr>
                </pic:pic>
              </a:graphicData>
            </a:graphic>
          </wp:inline>
        </w:drawing>
      </w:r>
    </w:p>
    <w:p>
      <w:pPr>
        <w:spacing w:after="200"/>
        <w:jc w:val="center"/>
      </w:pPr>
      <w:r>
        <w:rPr>
          <w:i/>
          <w:iCs/>
          <w:color w:val="404040"/>
          <w:sz w:val="18"/>
          <w:szCs w:val="18"/>
        </w:rPr>
        <w:t xml:space="preserve">Figure 8 – Inner beams, axes 2–6: inverted-T section 50x55+15x30+15x30 (HA-35, cover 50 mm; dimensions in mm). Left: Anejo 10, bottom 5Ø20 web + 2Ø20 ledges = 21.99 cm², wk = 0.172 mm &gt; 0.1 mm at ψ2 0.8. Right: final design, bottom 8Ø20 web + 4Ø16 ledges = 33.18 cm² (blue), wk = 0.096 mm. The top 5Ø20, side bars and links (web hoop + leg + ledge hoop, Ø10 c/100) are unchanged.</w:t>
      </w:r>
    </w:p>
    <w:p>
      <w:pPr>
        <w:keepNext/>
        <w:spacing w:after="80" w:before="160"/>
        <w:jc w:val="center"/>
      </w:pPr>
      <w:r>
        <w:rPr>
          <w:i/>
          <w:iCs/>
          <w:color w:val="404040"/>
          <w:sz w:val="18"/>
          <w:szCs w:val="18"/>
        </w:rPr>
        <w:t xml:space="preserve">Table 23 – Verdict by basis with the Anejo 10 reinforcement, and final verdict.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400"/>
        <w:gridCol w:w="1700"/>
        <w:gridCol w:w="2126"/>
      </w:tblGrid>
      <w:tr>
        <w:trPr>
          <w:cantSplit/>
          <w:tblHeader/>
        </w:trPr>
        <w:tc>
          <w:tcPr>
            <w:tcW w:type="dxa" w:w="1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8"/>
                <w:szCs w:val="18"/>
              </w:rPr>
              <w:t xml:space="preserve">Member</w:t>
            </w:r>
          </w:p>
        </w:tc>
        <w:tc>
          <w:tcPr>
            <w:tcW w:type="dxa" w:w="21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8"/>
                <w:szCs w:val="18"/>
              </w:rPr>
              <w:t xml:space="preserve">CYPE/cype (parity)</w:t>
            </w:r>
          </w:p>
        </w:tc>
        <w:tc>
          <w:tcPr>
            <w:tcW w:type="dxa" w:w="14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8"/>
                <w:szCs w:val="18"/>
              </w:rPr>
              <w:t xml:space="preserve">CYPE/codigo</w:t>
            </w:r>
          </w:p>
        </w:tc>
        <w:tc>
          <w:tcPr>
            <w:tcW w:type="dxa" w:w="17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8"/>
                <w:szCs w:val="18"/>
              </w:rPr>
              <w:t xml:space="preserve">ROM/codigo</w:t>
            </w:r>
          </w:p>
        </w:tc>
        <w:tc>
          <w:tcPr>
            <w:tcW w:type="dxa" w:w="21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8"/>
                <w:szCs w:val="18"/>
              </w:rPr>
              <w:t xml:space="preserve">Final design</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8"/>
                <w:szCs w:val="18"/>
              </w:rPr>
              <w:t xml:space="preserve">Piles</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b/>
                <w:bCs/>
                <w:color w:val="C00000"/>
                <w:sz w:val="18"/>
                <w:szCs w:val="18"/>
              </w:rPr>
              <w:t xml:space="preserve">P1, P2, P3, P16 fail</w:t>
            </w:r>
            <w:r>
              <w:rPr>
                <w:sz w:val="18"/>
                <w:szCs w:val="18"/>
              </w:rPr>
              <w:t xml:space="preserve"> σc ≤ 0.6fck (Ecm)</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b/>
                <w:bCs/>
                <w:color w:val="C00000"/>
                <w:sz w:val="18"/>
                <w:szCs w:val="18"/>
              </w:rPr>
              <w:t xml:space="preserve">same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b/>
                <w:bCs/>
                <w:color w:val="C00000"/>
                <w:sz w:val="18"/>
                <w:szCs w:val="18"/>
              </w:rPr>
              <w:t xml:space="preserve">same</w:t>
            </w:r>
          </w:p>
        </w:tc>
        <w:tc>
          <w:tcPr>
            <w:tcW w:type="dxa" w:w="21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b/>
                <w:bCs/>
                <w:color w:val="2E7D32"/>
                <w:sz w:val="18"/>
                <w:szCs w:val="18"/>
              </w:rPr>
              <w:t xml:space="preserve">CUMPLE</w:t>
            </w:r>
            <w:r>
              <w:rPr>
                <w:sz w:val="18"/>
                <w:szCs w:val="18"/>
              </w:rPr>
              <w:t xml:space="preserve"> (confinement ties)</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8"/>
                <w:szCs w:val="18"/>
              </w:rPr>
              <w:t xml:space="preserve">VT1 (axis 1)</w:t>
            </w:r>
          </w:p>
        </w:tc>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8"/>
                <w:szCs w:val="18"/>
              </w:rPr>
              <w:t xml:space="preserve">CUMPLE</w:t>
            </w:r>
          </w:p>
        </w:tc>
        <w:tc>
          <w:tcPr>
            <w:tcW w:type="dxa" w:w="14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8"/>
                <w:szCs w:val="18"/>
              </w:rPr>
              <w:t xml:space="preserve">CUMPLE</w:t>
            </w:r>
          </w:p>
        </w:tc>
        <w:tc>
          <w:tcPr>
            <w:tcW w:type="dxa" w:w="1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8"/>
                <w:szCs w:val="18"/>
              </w:rPr>
              <w:t xml:space="preserve">CUMPLE</w:t>
            </w:r>
          </w:p>
        </w:tc>
        <w:tc>
          <w:tcPr>
            <w:tcW w:type="dxa" w:w="21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b/>
                <w:bCs/>
                <w:color w:val="2E7D32"/>
                <w:sz w:val="18"/>
                <w:szCs w:val="18"/>
              </w:rPr>
              <w:t xml:space="preserve">CUMPLE</w:t>
            </w:r>
            <w:r>
              <w:rPr>
                <w:sz w:val="18"/>
                <w:szCs w:val="18"/>
              </w:rPr>
              <w:t xml:space="preserve"> (0.973, torsion)</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8"/>
                <w:szCs w:val="18"/>
              </w:rPr>
              <w:t xml:space="preserve">VT2–VT6 (axes 2–6)</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8"/>
                <w:szCs w:val="18"/>
              </w:rPr>
              <w:t xml:space="preserve">CUMPLE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8"/>
                <w:szCs w:val="18"/>
              </w:rPr>
              <w:t xml:space="preserve">CUMPLE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b/>
                <w:bCs/>
                <w:color w:val="C00000"/>
                <w:sz w:val="18"/>
                <w:szCs w:val="18"/>
              </w:rPr>
              <w:t xml:space="preserve">NO CUMPLE</w:t>
            </w:r>
            <w:r>
              <w:rPr>
                <w:sz w:val="18"/>
                <w:szCs w:val="18"/>
              </w:rPr>
              <w:t xml:space="preserve"> (cracking)</w:t>
            </w:r>
          </w:p>
        </w:tc>
        <w:tc>
          <w:tcPr>
            <w:tcW w:type="dxa" w:w="21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b/>
                <w:bCs/>
                <w:color w:val="2E7D32"/>
                <w:sz w:val="18"/>
                <w:szCs w:val="18"/>
              </w:rPr>
              <w:t xml:space="preserve">CUMPLE</w:t>
            </w:r>
            <w:r>
              <w:rPr>
                <w:sz w:val="18"/>
                <w:szCs w:val="18"/>
              </w:rPr>
              <w:t xml:space="preserve"> (0.867–0.962)</w:t>
            </w:r>
          </w:p>
        </w:tc>
      </w:tr>
      <w:tr>
        <w:trPr>
          <w:cantSplit/>
        </w:trPr>
        <w:tc>
          <w:tcPr>
            <w:tcW w:type="dxa" w:w="1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8"/>
                <w:szCs w:val="18"/>
              </w:rPr>
              <w:t xml:space="preserve">VT7 (axis 7)</w:t>
            </w:r>
          </w:p>
        </w:tc>
        <w:tc>
          <w:tcPr>
            <w:tcW w:type="dxa" w:w="21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8"/>
                <w:szCs w:val="18"/>
              </w:rPr>
              <w:t xml:space="preserve">CUMPLE</w:t>
            </w:r>
          </w:p>
        </w:tc>
        <w:tc>
          <w:tcPr>
            <w:tcW w:type="dxa" w:w="14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8"/>
                <w:szCs w:val="18"/>
              </w:rPr>
              <w:t xml:space="preserve">CUMPLE</w:t>
            </w:r>
          </w:p>
        </w:tc>
        <w:tc>
          <w:tcPr>
            <w:tcW w:type="dxa" w:w="17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8"/>
                <w:szCs w:val="18"/>
              </w:rPr>
              <w:t xml:space="preserve">CUMPLE</w:t>
            </w:r>
          </w:p>
        </w:tc>
        <w:tc>
          <w:tcPr>
            <w:tcW w:type="dxa" w:w="21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b/>
                <w:bCs/>
                <w:color w:val="2E7D32"/>
                <w:sz w:val="18"/>
                <w:szCs w:val="18"/>
              </w:rPr>
              <w:t xml:space="preserve">CUMPLE</w:t>
            </w:r>
            <w:r>
              <w:rPr>
                <w:sz w:val="18"/>
                <w:szCs w:val="18"/>
              </w:rPr>
              <w:t xml:space="preserve"> (0.958, detailing)</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8"/>
                <w:szCs w:val="18"/>
              </w:rPr>
              <w:t xml:space="preserve">VBM, VBT (edge)</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b/>
                <w:bCs/>
                <w:color w:val="C00000"/>
                <w:sz w:val="18"/>
                <w:szCs w:val="18"/>
              </w:rPr>
              <w:t xml:space="preserve">NO CUMPLE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b/>
                <w:bCs/>
                <w:color w:val="C00000"/>
                <w:sz w:val="18"/>
                <w:szCs w:val="18"/>
              </w:rPr>
              <w:t xml:space="preserve">NO CUMPLE</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b/>
                <w:bCs/>
                <w:color w:val="C00000"/>
                <w:sz w:val="18"/>
                <w:szCs w:val="18"/>
              </w:rPr>
              <w:t xml:space="preserve">NO CUMPLE</w:t>
            </w:r>
          </w:p>
        </w:tc>
        <w:tc>
          <w:tcPr>
            <w:tcW w:type="dxa" w:w="21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b/>
                <w:bCs/>
                <w:color w:val="2E7D32"/>
                <w:sz w:val="18"/>
                <w:szCs w:val="18"/>
              </w:rPr>
              <w:t xml:space="preserve">CUMPLE</w:t>
            </w:r>
            <w:r>
              <w:rPr>
                <w:sz w:val="18"/>
                <w:szCs w:val="18"/>
              </w:rPr>
              <w:t xml:space="preserve"> conditional (0.872)</w:t>
            </w:r>
          </w:p>
        </w:tc>
      </w:tr>
    </w:tbl>
    <w:p>
      <w:pPr>
        <w:spacing w:after="80"/>
      </w:pPr>
    </w:p>
    <w:p>
      <w:pPr>
        <w:spacing w:after="120"/>
        <w:jc w:val="both"/>
      </w:pPr>
      <w:r>
        <w:t xml:space="preserve">The pile stress check does not depend on the basis, because it uses the characteristic combinations ELS01–08 in both; CYPECAD does not perform it (F8). The edge beams under the SAP load sharing fail cracking even with ψ2 = 0.3 (threshold ψ2 ≈ 0.25). In the CYPE/cype case their shear at θ = 45° is also 1.04–1.08. The inner beams fail only in the ROM basis, and their threshold is ψ2,Qa = 0.583 (axes 2 and 6).</w:t>
      </w:r>
    </w:p>
    <w:p>
      <w:pPr>
        <w:pStyle w:val="Heading1"/>
      </w:pPr>
      <w:r>
        <w:t xml:space="preserve">8. SAP2000 concrete design: inputs and expected behaviour</w:t>
      </w:r>
    </w:p>
    <w:p>
      <w:pPr>
        <w:spacing w:after="120"/>
        <w:jc w:val="both"/>
      </w:pPr>
      <w:r>
        <w:t xml:space="preserve">The folder </w:t>
      </w:r>
      <w:r>
        <w:rPr>
          <w:rFonts w:ascii="Consolas" w:cs="Consolas" w:eastAsia="Consolas" w:hAnsi="Consolas"/>
          <w:sz w:val="19"/>
          <w:szCs w:val="19"/>
        </w:rPr>
        <w:t xml:space="preserve">diseno/sap/</w:t>
      </w:r>
      <w:r>
        <w:t xml:space="preserve"> prepares the same model for SAP2000’s own concrete frame design. It has two uses: an independent cross-check, and a reference for the user’s SAP2000 workflow. A step-by-step GUI guide in Persian is in </w:t>
      </w:r>
      <w:r>
        <w:rPr>
          <w:rFonts w:ascii="Consolas" w:cs="Consolas" w:eastAsia="Consolas" w:hAnsi="Consolas"/>
          <w:sz w:val="19"/>
          <w:szCs w:val="19"/>
        </w:rPr>
        <w:t xml:space="preserve">GUIA_SAP_DISENO.md</w:t>
      </w:r>
      <w:r>
        <w:t xml:space="preserve">. SAP2000 has no Spanish national annex, so the settings of Table 24 reproduce the CE and CYPECAD values as closely as the program allows.</w:t>
      </w:r>
    </w:p>
    <w:p>
      <w:pPr>
        <w:keepNext/>
        <w:spacing w:after="80" w:before="160"/>
        <w:jc w:val="center"/>
      </w:pPr>
      <w:r>
        <w:rPr>
          <w:i/>
          <w:iCs/>
          <w:color w:val="404040"/>
          <w:sz w:val="18"/>
          <w:szCs w:val="18"/>
        </w:rPr>
        <w:t xml:space="preserve">Table 24 – SAP2000 v27.1 design settings written by the scripts.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2926"/>
      </w:tblGrid>
      <w:tr>
        <w:trPr>
          <w:cantSplit/>
          <w:tblHeader/>
        </w:trPr>
        <w:tc>
          <w:tcPr>
            <w:tcW w:type="dxa" w:w="18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7"/>
                <w:szCs w:val="17"/>
              </w:rPr>
              <w:t xml:space="preserve">Item</w:t>
            </w:r>
          </w:p>
        </w:tc>
        <w:tc>
          <w:tcPr>
            <w:tcW w:type="dxa" w:w="43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7"/>
                <w:szCs w:val="17"/>
              </w:rPr>
              <w:t xml:space="preserve">Setting</w:t>
            </w:r>
          </w:p>
        </w:tc>
        <w:tc>
          <w:tcPr>
            <w:tcW w:type="dxa" w:w="29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7"/>
                <w:szCs w:val="17"/>
              </w:rPr>
              <w:t xml:space="preserve">Reason</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Design code</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“Eurocode 2-2004”, Country = CEN Default; γc 1.5, γs 1.15, αcc 1.0, αct 1.0, θ0 = 0.005</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no Spain option; values set explicitly</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Second order</w:t>
            </w:r>
          </w:p>
        </w:tc>
        <w:tc>
          <w:tcPr>
            <w:tcW w:type="dxa" w:w="4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nominal curvature (EC2 5.8.8); no P-Δ analysis</w:t>
            </w:r>
          </w:p>
        </w:tc>
        <w:tc>
          <w:tcPr>
            <w:tcW w:type="dxa" w:w="29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same method as CYPECAD / A19.5.8.8</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Pile effective length</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unbraced length ratio 6.70/7.25 = 0.924138, β = 1.0 → l0 = 6.70 m</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CYPECAD l0 = 6.70 m</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Creep factor Kφ</w:t>
            </w:r>
          </w:p>
        </w:tc>
        <w:tc>
          <w:tcPr>
            <w:tcW w:type="dxa" w:w="4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1.1129 (= 1.373·8/π²; table field KPhi)</w:t>
            </w:r>
          </w:p>
        </w:tc>
        <w:tc>
          <w:tcPr>
            <w:tcW w:type="dxa" w:w="29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SAP uses c = 8 in e2; this gives e2 = 92.1 mm = CYPECAD</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Strut angle</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TanTheta = 1 (θ = 45°)</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as CYPECAD (SAP default optimises θ)</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Framing type</w:t>
            </w:r>
          </w:p>
        </w:tc>
        <w:tc>
          <w:tcPr>
            <w:tcW w:type="dxa" w:w="4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DC Low on every designed frame</w:t>
            </w:r>
          </w:p>
        </w:tc>
        <w:tc>
          <w:tcPr>
            <w:tcW w:type="dxa" w:w="29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program default is DC High</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Pile section</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rectangular 40×40, 4 bars per face Ø25, ties Ø10 at 0.15, check mode</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12Ø25 as provided</w:t>
            </w: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Beam sections</w:t>
            </w:r>
          </w:p>
        </w:tc>
        <w:tc>
          <w:tcPr>
            <w:tcW w:type="dxa" w:w="4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rectangles 50×55 (inner) / 80×55 (end) with property modifiers reproducing the T/L stiffness</w:t>
            </w:r>
          </w:p>
        </w:tc>
        <w:tc>
          <w:tcPr>
            <w:tcW w:type="dxa" w:w="29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SAP designs only rectangles; the analysis is unchanged</w:t>
            </w:r>
          </w:p>
        </w:tc>
      </w:tr>
      <w:tr>
        <w:trPr>
          <w:cantSplit/>
        </w:trPr>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Designed frames</w:t>
            </w:r>
          </w:p>
        </w:tc>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piles, transverse beams outside the piles, edge beams; 21 rigid segments “No Design”</w:t>
            </w:r>
          </w:p>
        </w:tc>
        <w:tc>
          <w:tcPr>
            <w:tcW w:type="dxa" w:w="29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p>
        </w:tc>
      </w:tr>
      <w:tr>
        <w:trPr>
          <w:cantSplit/>
        </w:trPr>
        <w:tc>
          <w:tcPr>
            <w:tcW w:type="dxa" w:w="18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Design combinations</w:t>
            </w:r>
          </w:p>
        </w:tc>
        <w:tc>
          <w:tcPr>
            <w:tcW w:type="dxa" w:w="4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ELU01–22 (CYPE basis) or ELR01–22 (ROM basis) as Strength; code combinations off</w:t>
            </w:r>
          </w:p>
        </w:tc>
        <w:tc>
          <w:tcPr>
            <w:tcW w:type="dxa" w:w="29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p>
        </w:tc>
      </w:tr>
    </w:tbl>
    <w:p>
      <w:pPr>
        <w:pStyle w:val="Heading2"/>
      </w:pPr>
      <w:r>
        <w:t xml:space="preserve">8.1 How to run</w:t>
      </w:r>
    </w:p>
    <w:p>
      <w:pPr>
        <w:pStyle w:val="ListParagraph"/>
        <w:numPr>
          <w:ilvl w:val="0"/>
          <w:numId w:val="3"/>
        </w:numPr>
        <w:spacing w:after="60"/>
        <w:jc w:val="both"/>
      </w:pPr>
      <w:r>
        <w:rPr>
          <w:b/>
          <w:bCs/>
        </w:rPr>
        <w:t xml:space="preserve">OAPI script (recommended):</w:t>
      </w:r>
      <w:r>
        <w:t xml:space="preserve"> </w:t>
      </w:r>
      <w:r>
        <w:rPr>
          <w:rFonts w:ascii="Consolas" w:cs="Consolas" w:eastAsia="Consolas" w:hAnsi="Consolas"/>
          <w:sz w:val="19"/>
          <w:szCs w:val="19"/>
        </w:rPr>
        <w:t xml:space="preserve">python diseno/sap/sap_oapi_diseno.py [--attach] [--base ROM] [--kphi cype]</w:t>
      </w:r>
      <w:r>
        <w:t xml:space="preserve">. It builds or opens the model, applies and reads back every setting, and runs the analysis and the design. It checks that the analysis is identical to the SAP27 export, then writes </w:t>
      </w:r>
      <w:r>
        <w:rPr>
          <w:rFonts w:ascii="Consolas" w:cs="Consolas" w:eastAsia="Consolas" w:hAnsi="Consolas"/>
          <w:sz w:val="19"/>
          <w:szCs w:val="19"/>
        </w:rPr>
        <w:t xml:space="preserve">diseno/sap/output/diseno_SAP2000.json</w:t>
      </w:r>
      <w:r>
        <w:t xml:space="preserve"> and </w:t>
      </w:r>
      <w:r>
        <w:rPr>
          <w:rFonts w:ascii="Consolas" w:cs="Consolas" w:eastAsia="Consolas" w:hAnsi="Consolas"/>
          <w:sz w:val="19"/>
          <w:szCs w:val="19"/>
        </w:rPr>
        <w:t xml:space="preserve">.xlsx</w:t>
      </w:r>
      <w:r>
        <w:t xml:space="preserve">.</w:t>
      </w:r>
    </w:p>
    <w:p>
      <w:pPr>
        <w:pStyle w:val="ListParagraph"/>
        <w:numPr>
          <w:ilvl w:val="0"/>
          <w:numId w:val="3"/>
        </w:numPr>
        <w:spacing w:after="60"/>
        <w:jc w:val="both"/>
      </w:pPr>
      <w:r>
        <w:rPr>
          <w:b/>
          <w:bCs/>
        </w:rPr>
        <w:t xml:space="preserve">GUI:</w:t>
      </w:r>
      <w:r>
        <w:t xml:space="preserve"> import </w:t>
      </w:r>
      <w:r>
        <w:rPr>
          <w:rFonts w:ascii="Consolas" w:cs="Consolas" w:eastAsia="Consolas" w:hAnsi="Consolas"/>
          <w:sz w:val="19"/>
          <w:szCs w:val="19"/>
        </w:rPr>
        <w:t xml:space="preserve">diseno/sap/output/Muelle_Trasmallo_40m_diseno.$2k</w:t>
      </w:r>
      <w:r>
        <w:t xml:space="preserve"> (the variant </w:t>
      </w:r>
      <w:r>
        <w:rPr>
          <w:rFonts w:ascii="Consolas" w:cs="Consolas" w:eastAsia="Consolas" w:hAnsi="Consolas"/>
          <w:sz w:val="19"/>
          <w:szCs w:val="19"/>
        </w:rPr>
        <w:t xml:space="preserve">_overwrites.$2k</w:t>
      </w:r>
      <w:r>
        <w:t xml:space="preserve"> adds the overwrite table; </w:t>
      </w:r>
      <w:r>
        <w:rPr>
          <w:rFonts w:ascii="Consolas" w:cs="Consolas" w:eastAsia="Consolas" w:hAnsi="Consolas"/>
          <w:sz w:val="19"/>
          <w:szCs w:val="19"/>
        </w:rPr>
        <w:t xml:space="preserve">_rect.$2k</w:t>
      </w:r>
      <w:r>
        <w:t xml:space="preserve"> only changes the beam sections, to prove that the analysis is unchanged). Then follow </w:t>
      </w:r>
      <w:r>
        <w:rPr>
          <w:rFonts w:ascii="Consolas" w:cs="Consolas" w:eastAsia="Consolas" w:hAnsi="Consolas"/>
          <w:sz w:val="19"/>
          <w:szCs w:val="19"/>
        </w:rPr>
        <w:t xml:space="preserve">GUIA_SAP_DISENO.md</w:t>
      </w:r>
      <w:r>
        <w:t xml:space="preserve"> §4 and export the Concrete Design tables.</w:t>
      </w:r>
    </w:p>
    <w:p>
      <w:pPr>
        <w:pStyle w:val="ListParagraph"/>
        <w:numPr>
          <w:ilvl w:val="0"/>
          <w:numId w:val="3"/>
        </w:numPr>
        <w:spacing w:after="60"/>
        <w:jc w:val="both"/>
      </w:pPr>
      <w:r>
        <w:rPr>
          <w:b/>
          <w:bCs/>
        </w:rPr>
        <w:t xml:space="preserve">Comparison:</w:t>
      </w:r>
      <w:r>
        <w:t xml:space="preserve"> </w:t>
      </w:r>
      <w:r>
        <w:rPr>
          <w:rFonts w:ascii="Consolas" w:cs="Consolas" w:eastAsia="Consolas" w:hAnsi="Consolas"/>
          <w:sz w:val="19"/>
          <w:szCs w:val="19"/>
        </w:rPr>
        <w:t xml:space="preserve">python3 diseno/sap/leer_diseno_sap.py &lt;export.xlsx | diseno_SAP2000.json&gt;</w:t>
      </w:r>
      <w:r>
        <w:t xml:space="preserve"> writes </w:t>
      </w:r>
      <w:r>
        <w:rPr>
          <w:rFonts w:ascii="Consolas" w:cs="Consolas" w:eastAsia="Consolas" w:hAnsi="Consolas"/>
          <w:sz w:val="19"/>
          <w:szCs w:val="19"/>
        </w:rPr>
        <w:t xml:space="preserve">comparacion_diseno_SAP.md/.json</w:t>
      </w:r>
      <w:r>
        <w:t xml:space="preserve">. Our expected values at the SAP stations are in </w:t>
      </w:r>
      <w:r>
        <w:rPr>
          <w:rFonts w:ascii="Consolas" w:cs="Consolas" w:eastAsia="Consolas" w:hAnsi="Consolas"/>
          <w:sz w:val="19"/>
          <w:szCs w:val="19"/>
        </w:rPr>
        <w:t xml:space="preserve">valores_esperados_SAP_CYPE.md</w:t>
      </w:r>
      <w:r>
        <w:t xml:space="preserve"> and </w:t>
      </w:r>
      <w:r>
        <w:rPr>
          <w:rFonts w:ascii="Consolas" w:cs="Consolas" w:eastAsia="Consolas" w:hAnsi="Consolas"/>
          <w:sz w:val="19"/>
          <w:szCs w:val="19"/>
        </w:rPr>
        <w:t xml:space="preserve">_ROM.md</w:t>
      </w:r>
      <w:r>
        <w:t xml:space="preserve">.</w:t>
      </w:r>
    </w:p>
    <w:p>
      <w:pPr>
        <w:pStyle w:val="Heading2"/>
      </w:pPr>
      <w:r>
        <w:t xml:space="preserve">8.2 Expected behaviour (decision F7)</w:t>
      </w:r>
    </w:p>
    <w:p>
      <w:pPr>
        <w:keepNext/>
        <w:spacing w:after="80" w:before="160"/>
        <w:jc w:val="center"/>
      </w:pPr>
      <w:r>
        <w:rPr>
          <w:i/>
          <w:iCs/>
          <w:color w:val="404040"/>
          <w:sz w:val="18"/>
          <w:szCs w:val="18"/>
        </w:rPr>
        <w:t xml:space="preserve">Table 25 – Expected SAP2000 results against this design (CYPE basis unless stated).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1600"/>
        <w:gridCol w:w="3126"/>
      </w:tblGrid>
      <w:tr>
        <w:trPr>
          <w:cantSplit/>
          <w:tblHeader/>
        </w:trPr>
        <w:tc>
          <w:tcPr>
            <w:tcW w:type="dxa" w:w="20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7"/>
                <w:szCs w:val="17"/>
              </w:rPr>
              <w:t xml:space="preserve">Quantity</w:t>
            </w:r>
          </w:p>
        </w:tc>
        <w:tc>
          <w:tcPr>
            <w:tcW w:type="dxa" w:w="23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7"/>
                <w:szCs w:val="17"/>
              </w:rPr>
              <w:t xml:space="preserve">This design</w:t>
            </w:r>
          </w:p>
        </w:tc>
        <w:tc>
          <w:tcPr>
            <w:tcW w:type="dxa" w:w="16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7"/>
                <w:szCs w:val="17"/>
              </w:rPr>
              <w:t xml:space="preserve">Expected in SAP2000</w:t>
            </w:r>
          </w:p>
        </w:tc>
        <w:tc>
          <w:tcPr>
            <w:tcW w:type="dxa" w:w="31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7"/>
                <w:szCs w:val="17"/>
              </w:rPr>
              <w:t xml:space="preserve">Why</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P3 pile head, P-M-M ratio</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η2 = 0.933 (CE, CYPE basis); 0.987 (ROM)</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 0.71 (ROM ≈ 0.73)</w:t>
            </w:r>
          </w:p>
        </w:tc>
        <w:tc>
          <w:tcPr>
            <w:tcW w:type="dxa" w:w="31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SAP uses M0e = 0.6·M02 + 0.4·M01 ≥ 0.4·M02 and expects P-Δ from the analysis: in a sway pile in double curvature the first-order end check governs. If SAP adds M2 to the end moment: ≈ 0.93</w:t>
            </w: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VT2 sea face, top As (ULS)</w:t>
            </w:r>
          </w:p>
        </w:tc>
        <w:tc>
          <w:tcPr>
            <w:tcW w:type="dxa" w:w="2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13.1 cm²</w:t>
            </w:r>
          </w:p>
        </w:tc>
        <w:tc>
          <w:tcPr>
            <w:tcW w:type="dxa" w:w="16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 13.3 cm²</w:t>
            </w:r>
          </w:p>
        </w:tc>
        <w:tc>
          <w:tcPr>
            <w:tcW w:type="dxa" w:w="31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rectangular 50 cm section, rectangular stress block</w:t>
            </w:r>
          </w:p>
        </w:tc>
      </w:tr>
      <w:tr>
        <w:trPr>
          <w:cantSplit/>
        </w:trP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VT2 span, bottom As (ULS)</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14.4 cm²</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 14.4 cm²</w:t>
            </w:r>
          </w:p>
        </w:tc>
        <w:tc>
          <w:tcPr>
            <w:tcW w:type="dxa" w:w="31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p>
        </w:tc>
      </w:tr>
      <w:tr>
        <w:trPr>
          <w:cantSplit/>
        </w:trPr>
        <w:tc>
          <w:tcPr>
            <w:tcW w:type="dxa" w:w="20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VT2 sea face, Asw/s</w:t>
            </w:r>
          </w:p>
        </w:tc>
        <w:tc>
          <w:tcPr>
            <w:tcW w:type="dxa" w:w="2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22.2 cm²/m (V at d, fywd 400, cot θ 1)</w:t>
            </w:r>
          </w:p>
        </w:tc>
        <w:tc>
          <w:tcPr>
            <w:tcW w:type="dxa" w:w="16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center"/>
            </w:pPr>
            <w:r>
              <w:rPr>
                <w:sz w:val="17"/>
                <w:szCs w:val="17"/>
              </w:rPr>
              <w:t xml:space="preserve">≈ 25.0 cm²/m</w:t>
            </w:r>
          </w:p>
        </w:tc>
        <w:tc>
          <w:tcPr>
            <w:tcW w:type="dxa" w:w="31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SAP uses V at the face (470 kN) and fywd = 434.8 MPa; above 23.56 provided, but not a failure</w:t>
            </w:r>
          </w:p>
        </w:tc>
      </w:tr>
    </w:tbl>
    <w:p>
      <w:pPr>
        <w:pBdr>
          <w:left w:val="single" w:color="1F4E79" w:sz="18" w:space="8"/>
        </w:pBdr>
        <w:shd w:fill="EEF3F8" w:color="auto" w:val="clear"/>
        <w:spacing w:after="160" w:before="80"/>
        <w:ind w:left="284"/>
        <w:jc w:val="both"/>
      </w:pPr>
      <w:r>
        <w:rPr>
          <w:b/>
          <w:bCs/>
        </w:rPr>
        <w:t xml:space="preserve">Decision F7.</w:t>
      </w:r>
      <w:r>
        <w:t xml:space="preserve"> SAP2000’s pile ratio (~0.71) is not comparable with our second-order utilisation (0.93–0.99), and our verdict governs. SAP does not check several items that this design covers: the XS3 crack width (not configured), the CE ν1/fywd convention (SAP uses fywd = fyk/γs and ν = 0.516), the Spanish As,min, the suspension steel of the ledges, the characteristic stress limits, deflection, detailing, the real T/L section shape and the lateral bending of the end beams.</w:t>
      </w:r>
    </w:p>
    <w:p>
      <w:pPr>
        <w:pStyle w:val="Heading1"/>
      </w:pPr>
      <w:r>
        <w:t xml:space="preserve">9. Comparison with Anejo 10 (CYPECAD)</w:t>
      </w:r>
    </w:p>
    <w:p>
      <w:pPr>
        <w:pStyle w:val="Heading2"/>
      </w:pPr>
      <w:r>
        <w:t xml:space="preserve">9.1 Parity</w:t>
      </w:r>
    </w:p>
    <w:p>
      <w:pPr>
        <w:keepNext/>
        <w:spacing w:after="80" w:before="160"/>
        <w:jc w:val="center"/>
      </w:pPr>
      <w:r>
        <w:rPr>
          <w:i/>
          <w:iCs/>
          <w:color w:val="404040"/>
          <w:sz w:val="18"/>
          <w:szCs w:val="18"/>
        </w:rPr>
        <w:t xml:space="preserve">Table 26 – Selected parity values (this work in Mode.CYPE with CYPECAD’s inputs against the Anejo 10 print).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2200"/>
        <w:gridCol w:w="1326"/>
      </w:tblGrid>
      <w:tr>
        <w:trPr>
          <w:cantSplit/>
          <w:tblHeader/>
        </w:trPr>
        <w:tc>
          <w:tcPr>
            <w:tcW w:type="dxa" w:w="33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7"/>
                <w:szCs w:val="17"/>
              </w:rPr>
              <w:t xml:space="preserve">Quantity</w:t>
            </w:r>
          </w:p>
        </w:tc>
        <w:tc>
          <w:tcPr>
            <w:tcW w:type="dxa" w:w="2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7"/>
                <w:szCs w:val="17"/>
              </w:rPr>
              <w:t xml:space="preserve">This work</w:t>
            </w:r>
          </w:p>
        </w:tc>
        <w:tc>
          <w:tcPr>
            <w:tcW w:type="dxa" w:w="2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7"/>
                <w:szCs w:val="17"/>
              </w:rPr>
              <w:t xml:space="preserve">Anejo 10</w:t>
            </w:r>
          </w:p>
        </w:tc>
        <w:tc>
          <w:tcPr>
            <w:tcW w:type="dxa" w:w="13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center"/>
            </w:pPr>
            <w:r>
              <w:rPr>
                <w:b/>
                <w:bCs/>
                <w:color w:val="FFFFFF"/>
                <w:sz w:val="17"/>
                <w:szCs w:val="17"/>
              </w:rPr>
              <w:t xml:space="preserve">Source in Anejo 10</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P3 head, 1st order NRd (kN)</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925.82</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925.83</w:t>
            </w:r>
          </w:p>
        </w:tc>
        <w:tc>
          <w:tcPr>
            <w:tcW w:type="dxa" w:w="13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P245 table</w:t>
            </w:r>
          </w:p>
        </w:tc>
      </w:tr>
      <w:tr>
        <w:trPr>
          <w:cantSplit/>
        </w:trPr>
        <w:tc>
          <w:tcPr>
            <w:tcW w:type="dxa" w:w="3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P3 head, λlim / e2 (mm)</w:t>
            </w:r>
          </w:p>
        </w:tc>
        <w:tc>
          <w:tcPr>
            <w:tcW w:type="dxa" w:w="2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42.58 / 92.12</w:t>
            </w:r>
          </w:p>
        </w:tc>
        <w:tc>
          <w:tcPr>
            <w:tcW w:type="dxa" w:w="2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42.58 / 92.12</w:t>
            </w:r>
          </w:p>
        </w:tc>
        <w:tc>
          <w:tcPr>
            <w:tcW w:type="dxa" w:w="13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P245 table</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P3 head, 2nd order NRd / MRd,x / MRd,y</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679.15 / 387.19 / −75.53</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679.16 / 387.20 / −75.52</w:t>
            </w:r>
          </w:p>
        </w:tc>
        <w:tc>
          <w:tcPr>
            <w:tcW w:type="dxa" w:w="13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P245 table</w:t>
            </w:r>
          </w:p>
        </w:tc>
      </w:tr>
      <w:tr>
        <w:trPr>
          <w:cantSplit/>
        </w:trPr>
        <w:tc>
          <w:tcPr>
            <w:tcW w:type="dxa" w:w="3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P3 head, η2</w:t>
            </w:r>
          </w:p>
        </w:tc>
        <w:tc>
          <w:tcPr>
            <w:tcW w:type="dxa" w:w="2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0.913</w:t>
            </w:r>
          </w:p>
        </w:tc>
        <w:tc>
          <w:tcPr>
            <w:tcW w:type="dxa" w:w="2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0.913</w:t>
            </w:r>
          </w:p>
        </w:tc>
        <w:tc>
          <w:tcPr>
            <w:tcW w:type="dxa" w:w="13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P242 table</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P3 head, Cc / Cs / T at failure (kN)</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1422.96 / 536.85 / 1280.65</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1422.97 / 536.86 / 1280.67</w:t>
            </w:r>
          </w:p>
        </w:tc>
        <w:tc>
          <w:tcPr>
            <w:tcW w:type="dxa" w:w="13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P260 table</w:t>
            </w:r>
          </w:p>
        </w:tc>
      </w:tr>
      <w:tr>
        <w:trPr>
          <w:cantSplit/>
        </w:trPr>
        <w:tc>
          <w:tcPr>
            <w:tcW w:type="dxa" w:w="3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P3 head, VRd,c (kN)</w:t>
            </w:r>
          </w:p>
        </w:tc>
        <w:tc>
          <w:tcPr>
            <w:tcW w:type="dxa" w:w="2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142.85</w:t>
            </w:r>
          </w:p>
        </w:tc>
        <w:tc>
          <w:tcPr>
            <w:tcW w:type="dxa" w:w="2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142.85</w:t>
            </w:r>
          </w:p>
        </w:tc>
        <w:tc>
          <w:tcPr>
            <w:tcW w:type="dxa" w:w="13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P237 table</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Beam P3–P4, MRd,x hogging (kN·m)</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−325.78</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−325.78</w:t>
            </w:r>
          </w:p>
        </w:tc>
        <w:tc>
          <w:tcPr>
            <w:tcW w:type="dxa" w:w="13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P369 table</w:t>
            </w:r>
          </w:p>
        </w:tc>
      </w:tr>
      <w:tr>
        <w:trPr>
          <w:cantSplit/>
        </w:trPr>
        <w:tc>
          <w:tcPr>
            <w:tcW w:type="dxa" w:w="3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Beam P3–P4, neutral axis x (mm)</w:t>
            </w:r>
          </w:p>
        </w:tc>
        <w:tc>
          <w:tcPr>
            <w:tcW w:type="dxa" w:w="2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68.52</w:t>
            </w:r>
          </w:p>
        </w:tc>
        <w:tc>
          <w:tcPr>
            <w:tcW w:type="dxa" w:w="2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68.52</w:t>
            </w:r>
          </w:p>
        </w:tc>
        <w:tc>
          <w:tcPr>
            <w:tcW w:type="dxa" w:w="13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image112</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Beam P3–P4, VRd,s / VRd,max (kN)</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407.15 / 1512.0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407.15 / 1512.0</w:t>
            </w:r>
          </w:p>
        </w:tc>
        <w:tc>
          <w:tcPr>
            <w:tcW w:type="dxa" w:w="13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P364 table</w:t>
            </w:r>
          </w:p>
        </w:tc>
      </w:tr>
      <w:tr>
        <w:trPr>
          <w:cantSplit/>
        </w:trPr>
        <w:tc>
          <w:tcPr>
            <w:tcW w:type="dxa" w:w="3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Beam P3–P4, η shear (VEd = 390.18 kN)</w:t>
            </w:r>
          </w:p>
        </w:tc>
        <w:tc>
          <w:tcPr>
            <w:tcW w:type="dxa" w:w="2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0.958</w:t>
            </w:r>
          </w:p>
        </w:tc>
        <w:tc>
          <w:tcPr>
            <w:tcW w:type="dxa" w:w="2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0.958</w:t>
            </w:r>
          </w:p>
        </w:tc>
        <w:tc>
          <w:tcPr>
            <w:tcW w:type="dxa" w:w="13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P364 table</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“Área Inf. / Sup. / Transv. Nec.”</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15.10 / 13.725 cm²; 22.58 cm²/m</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15.10 / 13.72 cm²; 22.58 cm²/m</w:t>
            </w:r>
          </w:p>
        </w:tc>
        <w:tc>
          <w:tcPr>
            <w:tcW w:type="dxa" w:w="13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center"/>
            </w:pPr>
            <w:r>
              <w:rPr>
                <w:sz w:val="17"/>
                <w:szCs w:val="17"/>
              </w:rPr>
              <w:t xml:space="preserve">P1620 table</w:t>
            </w:r>
          </w:p>
        </w:tc>
      </w:tr>
      <w:tr>
        <w:trPr>
          <w:cantSplit/>
        </w:trPr>
        <w:tc>
          <w:tcPr>
            <w:tcW w:type="dxa" w:w="3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Beam top As,min (z = 0.9d)</w:t>
            </w:r>
          </w:p>
        </w:tc>
        <w:tc>
          <w:tcPr>
            <w:tcW w:type="dxa" w:w="2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5.085 cm²</w:t>
            </w:r>
          </w:p>
        </w:tc>
        <w:tc>
          <w:tcPr>
            <w:tcW w:type="dxa" w:w="2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5.09 cm²</w:t>
            </w:r>
          </w:p>
        </w:tc>
        <w:tc>
          <w:tcPr>
            <w:tcW w:type="dxa" w:w="13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center"/>
            </w:pPr>
            <w:r>
              <w:rPr>
                <w:sz w:val="17"/>
                <w:szCs w:val="17"/>
              </w:rPr>
              <w:t xml:space="preserve">P359 table</w:t>
            </w:r>
          </w:p>
        </w:tc>
      </w:tr>
      <w:tr>
        <w:trPr>
          <w:cantSplit/>
        </w:trPr>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7"/>
                <w:szCs w:val="17"/>
              </w:rPr>
              <w:t xml:space="preserve">σct at M = 86 kN·m (engineer’s hand check)</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7"/>
                <w:szCs w:val="17"/>
              </w:rPr>
              <w:t xml:space="preserve">−2.205 MPa</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7"/>
                <w:szCs w:val="17"/>
              </w:rPr>
              <w:t xml:space="preserve">−2.20 MPa</w:t>
            </w:r>
          </w:p>
        </w:tc>
        <w:tc>
          <w:tcPr>
            <w:tcW w:type="dxa" w:w="13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center"/>
            </w:pPr>
            <w:r>
              <w:rPr>
                <w:sz w:val="17"/>
                <w:szCs w:val="17"/>
              </w:rPr>
              <w:t xml:space="preserve">P575</w:t>
            </w:r>
          </w:p>
        </w:tc>
      </w:tr>
    </w:tbl>
    <w:p>
      <w:pPr>
        <w:pStyle w:val="Heading2"/>
      </w:pPr>
      <w:r>
        <w:t xml:space="preserve">9.2 What CYPECAD did right and what it missed (decision F8)</w:t>
      </w:r>
    </w:p>
    <w:p>
      <w:pPr>
        <w:spacing w:after="120"/>
        <w:jc w:val="both"/>
      </w:pPr>
      <w:r>
        <w:rPr>
          <w:b/>
          <w:bCs/>
        </w:rPr>
        <w:t xml:space="preserve">Right.</w:t>
      </w:r>
    </w:p>
    <w:p>
      <w:pPr>
        <w:pStyle w:val="ListParagraph"/>
        <w:numPr>
          <w:ilvl w:val="0"/>
          <w:numId w:val="3"/>
        </w:numPr>
        <w:spacing w:after="60"/>
        <w:jc w:val="both"/>
      </w:pPr>
      <w:r>
        <w:t xml:space="preserve">The analysis-to-design chain: all capacities are reproduced exactly (0.00 %).</w:t>
      </w:r>
    </w:p>
    <w:p>
      <w:pPr>
        <w:pStyle w:val="ListParagraph"/>
        <w:numPr>
          <w:ilvl w:val="0"/>
          <w:numId w:val="3"/>
        </w:numPr>
        <w:spacing w:after="60"/>
        <w:jc w:val="both"/>
      </w:pPr>
      <w:r>
        <w:t xml:space="preserve">Second order by nominal curvature, λlim, e2, and shear with the Spanish values (CRd,c, vmin, and the ν1/fywd NOTA).</w:t>
      </w:r>
    </w:p>
    <w:p>
      <w:pPr>
        <w:pStyle w:val="ListParagraph"/>
        <w:numPr>
          <w:ilvl w:val="0"/>
          <w:numId w:val="3"/>
        </w:numPr>
        <w:spacing w:after="60"/>
        <w:jc w:val="both"/>
      </w:pPr>
      <w:r>
        <w:t xml:space="preserve">The section conventions C1–C21 change capacities by only 0–4 %, in both directions.</w:t>
      </w:r>
    </w:p>
    <w:p>
      <w:pPr>
        <w:spacing w:after="120"/>
        <w:jc w:val="both"/>
      </w:pPr>
      <w:r>
        <w:rPr>
          <w:b/>
          <w:bCs/>
        </w:rPr>
        <w:t xml:space="preserve">Missed or questionable.</w:t>
      </w:r>
    </w:p>
    <w:p>
      <w:pPr>
        <w:pStyle w:val="ListParagraph"/>
        <w:numPr>
          <w:ilvl w:val="0"/>
          <w:numId w:val="3"/>
        </w:numPr>
        <w:spacing w:after="60"/>
        <w:jc w:val="both"/>
      </w:pPr>
      <w:r>
        <w:t xml:space="preserve">The crack verdict relies on ψ2,Qa = 0.3, a CTE building value (residential, offices). With the port value 0.8 the inner beams crack and fail XS3.</w:t>
      </w:r>
    </w:p>
    <w:p>
      <w:pPr>
        <w:pStyle w:val="ListParagraph"/>
        <w:numPr>
          <w:ilvl w:val="0"/>
          <w:numId w:val="3"/>
        </w:numPr>
        <w:spacing w:after="60"/>
        <w:jc w:val="both"/>
      </w:pPr>
      <w:r>
        <w:t xml:space="preserve">Three checks were not made: the suspension steel of the ledges (A19.6.2.1(9)), the characteristic stress limit σc ≤ 0.6·fck in XS exposure (A19.7.2(2)), and the torsion from the plates bearing on the single ledge of the end beams.</w:t>
      </w:r>
    </w:p>
    <w:p>
      <w:pPr>
        <w:pStyle w:val="ListParagraph"/>
        <w:numPr>
          <w:ilvl w:val="0"/>
          <w:numId w:val="3"/>
        </w:numPr>
        <w:spacing w:after="60"/>
        <w:jc w:val="both"/>
      </w:pPr>
      <w:r>
        <w:t xml:space="preserve">The listing “Aprov.” equals 1.014 × the ray η (sd 0.002, range 1.008–1.018, 42 rows). The ratio is unexplained but slightly conservative; the detailed body values (0.913 / 0.894) are reproduced exactly.</w:t>
      </w:r>
    </w:p>
    <w:p>
      <w:pPr>
        <w:pStyle w:val="ListParagraph"/>
        <w:numPr>
          <w:ilvl w:val="0"/>
          <w:numId w:val="3"/>
        </w:numPr>
        <w:spacing w:after="60"/>
        <w:jc w:val="both"/>
      </w:pPr>
      <w:r>
        <w:t xml:space="preserve">Two listing zones show “Área Nec.” above “Área Real” and are still reported as CUMPLE: P1–P2, 15.98 &gt; 15.71 cm², and P5–P6, 15.75 &gt; 15.71 cm². Our code-strict check passes those sections (0.873 and 0.879), because the compression and side bars are counted.</w:t>
      </w:r>
    </w:p>
    <w:p>
      <w:pPr>
        <w:pStyle w:val="ListParagraph"/>
        <w:numPr>
          <w:ilvl w:val="0"/>
          <w:numId w:val="3"/>
        </w:numPr>
        <w:spacing w:after="60"/>
        <w:jc w:val="both"/>
      </w:pPr>
      <w:r>
        <w:t xml:space="preserve">The pile limits used are those of the old National Annex (0.004·Ac, fcd·Ac/fyd) instead of A19.9.5.2. With 0.04·Ac = 64 cm², the provided 58.91 cm² still passes.</w:t>
      </w:r>
    </w:p>
    <w:p>
      <w:pPr>
        <w:pStyle w:val="ListParagraph"/>
        <w:numPr>
          <w:ilvl w:val="0"/>
          <w:numId w:val="3"/>
        </w:numPr>
        <w:spacing w:after="60"/>
        <w:jc w:val="both"/>
      </w:pPr>
      <w:r>
        <w:t xml:space="preserve">The text of Anejo 10 has an arithmetic slip in the “viga cantil” hand check: 410/4.65 = 88 kN, not the printed 83 kN. The conclusion still holds against the printed resistance of 502 kN.</w:t>
      </w:r>
    </w:p>
    <w:p>
      <w:pPr>
        <w:pStyle w:val="Heading1"/>
      </w:pPr>
      <w:r>
        <w:t xml:space="preserve">10. Limitations and open points</w:t>
      </w:r>
    </w:p>
    <w:p>
      <w:pPr>
        <w:spacing w:after="120"/>
        <w:jc w:val="both"/>
      </w:pPr>
      <w:r>
        <w:rPr>
          <w:b/>
          <w:bCs/>
        </w:rPr>
        <w:t xml:space="preserve">General limitations.</w:t>
      </w:r>
      <w:r>
        <w:t xml:space="preserve"> The analysis is linear, with equivalent pile fixity at 7.25 m; a model with soil springs along the full pile is recommended as further work. Anchorage and lap lengths, fatigue and the hollow-core slab were not checked. Some dimensions were measured on the Anejo 10 figures and may be a few centimetres off.</w:t>
      </w:r>
    </w:p>
    <w:p>
      <w:pPr>
        <w:spacing w:after="120"/>
        <w:jc w:val="both"/>
      </w:pPr>
      <w:r>
        <w:rPr>
          <w:b/>
          <w:bCs/>
        </w:rPr>
        <w:t xml:space="preserve">Open points</w:t>
      </w:r>
      <w:r>
        <w:t xml:space="preserve"> (items 1–8 follow decisions F1–F8):</w:t>
      </w:r>
    </w:p>
    <w:p>
      <w:pPr>
        <w:pStyle w:val="ListParagraph"/>
        <w:numPr>
          <w:ilvl w:val="0"/>
          <w:numId w:val="7"/>
        </w:numPr>
        <w:spacing w:after="60"/>
        <w:jc w:val="both"/>
      </w:pPr>
      <w:r>
        <w:rPr>
          <w:b/>
          <w:bCs/>
        </w:rPr>
        <w:t xml:space="preserve">Pile-head confinement (F1).</w:t>
      </w:r>
      <w:r>
        <w:t xml:space="preserve"> Detail the Ø10 c/100 ties in the top 0.40 m on the precast-pile drawing. The quantitative justification of confinement as an “other measure” under A19.7.2(2) is indicative (A19.3.1.9). Alternative: HA-60 (fck ≥ 55.5 MPa).</w:t>
      </w:r>
    </w:p>
    <w:p>
      <w:pPr>
        <w:pStyle w:val="ListParagraph"/>
        <w:numPr>
          <w:ilvl w:val="0"/>
          <w:numId w:val="7"/>
        </w:numPr>
        <w:spacing w:after="60"/>
        <w:jc w:val="both"/>
      </w:pPr>
      <w:r>
        <w:rPr>
          <w:b/>
          <w:bCs/>
        </w:rPr>
        <w:t xml:space="preserve">Bollard ψ2 = 0 (F2).</w:t>
      </w:r>
      <w:r>
        <w:t xml:space="preserve"> Confirm with the Port Authority from mooring records. With 0.5, six piles crack (wk up to 0.153 mm) and no solution exists with As ≤ 0.04·Ac. Alternative: accept wk ≤ 0.2 mm for that case.</w:t>
      </w:r>
    </w:p>
    <w:p>
      <w:pPr>
        <w:pStyle w:val="ListParagraph"/>
        <w:numPr>
          <w:ilvl w:val="0"/>
          <w:numId w:val="7"/>
        </w:numPr>
        <w:spacing w:after="60"/>
        <w:jc w:val="both"/>
      </w:pPr>
      <w:r>
        <w:rPr>
          <w:b/>
          <w:bCs/>
        </w:rPr>
        <w:t xml:space="preserve">Plate bearing on the end beams (F4).</w:t>
      </w:r>
      <w:r>
        <w:t xml:space="preserve"> Verify the bearing detail: at the pile axis, or on the ledge. If on the ledge, use top 4Ø25 instead of 5Ø20.</w:t>
      </w:r>
    </w:p>
    <w:p>
      <w:pPr>
        <w:pStyle w:val="ListParagraph"/>
        <w:numPr>
          <w:ilvl w:val="0"/>
          <w:numId w:val="7"/>
        </w:numPr>
        <w:spacing w:after="60"/>
        <w:jc w:val="both"/>
      </w:pPr>
      <w:r>
        <w:rPr>
          <w:b/>
          <w:bCs/>
        </w:rPr>
        <w:t xml:space="preserve">Load sharing of the edge beams (F5).</w:t>
      </w:r>
      <w:r>
        <w:t xml:space="preserve"> The 3Ø25 top depends on the slab model (SAP orthotropic shell against CYPECAD strips). Confirm the model, or deepen the edge beam.</w:t>
      </w:r>
    </w:p>
    <w:p>
      <w:pPr>
        <w:pStyle w:val="ListParagraph"/>
        <w:numPr>
          <w:ilvl w:val="0"/>
          <w:numId w:val="7"/>
        </w:numPr>
        <w:spacing w:after="60"/>
        <w:jc w:val="both"/>
      </w:pPr>
      <w:r>
        <w:rPr>
          <w:b/>
          <w:bCs/>
        </w:rPr>
        <w:t xml:space="preserve">Top-bar curtailment (F6).</w:t>
      </w:r>
      <w:r>
        <w:t xml:space="preserve"> Do not curtail within al ≈ 0.43 m of the pile faces; anchor the bars fully over the piles.</w:t>
      </w:r>
    </w:p>
    <w:p>
      <w:pPr>
        <w:pStyle w:val="ListParagraph"/>
        <w:numPr>
          <w:ilvl w:val="0"/>
          <w:numId w:val="7"/>
        </w:numPr>
        <w:spacing w:after="60"/>
        <w:jc w:val="both"/>
      </w:pPr>
      <w:r>
        <w:rPr>
          <w:b/>
          <w:bCs/>
        </w:rPr>
        <w:t xml:space="preserve">New bottom steel of the inner beams (F3).</w:t>
      </w:r>
      <w:r>
        <w:t xml:space="preserve"> 8Ø20 in the web leaves 31 mm clear spacing (≥ dg + 5 = 25 mm). Check concreting and the anchorage of the bars in the pile nodes. The 4Ø16 in the ledges sit inside the ledge hoop.</w:t>
      </w:r>
    </w:p>
    <w:p>
      <w:pPr>
        <w:pStyle w:val="ListParagraph"/>
        <w:numPr>
          <w:ilvl w:val="0"/>
          <w:numId w:val="7"/>
        </w:numPr>
        <w:spacing w:after="60"/>
        <w:jc w:val="both"/>
      </w:pPr>
      <w:r>
        <w:rPr>
          <w:b/>
          <w:bCs/>
        </w:rPr>
        <w:t xml:space="preserve">SAP2000 EC2 check (F7).</w:t>
      </w:r>
      <w:r>
        <w:t xml:space="preserve"> The SAP pile ratio (~0.71) is not comparable with our second order (0.93–0.99); our verdict governs. See §8 for the checks SAP does not make.</w:t>
      </w:r>
    </w:p>
    <w:p>
      <w:pPr>
        <w:pStyle w:val="ListParagraph"/>
        <w:numPr>
          <w:ilvl w:val="0"/>
          <w:numId w:val="7"/>
        </w:numPr>
        <w:spacing w:after="60"/>
        <w:jc w:val="both"/>
      </w:pPr>
      <w:r>
        <w:rPr>
          <w:b/>
          <w:bCs/>
        </w:rPr>
        <w:t xml:space="preserve">Anejo 10 (F8).</w:t>
      </w:r>
      <w:r>
        <w:t xml:space="preserve"> The listing “Aprov.” = 1.014 × the ray η is unexplained. The arithmetic slip 410/4.65 = 88 kN (not 83). CYPECAD did not check the ledge suspension, the characteristic σc or the end-beam ledge torsion.</w:t>
      </w:r>
    </w:p>
    <w:p>
      <w:pPr>
        <w:pStyle w:val="ListParagraph"/>
        <w:numPr>
          <w:ilvl w:val="0"/>
          <w:numId w:val="7"/>
        </w:numPr>
        <w:spacing w:after="60"/>
        <w:jc w:val="both"/>
      </w:pPr>
      <w:r>
        <w:rPr>
          <w:b/>
          <w:bCs/>
        </w:rPr>
        <w:t xml:space="preserve">φef = 1.75</w:t>
      </w:r>
      <w:r>
        <w:t xml:space="preserve"> (CYPECAD input) in the pile second order is conservative. A19.5.8.4 with ψ2,bollard = 0 would give φef ≈ 0. It has not been reduced.</w:t>
      </w:r>
    </w:p>
    <w:p>
      <w:pPr>
        <w:pStyle w:val="Heading1"/>
      </w:pPr>
      <w:r>
        <w:t xml:space="preserve">11. Conclusions</w:t>
      </w:r>
    </w:p>
    <w:p>
      <w:pPr>
        <w:pStyle w:val="ListParagraph"/>
        <w:numPr>
          <w:ilvl w:val="0"/>
          <w:numId w:val="3"/>
        </w:numPr>
        <w:spacing w:after="60"/>
        <w:jc w:val="both"/>
      </w:pPr>
      <w:r>
        <w:t xml:space="preserve">The Anejo 10 design was checked against the Código Estructural (Anejo 19 with the Spanish values) using the SAP2000 v27.1 forces. The engine reproduces CYPECAD exactly: 151/0 formula checks and 279/279 parity rows.</w:t>
      </w:r>
    </w:p>
    <w:p>
      <w:pPr>
        <w:pStyle w:val="ListParagraph"/>
        <w:numPr>
          <w:ilvl w:val="0"/>
          <w:numId w:val="3"/>
        </w:numPr>
        <w:spacing w:after="60"/>
        <w:jc w:val="both"/>
      </w:pPr>
      <w:r>
        <w:rPr>
          <w:b/>
          <w:bCs/>
        </w:rPr>
        <w:t xml:space="preserve">Piles:</w:t>
      </w:r>
      <w:r>
        <w:t xml:space="preserve"> 12Ø25 is necessary and sufficient (As,req = 58.43 against 58.91 cm²; η = 0.987 at the P3 head in the ROM basis). Shear, detailing and cracking pass. The characteristic stress limit at four pile heads is met by confinement ties Ø10 c/100 in the top 0.40 m.</w:t>
      </w:r>
    </w:p>
    <w:p>
      <w:pPr>
        <w:pStyle w:val="ListParagraph"/>
        <w:numPr>
          <w:ilvl w:val="0"/>
          <w:numId w:val="3"/>
        </w:numPr>
        <w:spacing w:after="60"/>
        <w:jc w:val="both"/>
      </w:pPr>
      <w:r>
        <w:rPr>
          <w:b/>
          <w:bCs/>
        </w:rPr>
        <w:t xml:space="preserve">Inner transverse beams:</w:t>
      </w:r>
      <w:r>
        <w:t xml:space="preserve"> strength, shear with suspension steel, and deflection pass. For the port quasi-permanent load (ψ2,Qa = 0.8) the bottom steel must increase to 8Ø20 + 4Ø16 (33.18 cm²) to meet wk ≤ 0.1 mm (XS3). The original 7Ø20 passes only for ψ2,Qa ≤ 0.58–0.70.</w:t>
      </w:r>
    </w:p>
    <w:p>
      <w:pPr>
        <w:pStyle w:val="ListParagraph"/>
        <w:numPr>
          <w:ilvl w:val="0"/>
          <w:numId w:val="3"/>
        </w:numPr>
        <w:spacing w:after="60"/>
        <w:jc w:val="both"/>
      </w:pPr>
      <w:r>
        <w:rPr>
          <w:b/>
          <w:bCs/>
        </w:rPr>
        <w:t xml:space="preserve">End beams:</w:t>
      </w:r>
      <w:r>
        <w:t xml:space="preserve"> they pass as designed (0.973). The bearing detail of the plates must be confirmed; if they bear on the ledge, the top steel becomes 4Ø25.</w:t>
      </w:r>
    </w:p>
    <w:p>
      <w:pPr>
        <w:pStyle w:val="ListParagraph"/>
        <w:numPr>
          <w:ilvl w:val="0"/>
          <w:numId w:val="3"/>
        </w:numPr>
        <w:spacing w:after="60"/>
        <w:jc w:val="both"/>
      </w:pPr>
      <w:r>
        <w:rPr>
          <w:b/>
          <w:bCs/>
        </w:rPr>
        <w:t xml:space="preserve">Edge beams:</w:t>
      </w:r>
      <w:r>
        <w:t xml:space="preserve"> under the SAP load sharing, the top steel over the supports becomes 3Ø25 (wk 0.067 mm). This result depends on the slab model.</w:t>
      </w:r>
    </w:p>
    <w:p>
      <w:pPr>
        <w:pStyle w:val="ListParagraph"/>
        <w:numPr>
          <w:ilvl w:val="0"/>
          <w:numId w:val="3"/>
        </w:numPr>
        <w:spacing w:after="60"/>
        <w:jc w:val="both"/>
      </w:pPr>
      <w:r>
        <w:t xml:space="preserve">SAP2000’s own EC2 check is prepared as a cross-check, but its pile ratio is not comparable with the second-order utilisation. The verdict of this report governs.</w:t>
      </w:r>
    </w:p>
    <w:p>
      <w:pPr>
        <w:pStyle w:val="ListParagraph"/>
        <w:numPr>
          <w:ilvl w:val="0"/>
          <w:numId w:val="3"/>
        </w:numPr>
        <w:spacing w:after="60"/>
        <w:jc w:val="both"/>
      </w:pPr>
      <w:r>
        <w:t xml:space="preserve">The main difference from Anejo 10 is the quasi-permanent factor of the quay load (0.3 for buildings against 0.8 for ports), together with three checks that CYPECAD did not make: ledge suspension, the characteristic σc in XS, and the ledge torsion of the end beams.</w:t>
      </w:r>
    </w:p>
    <w:p>
      <w:pPr>
        <w:pStyle w:val="Heading1"/>
      </w:pPr>
      <w:r>
        <w:t xml:space="preserve">Appendix A. Files and commands</w:t>
      </w:r>
    </w:p>
    <w:p>
      <w:pPr>
        <w:keepNext/>
        <w:spacing w:after="80" w:before="160"/>
        <w:jc w:val="center"/>
      </w:pPr>
      <w:r>
        <w:rPr>
          <w:i/>
          <w:iCs/>
          <w:color w:val="404040"/>
          <w:sz w:val="18"/>
          <w:szCs w:val="18"/>
        </w:rPr>
        <w:t xml:space="preserve">Table 27 – Design files in the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7"/>
                <w:szCs w:val="17"/>
              </w:rPr>
              <w:t xml:space="preserve">Path</w:t>
            </w:r>
          </w:p>
        </w:tc>
        <w:tc>
          <w:tcPr>
            <w:tcW w:type="dxa" w:w="48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7"/>
                <w:szCs w:val="17"/>
              </w:rPr>
              <w:t xml:space="preserve">Content</w:t>
            </w:r>
          </w:p>
        </w:tc>
      </w:tr>
      <w:tr>
        <w:trPr>
          <w:cantSplit/>
        </w:trPr>
        <w:tc>
          <w:tcPr>
            <w:tcW w:type="dxa" w:w="4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diseno/esfuerzos.py</w:t>
            </w:r>
          </w:p>
        </w:tc>
        <w:tc>
          <w:tcPr>
            <w:tcW w:type="dxa" w:w="48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SAP2000 forces → CYPECAD convention; combinations of the CYPE and ROM bases</w:t>
            </w:r>
          </w:p>
        </w:tc>
      </w:tr>
      <w:tr>
        <w:trPr>
          <w:cantSplit/>
        </w:trPr>
        <w:tc>
          <w:tcPr>
            <w:tcW w:type="dxa" w:w="4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diseno/codigo/seccion.py</w:t>
            </w:r>
          </w:p>
        </w:tc>
        <w:tc>
          <w:tcPr>
            <w:tcW w:type="dxa" w:w="48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fibre-section engine (Mode.CYPE / Mode.CODIGO)</w:t>
            </w:r>
          </w:p>
        </w:tc>
      </w:tr>
      <w:tr>
        <w:trPr>
          <w:cantSplit/>
        </w:trPr>
        <w:tc>
          <w:tcPr>
            <w:tcW w:type="dxa" w:w="4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diseno/codigo/pilotes.py, armado_pilote.py</w:t>
            </w:r>
          </w:p>
        </w:tc>
        <w:tc>
          <w:tcPr>
            <w:tcW w:type="dxa" w:w="48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pile checks, provided and practical layouts → output/pilotes.json/.md</w:t>
            </w:r>
          </w:p>
        </w:tc>
      </w:tr>
      <w:tr>
        <w:trPr>
          <w:cantSplit/>
        </w:trPr>
        <w:tc>
          <w:tcPr>
            <w:tcW w:type="dxa" w:w="4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diseno/codigo/vigas.py, armado_vigas.py</w:t>
            </w:r>
          </w:p>
        </w:tc>
        <w:tc>
          <w:tcPr>
            <w:tcW w:type="dxa" w:w="48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beam checks and reinforcement search → output/vigas.json/.md</w:t>
            </w:r>
          </w:p>
        </w:tc>
      </w:tr>
      <w:tr>
        <w:trPr>
          <w:cantSplit/>
        </w:trPr>
        <w:tc>
          <w:tcPr>
            <w:tcW w:type="dxa" w:w="4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diseno/run_diseno.py</w:t>
            </w:r>
          </w:p>
        </w:tc>
        <w:tc>
          <w:tcPr>
            <w:tcW w:type="dxa" w:w="48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final design: workbook, diseno_final.md/.json, figures d1–d8</w:t>
            </w:r>
          </w:p>
        </w:tc>
      </w:tr>
      <w:tr>
        <w:trPr>
          <w:cantSplit/>
        </w:trPr>
        <w:tc>
          <w:tcPr>
            <w:tcW w:type="dxa" w:w="4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diseno/output/Diseno_Codigo_Estructural.xlsx</w:t>
            </w:r>
          </w:p>
        </w:tc>
        <w:tc>
          <w:tcPr>
            <w:tcW w:type="dxa" w:w="48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workbook (10 sheets, native charts)</w:t>
            </w:r>
          </w:p>
        </w:tc>
      </w:tr>
      <w:tr>
        <w:trPr>
          <w:cantSplit/>
        </w:trPr>
        <w:tc>
          <w:tcPr>
            <w:tcW w:type="dxa" w:w="4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diseno/output/diseno_final.md, .json</w:t>
            </w:r>
          </w:p>
        </w:tc>
        <w:tc>
          <w:tcPr>
            <w:tcW w:type="dxa" w:w="48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final design summary, decisions F0–F8, open points</w:t>
            </w:r>
          </w:p>
        </w:tc>
      </w:tr>
      <w:tr>
        <w:trPr>
          <w:cantSplit/>
        </w:trPr>
        <w:tc>
          <w:tcPr>
            <w:tcW w:type="dxa" w:w="4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diseno/ref/cype_design_reference.json, .md</w:t>
            </w:r>
          </w:p>
        </w:tc>
        <w:tc>
          <w:tcPr>
            <w:tcW w:type="dxa" w:w="48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all CYPECAD design values with sources</w:t>
            </w:r>
          </w:p>
        </w:tc>
      </w:tr>
      <w:tr>
        <w:trPr>
          <w:cantSplit/>
        </w:trPr>
        <w:tc>
          <w:tcPr>
            <w:tcW w:type="dxa" w:w="4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diseno/investigacion/codigo_estructural_spec.md</w:t>
            </w:r>
          </w:p>
        </w:tc>
        <w:tc>
          <w:tcPr>
            <w:tcW w:type="dxa" w:w="48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formulas, Spanish values, conventions C1–C21, ψ discussion</w:t>
            </w:r>
          </w:p>
        </w:tc>
      </w:tr>
      <w:tr>
        <w:trPr>
          <w:cantSplit/>
        </w:trPr>
        <w:tc>
          <w:tcPr>
            <w:tcW w:type="dxa" w:w="4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diseno/investigacion/validate_codigo.py</w:t>
            </w:r>
          </w:p>
        </w:tc>
        <w:tc>
          <w:tcPr>
            <w:tcW w:type="dxa" w:w="48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formula validation against Anejo 10 (151 PASS)</w:t>
            </w:r>
          </w:p>
        </w:tc>
      </w:tr>
      <w:tr>
        <w:trPr>
          <w:cantSplit/>
        </w:trPr>
        <w:tc>
          <w:tcPr>
            <w:tcW w:type="dxa" w:w="4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diseno/investigacion/sap_design_spec.md</w:t>
            </w:r>
          </w:p>
        </w:tc>
        <w:tc>
          <w:tcPr>
            <w:tcW w:type="dxa" w:w="48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SAP2000 EC2 design implementation spec</w:t>
            </w:r>
          </w:p>
        </w:tc>
      </w:tr>
      <w:tr>
        <w:trPr>
          <w:cantSplit/>
        </w:trPr>
        <w:tc>
          <w:tcPr>
            <w:tcW w:type="dxa" w:w="4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diseno/sap/</w:t>
            </w:r>
          </w:p>
        </w:tc>
        <w:tc>
          <w:tcPr>
            <w:tcW w:type="dxa" w:w="48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7"/>
                <w:szCs w:val="17"/>
              </w:rPr>
              <w:t xml:space="preserve">SAP2000 design files (.$2k, OAPI script, reader, expected values, Persian GUI guide)</w:t>
            </w:r>
          </w:p>
        </w:tc>
      </w:tr>
      <w:tr>
        <w:trPr>
          <w:cantSplit/>
        </w:trPr>
        <w:tc>
          <w:tcPr>
            <w:tcW w:type="dxa" w:w="4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diseno/tests/</w:t>
            </w:r>
          </w:p>
        </w:tc>
        <w:tc>
          <w:tcPr>
            <w:tcW w:type="dxa" w:w="48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7"/>
                <w:szCs w:val="17"/>
              </w:rPr>
              <w:t xml:space="preserve">pytest suite</w:t>
            </w:r>
          </w:p>
        </w:tc>
      </w:tr>
      <w:tr>
        <w:trPr>
          <w:cantSplit/>
        </w:trPr>
        <w:tc>
          <w:tcPr>
            <w:tcW w:type="dxa" w:w="42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diseno/documentacion/figuras/</w:t>
            </w:r>
          </w:p>
        </w:tc>
        <w:tc>
          <w:tcPr>
            <w:tcW w:type="dxa" w:w="48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val="false"/>
              <w:jc w:val="left"/>
            </w:pPr>
            <w:r>
              <w:rPr>
                <w:sz w:val="17"/>
                <w:szCs w:val="17"/>
              </w:rPr>
              <w:t xml:space="preserve">figures d1–d8 of this report</w:t>
            </w:r>
          </w:p>
        </w:tc>
      </w:tr>
    </w:tbl>
    <w:p>
      <w:pPr>
        <w:keepNext/>
        <w:spacing w:after="80" w:before="160"/>
        <w:jc w:val="center"/>
      </w:pPr>
      <w:r>
        <w:rPr>
          <w:i/>
          <w:iCs/>
          <w:color w:val="404040"/>
          <w:sz w:val="18"/>
          <w:szCs w:val="18"/>
        </w:rPr>
        <w:t xml:space="preserve">Table 28 – Commands (from the repository root).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8"/>
                <w:szCs w:val="18"/>
              </w:rPr>
              <w:t xml:space="preserve">Command</w:t>
            </w:r>
          </w:p>
        </w:tc>
        <w:tc>
          <w:tcPr>
            <w:tcW w:type="dxa" w:w="4726"/>
            <w:tcBorders>
              <w:top w:val="single" w:color="A6A6A6" w:sz="4"/>
              <w:left w:val="single" w:color="A6A6A6" w:sz="4"/>
              <w:bottom w:val="single" w:color="A6A6A6" w:sz="4"/>
              <w:right w:val="single" w:color="A6A6A6" w:sz="4"/>
            </w:tcBorders>
            <w:shd w:fill="1F4E79" w:color="auto" w:val="clear"/>
            <w:tcMar>
              <w:top w:type="dxa" w:w="50"/>
              <w:left w:type="dxa" w:w="90"/>
              <w:bottom w:type="dxa" w:w="50"/>
              <w:right w:type="dxa" w:w="90"/>
            </w:tcMar>
            <w:vAlign w:val="center"/>
          </w:tcPr>
          <w:p>
            <w:pPr>
              <w:keepNext/>
              <w:jc w:val="left"/>
            </w:pPr>
            <w:r>
              <w:rPr>
                <w:b/>
                <w:bCs/>
                <w:color w:val="FFFFFF"/>
                <w:sz w:val="18"/>
                <w:szCs w:val="18"/>
              </w:rPr>
              <w:t xml:space="preserve">Result</w:t>
            </w:r>
          </w:p>
        </w:tc>
      </w:tr>
      <w:tr>
        <w:trPr>
          <w:cantSplit/>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8"/>
                <w:szCs w:val="18"/>
              </w:rPr>
              <w:t xml:space="preserve">python3 diseno/run_diseno.py</w:t>
            </w:r>
          </w:p>
        </w:tc>
        <w:tc>
          <w:tcPr>
            <w:tcW w:type="dxa" w:w="47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8"/>
                <w:szCs w:val="18"/>
              </w:rPr>
              <w:t xml:space="preserve">runs pilotes and vigas (~90 s) and writes the workbook, summary and figures</w:t>
            </w:r>
          </w:p>
        </w:tc>
      </w:tr>
      <w:tr>
        <w:trPr>
          <w:cantSplit/>
        </w:trPr>
        <w:tc>
          <w:tcPr>
            <w:tcW w:type="dxa" w:w="4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8"/>
                <w:szCs w:val="18"/>
              </w:rPr>
              <w:t xml:space="preserve">python3 diseno/run_diseno.py --reuse</w:t>
            </w:r>
          </w:p>
        </w:tc>
        <w:tc>
          <w:tcPr>
            <w:tcW w:type="dxa" w:w="47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8"/>
                <w:szCs w:val="18"/>
              </w:rPr>
              <w:t xml:space="preserve">same, reusing output/pilotes.json and vigas.json (~15–20 s)</w:t>
            </w:r>
          </w:p>
        </w:tc>
      </w:tr>
      <w:tr>
        <w:trPr>
          <w:cantSplit/>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8"/>
                <w:szCs w:val="18"/>
              </w:rPr>
              <w:t xml:space="preserve">python3 diseno/codigo/pilotes.py --basis ROM --mode codigo</w:t>
            </w:r>
          </w:p>
        </w:tc>
        <w:tc>
          <w:tcPr>
            <w:tcW w:type="dxa" w:w="47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8"/>
                <w:szCs w:val="18"/>
              </w:rPr>
              <w:t xml:space="preserve">pile checks of one basis/mode</w:t>
            </w:r>
          </w:p>
        </w:tc>
      </w:tr>
      <w:tr>
        <w:trPr>
          <w:cantSplit/>
        </w:trPr>
        <w:tc>
          <w:tcPr>
            <w:tcW w:type="dxa" w:w="4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8"/>
                <w:szCs w:val="18"/>
              </w:rPr>
              <w:t xml:space="preserve">python3 diseno/codigo/vigas.py</w:t>
            </w:r>
          </w:p>
        </w:tc>
        <w:tc>
          <w:tcPr>
            <w:tcW w:type="dxa" w:w="47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8"/>
                <w:szCs w:val="18"/>
              </w:rPr>
              <w:t xml:space="preserve">beam checks (three cases) and reinforcement search</w:t>
            </w:r>
          </w:p>
        </w:tc>
      </w:tr>
      <w:tr>
        <w:trPr>
          <w:cantSplit/>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8"/>
                <w:szCs w:val="18"/>
              </w:rPr>
              <w:t xml:space="preserve">python3 diseno/investigacion/validate_codigo.py</w:t>
            </w:r>
          </w:p>
        </w:tc>
        <w:tc>
          <w:tcPr>
            <w:tcW w:type="dxa" w:w="47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8"/>
                <w:szCs w:val="18"/>
              </w:rPr>
              <w:t xml:space="preserve">formula validation against Anejo 10</w:t>
            </w:r>
          </w:p>
        </w:tc>
      </w:tr>
      <w:tr>
        <w:trPr>
          <w:cantSplit/>
        </w:trPr>
        <w:tc>
          <w:tcPr>
            <w:tcW w:type="dxa" w:w="4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8"/>
                <w:szCs w:val="18"/>
              </w:rPr>
              <w:t xml:space="preserve">python3 diseno/sap/write_s2k_diseno.py [--base ROM]</w:t>
            </w:r>
          </w:p>
        </w:tc>
        <w:tc>
          <w:tcPr>
            <w:tcW w:type="dxa" w:w="47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8"/>
                <w:szCs w:val="18"/>
              </w:rPr>
              <w:t xml:space="preserve">writes the SAP2000 .$2k design files</w:t>
            </w:r>
          </w:p>
        </w:tc>
      </w:tr>
      <w:tr>
        <w:trPr>
          <w:cantSplit/>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8"/>
                <w:szCs w:val="18"/>
              </w:rPr>
              <w:t xml:space="preserve">python diseno/sap/sap_oapi_diseno.py [--base ROM]</w:t>
            </w:r>
          </w:p>
        </w:tc>
        <w:tc>
          <w:tcPr>
            <w:tcW w:type="dxa" w:w="47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jc w:val="left"/>
            </w:pPr>
            <w:r>
              <w:rPr>
                <w:sz w:val="18"/>
                <w:szCs w:val="18"/>
              </w:rPr>
              <w:t xml:space="preserve">SAP2000 design through the OAPI (Windows)</w:t>
            </w:r>
          </w:p>
        </w:tc>
      </w:tr>
      <w:tr>
        <w:trPr>
          <w:cantSplit/>
        </w:trPr>
        <w:tc>
          <w:tcPr>
            <w:tcW w:type="dxa" w:w="43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8"/>
                <w:szCs w:val="18"/>
              </w:rPr>
              <w:t xml:space="preserve">python3 diseno/sap/leer_diseno_sap.py &lt;export&gt;</w:t>
            </w:r>
          </w:p>
        </w:tc>
        <w:tc>
          <w:tcPr>
            <w:tcW w:type="dxa" w:w="4726"/>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keepNext/>
              <w:jc w:val="left"/>
            </w:pPr>
            <w:r>
              <w:rPr>
                <w:sz w:val="18"/>
                <w:szCs w:val="18"/>
              </w:rPr>
              <w:t xml:space="preserve">compares SAP2000 design output with this design</w:t>
            </w:r>
          </w:p>
        </w:tc>
      </w:tr>
      <w:tr>
        <w:trPr>
          <w:cantSplit/>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8"/>
                <w:szCs w:val="18"/>
              </w:rPr>
              <w:t xml:space="preserve">pytest diseno/tests</w:t>
            </w:r>
          </w:p>
        </w:tc>
        <w:tc>
          <w:tcPr>
            <w:tcW w:type="dxa" w:w="47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jc w:val="left"/>
            </w:pPr>
            <w:r>
              <w:rPr>
                <w:sz w:val="18"/>
                <w:szCs w:val="18"/>
              </w:rPr>
              <w:t xml:space="preserve">unit tests</w:t>
            </w:r>
          </w:p>
        </w:tc>
      </w:tr>
    </w:tbl>
    <w:p>
      <w:pPr>
        <w:pStyle w:val="Heading1"/>
      </w:pPr>
      <w:r>
        <w:t xml:space="preserve">Appendix B. Clause 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rPr>
          <w:cantSplit/>
          <w:tblHeader/>
        </w:trPr>
        <w:tc>
          <w:tcPr>
            <w:tcW w:type="dxa" w:w="3000"/>
            <w:tcBorders>
              <w:top w:val="single" w:color="A6A6A6" w:sz="4"/>
              <w:left w:val="single" w:color="A6A6A6" w:sz="4"/>
              <w:bottom w:val="single" w:color="A6A6A6" w:sz="4"/>
              <w:right w:val="single" w:color="A6A6A6" w:sz="4"/>
            </w:tcBorders>
            <w:shd w:fill="1F4E79" w:color="auto" w:val="clear"/>
            <w:tcMar>
              <w:top w:type="dxa" w:w="30"/>
              <w:left w:type="dxa" w:w="90"/>
              <w:bottom w:type="dxa" w:w="30"/>
              <w:right w:type="dxa" w:w="90"/>
            </w:tcMar>
            <w:vAlign w:val="center"/>
          </w:tcPr>
          <w:p>
            <w:pPr>
              <w:keepNext w:val="false"/>
              <w:jc w:val="left"/>
            </w:pPr>
            <w:r>
              <w:rPr>
                <w:b/>
                <w:bCs/>
                <w:color w:val="FFFFFF"/>
                <w:sz w:val="17"/>
                <w:szCs w:val="17"/>
              </w:rPr>
              <w:t xml:space="preserve">Clause</w:t>
            </w:r>
          </w:p>
        </w:tc>
        <w:tc>
          <w:tcPr>
            <w:tcW w:type="dxa" w:w="4526"/>
            <w:tcBorders>
              <w:top w:val="single" w:color="A6A6A6" w:sz="4"/>
              <w:left w:val="single" w:color="A6A6A6" w:sz="4"/>
              <w:bottom w:val="single" w:color="A6A6A6" w:sz="4"/>
              <w:right w:val="single" w:color="A6A6A6" w:sz="4"/>
            </w:tcBorders>
            <w:shd w:fill="1F4E79" w:color="auto" w:val="clear"/>
            <w:tcMar>
              <w:top w:type="dxa" w:w="30"/>
              <w:left w:type="dxa" w:w="90"/>
              <w:bottom w:type="dxa" w:w="30"/>
              <w:right w:type="dxa" w:w="90"/>
            </w:tcMar>
            <w:vAlign w:val="center"/>
          </w:tcPr>
          <w:p>
            <w:pPr>
              <w:keepNext w:val="false"/>
              <w:jc w:val="left"/>
            </w:pPr>
            <w:r>
              <w:rPr>
                <w:b/>
                <w:bCs/>
                <w:color w:val="FFFFFF"/>
                <w:sz w:val="17"/>
                <w:szCs w:val="17"/>
              </w:rPr>
              <w:t xml:space="preserve">Topic</w:t>
            </w:r>
          </w:p>
        </w:tc>
        <w:tc>
          <w:tcPr>
            <w:tcW w:type="dxa" w:w="1500"/>
            <w:tcBorders>
              <w:top w:val="single" w:color="A6A6A6" w:sz="4"/>
              <w:left w:val="single" w:color="A6A6A6" w:sz="4"/>
              <w:bottom w:val="single" w:color="A6A6A6" w:sz="4"/>
              <w:right w:val="single" w:color="A6A6A6" w:sz="4"/>
            </w:tcBorders>
            <w:shd w:fill="1F4E79" w:color="auto" w:val="clear"/>
            <w:tcMar>
              <w:top w:type="dxa" w:w="30"/>
              <w:left w:type="dxa" w:w="90"/>
              <w:bottom w:type="dxa" w:w="30"/>
              <w:right w:type="dxa" w:w="90"/>
            </w:tcMar>
            <w:vAlign w:val="center"/>
          </w:tcPr>
          <w:p>
            <w:pPr>
              <w:keepNext w:val="false"/>
              <w:jc w:val="center"/>
            </w:pPr>
            <w:r>
              <w:rPr>
                <w:b/>
                <w:bCs/>
                <w:color w:val="FFFFFF"/>
                <w:sz w:val="17"/>
                <w:szCs w:val="17"/>
              </w:rPr>
              <w:t xml:space="preserve">Section</w:t>
            </w:r>
          </w:p>
        </w:tc>
      </w:tr>
      <w:tr>
        <w:trPr>
          <w:cantSplit/>
        </w:trPr>
        <w:tc>
          <w:tcPr>
            <w:tcW w:type="dxa" w:w="3000"/>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left"/>
            </w:pPr>
            <w:r>
              <w:rPr>
                <w:sz w:val="17"/>
                <w:szCs w:val="17"/>
              </w:rPr>
              <w:t xml:space="preserve">A19.2.4.2.4</w:t>
            </w:r>
          </w:p>
        </w:tc>
        <w:tc>
          <w:tcPr>
            <w:tcW w:type="dxa" w:w="4526"/>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left"/>
            </w:pPr>
            <w:r>
              <w:rPr>
                <w:sz w:val="17"/>
                <w:szCs w:val="17"/>
              </w:rPr>
              <w:t xml:space="preserve">partial factors γc, γs</w:t>
            </w:r>
          </w:p>
        </w:tc>
        <w:tc>
          <w:tcPr>
            <w:tcW w:type="dxa" w:w="1500"/>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center"/>
            </w:pPr>
            <w:r>
              <w:rPr>
                <w:sz w:val="17"/>
                <w:szCs w:val="17"/>
              </w:rPr>
              <w:t xml:space="preserve">2.1</w:t>
            </w:r>
          </w:p>
        </w:tc>
      </w:tr>
      <w:tr>
        <w:trPr>
          <w:cantSplit/>
        </w:trPr>
        <w:tc>
          <w:tcPr>
            <w:tcW w:type="dxa" w:w="3000"/>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left"/>
            </w:pPr>
            <w:r>
              <w:rPr>
                <w:sz w:val="17"/>
                <w:szCs w:val="17"/>
              </w:rPr>
              <w:t xml:space="preserve">A19.3.1.3, A19.3.1.6, A19.3.1.7</w:t>
            </w:r>
          </w:p>
        </w:tc>
        <w:tc>
          <w:tcPr>
            <w:tcW w:type="dxa" w:w="4526"/>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left"/>
            </w:pPr>
            <w:r>
              <w:rPr>
                <w:sz w:val="17"/>
                <w:szCs w:val="17"/>
              </w:rPr>
              <w:t xml:space="preserve">Ecm (limestone), fcd, parabola-rectangle law</w:t>
            </w:r>
          </w:p>
        </w:tc>
        <w:tc>
          <w:tcPr>
            <w:tcW w:type="dxa" w:w="1500"/>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center"/>
            </w:pPr>
            <w:r>
              <w:rPr>
                <w:sz w:val="17"/>
                <w:szCs w:val="17"/>
              </w:rPr>
              <w:t xml:space="preserve">2.2, 4.1</w:t>
            </w:r>
          </w:p>
        </w:tc>
      </w:tr>
      <w:tr>
        <w:trPr>
          <w:cantSplit/>
        </w:trPr>
        <w:tc>
          <w:tcPr>
            <w:tcW w:type="dxa" w:w="3000"/>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left"/>
            </w:pPr>
            <w:r>
              <w:rPr>
                <w:sz w:val="17"/>
                <w:szCs w:val="17"/>
              </w:rPr>
              <w:t xml:space="preserve">A19.3.1.8</w:t>
            </w:r>
          </w:p>
        </w:tc>
        <w:tc>
          <w:tcPr>
            <w:tcW w:type="dxa" w:w="4526"/>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left"/>
            </w:pPr>
            <w:r>
              <w:rPr>
                <w:sz w:val="17"/>
                <w:szCs w:val="17"/>
              </w:rPr>
              <w:t xml:space="preserve">flexural tensile strength fctm,fl</w:t>
            </w:r>
          </w:p>
        </w:tc>
        <w:tc>
          <w:tcPr>
            <w:tcW w:type="dxa" w:w="1500"/>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center"/>
            </w:pPr>
            <w:r>
              <w:rPr>
                <w:sz w:val="17"/>
                <w:szCs w:val="17"/>
              </w:rPr>
              <w:t xml:space="preserve">6.2</w:t>
            </w:r>
          </w:p>
        </w:tc>
      </w:tr>
      <w:tr>
        <w:trPr>
          <w:cantSplit/>
        </w:trPr>
        <w:tc>
          <w:tcPr>
            <w:tcW w:type="dxa" w:w="3000"/>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left"/>
            </w:pPr>
            <w:r>
              <w:rPr>
                <w:sz w:val="17"/>
                <w:szCs w:val="17"/>
              </w:rPr>
              <w:t xml:space="preserve">A19.3.1.9</w:t>
            </w:r>
          </w:p>
        </w:tc>
        <w:tc>
          <w:tcPr>
            <w:tcW w:type="dxa" w:w="4526"/>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left"/>
            </w:pPr>
            <w:r>
              <w:rPr>
                <w:sz w:val="17"/>
                <w:szCs w:val="17"/>
              </w:rPr>
              <w:t xml:space="preserve">confined concrete (indicative)</w:t>
            </w:r>
          </w:p>
        </w:tc>
        <w:tc>
          <w:tcPr>
            <w:tcW w:type="dxa" w:w="1500"/>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center"/>
            </w:pPr>
            <w:r>
              <w:rPr>
                <w:sz w:val="17"/>
                <w:szCs w:val="17"/>
              </w:rPr>
              <w:t xml:space="preserve">5.7</w:t>
            </w:r>
          </w:p>
        </w:tc>
      </w:tr>
      <w:tr>
        <w:trPr>
          <w:cantSplit/>
        </w:trPr>
        <w:tc>
          <w:tcPr>
            <w:tcW w:type="dxa" w:w="3000"/>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left"/>
            </w:pPr>
            <w:r>
              <w:rPr>
                <w:sz w:val="17"/>
                <w:szCs w:val="17"/>
              </w:rPr>
              <w:t xml:space="preserve">A19.3.2.7</w:t>
            </w:r>
          </w:p>
        </w:tc>
        <w:tc>
          <w:tcPr>
            <w:tcW w:type="dxa" w:w="4526"/>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left"/>
            </w:pPr>
            <w:r>
              <w:rPr>
                <w:sz w:val="17"/>
                <w:szCs w:val="17"/>
              </w:rPr>
              <w:t xml:space="preserve">steel stress-strain diagram</w:t>
            </w:r>
          </w:p>
        </w:tc>
        <w:tc>
          <w:tcPr>
            <w:tcW w:type="dxa" w:w="1500"/>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center"/>
            </w:pPr>
            <w:r>
              <w:rPr>
                <w:sz w:val="17"/>
                <w:szCs w:val="17"/>
              </w:rPr>
              <w:t xml:space="preserve">2.2, 4.3</w:t>
            </w:r>
          </w:p>
        </w:tc>
      </w:tr>
      <w:tr>
        <w:trPr>
          <w:cantSplit/>
        </w:trPr>
        <w:tc>
          <w:tcPr>
            <w:tcW w:type="dxa" w:w="3000"/>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left"/>
            </w:pPr>
            <w:r>
              <w:rPr>
                <w:sz w:val="17"/>
                <w:szCs w:val="17"/>
              </w:rPr>
              <w:t xml:space="preserve">A19.5.2</w:t>
            </w:r>
          </w:p>
        </w:tc>
        <w:tc>
          <w:tcPr>
            <w:tcW w:type="dxa" w:w="4526"/>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left"/>
            </w:pPr>
            <w:r>
              <w:rPr>
                <w:sz w:val="17"/>
                <w:szCs w:val="17"/>
              </w:rPr>
              <w:t xml:space="preserve">geometric imperfections</w:t>
            </w:r>
          </w:p>
        </w:tc>
        <w:tc>
          <w:tcPr>
            <w:tcW w:type="dxa" w:w="1500"/>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center"/>
            </w:pPr>
            <w:r>
              <w:rPr>
                <w:sz w:val="17"/>
                <w:szCs w:val="17"/>
              </w:rPr>
              <w:t xml:space="preserve">5.2</w:t>
            </w:r>
          </w:p>
        </w:tc>
      </w:tr>
      <w:tr>
        <w:trPr>
          <w:cantSplit/>
        </w:trPr>
        <w:tc>
          <w:tcPr>
            <w:tcW w:type="dxa" w:w="3000"/>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left"/>
            </w:pPr>
            <w:r>
              <w:rPr>
                <w:sz w:val="17"/>
                <w:szCs w:val="17"/>
              </w:rPr>
              <w:t xml:space="preserve">A19.5.3.2.2(3)</w:t>
            </w:r>
          </w:p>
        </w:tc>
        <w:tc>
          <w:tcPr>
            <w:tcW w:type="dxa" w:w="4526"/>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left"/>
            </w:pPr>
            <w:r>
              <w:rPr>
                <w:sz w:val="17"/>
                <w:szCs w:val="17"/>
              </w:rPr>
              <w:t xml:space="preserve">design moment at the support face</w:t>
            </w:r>
          </w:p>
        </w:tc>
        <w:tc>
          <w:tcPr>
            <w:tcW w:type="dxa" w:w="1500"/>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center"/>
            </w:pPr>
            <w:r>
              <w:rPr>
                <w:sz w:val="17"/>
                <w:szCs w:val="17"/>
              </w:rPr>
              <w:t xml:space="preserve">2.6, 6.9</w:t>
            </w:r>
          </w:p>
        </w:tc>
      </w:tr>
      <w:tr>
        <w:trPr>
          <w:cantSplit/>
        </w:trPr>
        <w:tc>
          <w:tcPr>
            <w:tcW w:type="dxa" w:w="3000"/>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left"/>
            </w:pPr>
            <w:r>
              <w:rPr>
                <w:sz w:val="17"/>
                <w:szCs w:val="17"/>
              </w:rPr>
              <w:t xml:space="preserve">A19.5.8.3</w:t>
            </w:r>
          </w:p>
        </w:tc>
        <w:tc>
          <w:tcPr>
            <w:tcW w:type="dxa" w:w="4526"/>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left"/>
            </w:pPr>
            <w:r>
              <w:rPr>
                <w:sz w:val="17"/>
                <w:szCs w:val="17"/>
              </w:rPr>
              <w:t xml:space="preserve">slenderness, effective length, λlim</w:t>
            </w:r>
          </w:p>
        </w:tc>
        <w:tc>
          <w:tcPr>
            <w:tcW w:type="dxa" w:w="1500"/>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center"/>
            </w:pPr>
            <w:r>
              <w:rPr>
                <w:sz w:val="17"/>
                <w:szCs w:val="17"/>
              </w:rPr>
              <w:t xml:space="preserve">5.1, 5.2</w:t>
            </w:r>
          </w:p>
        </w:tc>
      </w:tr>
      <w:tr>
        <w:trPr>
          <w:cantSplit/>
        </w:trPr>
        <w:tc>
          <w:tcPr>
            <w:tcW w:type="dxa" w:w="3000"/>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left"/>
            </w:pPr>
            <w:r>
              <w:rPr>
                <w:sz w:val="17"/>
                <w:szCs w:val="17"/>
              </w:rPr>
              <w:t xml:space="preserve">A19.5.8.4</w:t>
            </w:r>
          </w:p>
        </w:tc>
        <w:tc>
          <w:tcPr>
            <w:tcW w:type="dxa" w:w="4526"/>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left"/>
            </w:pPr>
            <w:r>
              <w:rPr>
                <w:sz w:val="17"/>
                <w:szCs w:val="17"/>
              </w:rPr>
              <w:t xml:space="preserve">effective creep ratio φef</w:t>
            </w:r>
          </w:p>
        </w:tc>
        <w:tc>
          <w:tcPr>
            <w:tcW w:type="dxa" w:w="1500"/>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center"/>
            </w:pPr>
            <w:r>
              <w:rPr>
                <w:sz w:val="17"/>
                <w:szCs w:val="17"/>
              </w:rPr>
              <w:t xml:space="preserve">10</w:t>
            </w:r>
          </w:p>
        </w:tc>
      </w:tr>
      <w:tr>
        <w:trPr>
          <w:cantSplit/>
        </w:trPr>
        <w:tc>
          <w:tcPr>
            <w:tcW w:type="dxa" w:w="3000"/>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left"/>
            </w:pPr>
            <w:r>
              <w:rPr>
                <w:sz w:val="17"/>
                <w:szCs w:val="17"/>
              </w:rPr>
              <w:t xml:space="preserve">A19.5.8.8, A19.5.8.9</w:t>
            </w:r>
          </w:p>
        </w:tc>
        <w:tc>
          <w:tcPr>
            <w:tcW w:type="dxa" w:w="4526"/>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left"/>
            </w:pPr>
            <w:r>
              <w:rPr>
                <w:sz w:val="17"/>
                <w:szCs w:val="17"/>
              </w:rPr>
              <w:t xml:space="preserve">nominal curvature; biaxial bending</w:t>
            </w:r>
          </w:p>
        </w:tc>
        <w:tc>
          <w:tcPr>
            <w:tcW w:type="dxa" w:w="1500"/>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center"/>
            </w:pPr>
            <w:r>
              <w:rPr>
                <w:sz w:val="17"/>
                <w:szCs w:val="17"/>
              </w:rPr>
              <w:t xml:space="preserve">5.2, 4.3</w:t>
            </w:r>
          </w:p>
        </w:tc>
      </w:tr>
      <w:tr>
        <w:trPr>
          <w:cantSplit/>
        </w:trPr>
        <w:tc>
          <w:tcPr>
            <w:tcW w:type="dxa" w:w="3000"/>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left"/>
            </w:pPr>
            <w:r>
              <w:rPr>
                <w:sz w:val="17"/>
                <w:szCs w:val="17"/>
              </w:rPr>
              <w:t xml:space="preserve">A19.6.1</w:t>
            </w:r>
          </w:p>
        </w:tc>
        <w:tc>
          <w:tcPr>
            <w:tcW w:type="dxa" w:w="4526"/>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left"/>
            </w:pPr>
            <w:r>
              <w:rPr>
                <w:sz w:val="17"/>
                <w:szCs w:val="17"/>
              </w:rPr>
              <w:t xml:space="preserve">ULS bending with axial force; emin</w:t>
            </w:r>
          </w:p>
        </w:tc>
        <w:tc>
          <w:tcPr>
            <w:tcW w:type="dxa" w:w="1500"/>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center"/>
            </w:pPr>
            <w:r>
              <w:rPr>
                <w:sz w:val="17"/>
                <w:szCs w:val="17"/>
              </w:rPr>
              <w:t xml:space="preserve">4.1, 5.2, 6.2</w:t>
            </w:r>
          </w:p>
        </w:tc>
      </w:tr>
      <w:tr>
        <w:trPr>
          <w:cantSplit/>
        </w:trPr>
        <w:tc>
          <w:tcPr>
            <w:tcW w:type="dxa" w:w="3000"/>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left"/>
            </w:pPr>
            <w:r>
              <w:rPr>
                <w:sz w:val="17"/>
                <w:szCs w:val="17"/>
              </w:rPr>
              <w:t xml:space="preserve">A19.6.2.1(8), (9)</w:t>
            </w:r>
          </w:p>
        </w:tc>
        <w:tc>
          <w:tcPr>
            <w:tcW w:type="dxa" w:w="4526"/>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left"/>
            </w:pPr>
            <w:r>
              <w:rPr>
                <w:sz w:val="17"/>
                <w:szCs w:val="17"/>
              </w:rPr>
              <w:t xml:space="preserve">shear at d; suspension of loads applied near the bottom</w:t>
            </w:r>
          </w:p>
        </w:tc>
        <w:tc>
          <w:tcPr>
            <w:tcW w:type="dxa" w:w="1500"/>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center"/>
            </w:pPr>
            <w:r>
              <w:rPr>
                <w:sz w:val="17"/>
                <w:szCs w:val="17"/>
              </w:rPr>
              <w:t xml:space="preserve">6.3</w:t>
            </w:r>
          </w:p>
        </w:tc>
      </w:tr>
      <w:tr>
        <w:trPr>
          <w:cantSplit/>
        </w:trPr>
        <w:tc>
          <w:tcPr>
            <w:tcW w:type="dxa" w:w="3000"/>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left"/>
            </w:pPr>
            <w:r>
              <w:rPr>
                <w:sz w:val="17"/>
                <w:szCs w:val="17"/>
              </w:rPr>
              <w:t xml:space="preserve">A19.6.2.2</w:t>
            </w:r>
          </w:p>
        </w:tc>
        <w:tc>
          <w:tcPr>
            <w:tcW w:type="dxa" w:w="4526"/>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left"/>
            </w:pPr>
            <w:r>
              <w:rPr>
                <w:sz w:val="17"/>
                <w:szCs w:val="17"/>
              </w:rPr>
              <w:t xml:space="preserve">members without shear reinforcement (VRd,c)</w:t>
            </w:r>
          </w:p>
        </w:tc>
        <w:tc>
          <w:tcPr>
            <w:tcW w:type="dxa" w:w="1500"/>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center"/>
            </w:pPr>
            <w:r>
              <w:rPr>
                <w:sz w:val="17"/>
                <w:szCs w:val="17"/>
              </w:rPr>
              <w:t xml:space="preserve">5.5</w:t>
            </w:r>
          </w:p>
        </w:tc>
      </w:tr>
      <w:tr>
        <w:trPr>
          <w:cantSplit/>
        </w:trPr>
        <w:tc>
          <w:tcPr>
            <w:tcW w:type="dxa" w:w="3000"/>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left"/>
            </w:pPr>
            <w:r>
              <w:rPr>
                <w:sz w:val="17"/>
                <w:szCs w:val="17"/>
              </w:rPr>
              <w:t xml:space="preserve">A19.6.2.3</w:t>
            </w:r>
          </w:p>
        </w:tc>
        <w:tc>
          <w:tcPr>
            <w:tcW w:type="dxa" w:w="4526"/>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left"/>
            </w:pPr>
            <w:r>
              <w:rPr>
                <w:sz w:val="17"/>
                <w:szCs w:val="17"/>
              </w:rPr>
              <w:t xml:space="preserve">VRd,s, VRd,max, cot θ, ΔFtd (6.18)</w:t>
            </w:r>
          </w:p>
        </w:tc>
        <w:tc>
          <w:tcPr>
            <w:tcW w:type="dxa" w:w="1500"/>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center"/>
            </w:pPr>
            <w:r>
              <w:rPr>
                <w:sz w:val="17"/>
                <w:szCs w:val="17"/>
              </w:rPr>
              <w:t xml:space="preserve">5.5, 6.3, 6.9</w:t>
            </w:r>
          </w:p>
        </w:tc>
      </w:tr>
      <w:tr>
        <w:trPr>
          <w:cantSplit/>
        </w:trPr>
        <w:tc>
          <w:tcPr>
            <w:tcW w:type="dxa" w:w="3000"/>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left"/>
            </w:pPr>
            <w:r>
              <w:rPr>
                <w:sz w:val="17"/>
                <w:szCs w:val="17"/>
              </w:rPr>
              <w:t xml:space="preserve">A19.6.3</w:t>
            </w:r>
          </w:p>
        </w:tc>
        <w:tc>
          <w:tcPr>
            <w:tcW w:type="dxa" w:w="4526"/>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left"/>
            </w:pPr>
            <w:r>
              <w:rPr>
                <w:sz w:val="17"/>
                <w:szCs w:val="17"/>
              </w:rPr>
              <w:t xml:space="preserve">torsion (6.26)–(6.31); compatibility torsion</w:t>
            </w:r>
          </w:p>
        </w:tc>
        <w:tc>
          <w:tcPr>
            <w:tcW w:type="dxa" w:w="1500"/>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center"/>
            </w:pPr>
            <w:r>
              <w:rPr>
                <w:sz w:val="17"/>
                <w:szCs w:val="17"/>
              </w:rPr>
              <w:t xml:space="preserve">6.4</w:t>
            </w:r>
          </w:p>
        </w:tc>
      </w:tr>
      <w:tr>
        <w:trPr>
          <w:cantSplit/>
        </w:trPr>
        <w:tc>
          <w:tcPr>
            <w:tcW w:type="dxa" w:w="3000"/>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left"/>
            </w:pPr>
            <w:r>
              <w:rPr>
                <w:sz w:val="17"/>
                <w:szCs w:val="17"/>
              </w:rPr>
              <w:t xml:space="preserve">A19.7.1(2)</w:t>
            </w:r>
          </w:p>
        </w:tc>
        <w:tc>
          <w:tcPr>
            <w:tcW w:type="dxa" w:w="4526"/>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left"/>
            </w:pPr>
            <w:r>
              <w:rPr>
                <w:sz w:val="17"/>
                <w:szCs w:val="17"/>
              </w:rPr>
              <w:t xml:space="preserve">uncracked criterion, fct,eff</w:t>
            </w:r>
          </w:p>
        </w:tc>
        <w:tc>
          <w:tcPr>
            <w:tcW w:type="dxa" w:w="1500"/>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center"/>
            </w:pPr>
            <w:r>
              <w:rPr>
                <w:sz w:val="17"/>
                <w:szCs w:val="17"/>
              </w:rPr>
              <w:t xml:space="preserve">5.7, 6.5</w:t>
            </w:r>
          </w:p>
        </w:tc>
      </w:tr>
      <w:tr>
        <w:trPr>
          <w:cantSplit/>
        </w:trPr>
        <w:tc>
          <w:tcPr>
            <w:tcW w:type="dxa" w:w="3000"/>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left"/>
            </w:pPr>
            <w:r>
              <w:rPr>
                <w:sz w:val="17"/>
                <w:szCs w:val="17"/>
              </w:rPr>
              <w:t xml:space="preserve">A19.7.2</w:t>
            </w:r>
          </w:p>
        </w:tc>
        <w:tc>
          <w:tcPr>
            <w:tcW w:type="dxa" w:w="4526"/>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left"/>
            </w:pPr>
            <w:r>
              <w:rPr>
                <w:sz w:val="17"/>
                <w:szCs w:val="17"/>
              </w:rPr>
              <w:t xml:space="preserve">stress limits σc ≤ 0.6fck, σs ≤ 0.8fyk</w:t>
            </w:r>
          </w:p>
        </w:tc>
        <w:tc>
          <w:tcPr>
            <w:tcW w:type="dxa" w:w="1500"/>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center"/>
            </w:pPr>
            <w:r>
              <w:rPr>
                <w:sz w:val="17"/>
                <w:szCs w:val="17"/>
              </w:rPr>
              <w:t xml:space="preserve">5.7</w:t>
            </w:r>
          </w:p>
        </w:tc>
      </w:tr>
      <w:tr>
        <w:trPr>
          <w:cantSplit/>
        </w:trPr>
        <w:tc>
          <w:tcPr>
            <w:tcW w:type="dxa" w:w="3000"/>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left"/>
            </w:pPr>
            <w:r>
              <w:rPr>
                <w:sz w:val="17"/>
                <w:szCs w:val="17"/>
              </w:rPr>
              <w:t xml:space="preserve">A19.7.3.4</w:t>
            </w:r>
          </w:p>
        </w:tc>
        <w:tc>
          <w:tcPr>
            <w:tcW w:type="dxa" w:w="4526"/>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left"/>
            </w:pPr>
            <w:r>
              <w:rPr>
                <w:sz w:val="17"/>
                <w:szCs w:val="17"/>
              </w:rPr>
              <w:t xml:space="preserve">crack width (7.8)–(7.11)</w:t>
            </w:r>
          </w:p>
        </w:tc>
        <w:tc>
          <w:tcPr>
            <w:tcW w:type="dxa" w:w="1500"/>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center"/>
            </w:pPr>
            <w:r>
              <w:rPr>
                <w:sz w:val="17"/>
                <w:szCs w:val="17"/>
              </w:rPr>
              <w:t xml:space="preserve">6.5</w:t>
            </w:r>
          </w:p>
        </w:tc>
      </w:tr>
      <w:tr>
        <w:trPr>
          <w:cantSplit/>
        </w:trPr>
        <w:tc>
          <w:tcPr>
            <w:tcW w:type="dxa" w:w="3000"/>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left"/>
            </w:pPr>
            <w:r>
              <w:rPr>
                <w:sz w:val="17"/>
                <w:szCs w:val="17"/>
              </w:rPr>
              <w:t xml:space="preserve">A19.7.4</w:t>
            </w:r>
          </w:p>
        </w:tc>
        <w:tc>
          <w:tcPr>
            <w:tcW w:type="dxa" w:w="4526"/>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left"/>
            </w:pPr>
            <w:r>
              <w:rPr>
                <w:sz w:val="17"/>
                <w:szCs w:val="17"/>
              </w:rPr>
              <w:t xml:space="preserve">deflection</w:t>
            </w:r>
          </w:p>
        </w:tc>
        <w:tc>
          <w:tcPr>
            <w:tcW w:type="dxa" w:w="1500"/>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center"/>
            </w:pPr>
            <w:r>
              <w:rPr>
                <w:sz w:val="17"/>
                <w:szCs w:val="17"/>
              </w:rPr>
              <w:t xml:space="preserve">6.6</w:t>
            </w:r>
          </w:p>
        </w:tc>
      </w:tr>
      <w:tr>
        <w:trPr>
          <w:cantSplit/>
        </w:trPr>
        <w:tc>
          <w:tcPr>
            <w:tcW w:type="dxa" w:w="3000"/>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left"/>
            </w:pPr>
            <w:r>
              <w:rPr>
                <w:sz w:val="17"/>
                <w:szCs w:val="17"/>
              </w:rPr>
              <w:t xml:space="preserve">A19.8.2(2)</w:t>
            </w:r>
          </w:p>
        </w:tc>
        <w:tc>
          <w:tcPr>
            <w:tcW w:type="dxa" w:w="4526"/>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left"/>
            </w:pPr>
            <w:r>
              <w:rPr>
                <w:sz w:val="17"/>
                <w:szCs w:val="17"/>
              </w:rPr>
              <w:t xml:space="preserve">clear bar spacing</w:t>
            </w:r>
          </w:p>
        </w:tc>
        <w:tc>
          <w:tcPr>
            <w:tcW w:type="dxa" w:w="1500"/>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center"/>
            </w:pPr>
            <w:r>
              <w:rPr>
                <w:sz w:val="17"/>
                <w:szCs w:val="17"/>
              </w:rPr>
              <w:t xml:space="preserve">5.6, 6.5</w:t>
            </w:r>
          </w:p>
        </w:tc>
      </w:tr>
      <w:tr>
        <w:trPr>
          <w:cantSplit/>
        </w:trPr>
        <w:tc>
          <w:tcPr>
            <w:tcW w:type="dxa" w:w="3000"/>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left"/>
            </w:pPr>
            <w:r>
              <w:rPr>
                <w:sz w:val="17"/>
                <w:szCs w:val="17"/>
              </w:rPr>
              <w:t xml:space="preserve">A19.9.2.1.1, A19.9.2.2, A19.9.2.3</w:t>
            </w:r>
          </w:p>
        </w:tc>
        <w:tc>
          <w:tcPr>
            <w:tcW w:type="dxa" w:w="4526"/>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left"/>
            </w:pPr>
            <w:r>
              <w:rPr>
                <w:sz w:val="17"/>
                <w:szCs w:val="17"/>
              </w:rPr>
              <w:t xml:space="preserve">beam As,min/As,max; links; torsion detailing</w:t>
            </w:r>
          </w:p>
        </w:tc>
        <w:tc>
          <w:tcPr>
            <w:tcW w:type="dxa" w:w="1500"/>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center"/>
            </w:pPr>
            <w:r>
              <w:rPr>
                <w:sz w:val="17"/>
                <w:szCs w:val="17"/>
              </w:rPr>
              <w:t xml:space="preserve">6.2, 6.3, 6.4</w:t>
            </w:r>
          </w:p>
        </w:tc>
      </w:tr>
      <w:tr>
        <w:trPr>
          <w:cantSplit/>
        </w:trPr>
        <w:tc>
          <w:tcPr>
            <w:tcW w:type="dxa" w:w="3000"/>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left"/>
            </w:pPr>
            <w:r>
              <w:rPr>
                <w:sz w:val="17"/>
                <w:szCs w:val="17"/>
              </w:rPr>
              <w:t xml:space="preserve">A19.9.5.1–A19.9.5.3</w:t>
            </w:r>
          </w:p>
        </w:tc>
        <w:tc>
          <w:tcPr>
            <w:tcW w:type="dxa" w:w="4526"/>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left"/>
            </w:pPr>
            <w:r>
              <w:rPr>
                <w:sz w:val="17"/>
                <w:szCs w:val="17"/>
              </w:rPr>
              <w:t xml:space="preserve">column bars and ties, end zones</w:t>
            </w:r>
          </w:p>
        </w:tc>
        <w:tc>
          <w:tcPr>
            <w:tcW w:type="dxa" w:w="1500"/>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center"/>
            </w:pPr>
            <w:r>
              <w:rPr>
                <w:sz w:val="17"/>
                <w:szCs w:val="17"/>
              </w:rPr>
              <w:t xml:space="preserve">5.6, 5.7</w:t>
            </w:r>
          </w:p>
        </w:tc>
      </w:tr>
      <w:tr>
        <w:trPr>
          <w:cantSplit/>
        </w:trPr>
        <w:tc>
          <w:tcPr>
            <w:tcW w:type="dxa" w:w="3000"/>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left"/>
            </w:pPr>
            <w:r>
              <w:rPr>
                <w:sz w:val="17"/>
                <w:szCs w:val="17"/>
              </w:rPr>
              <w:t xml:space="preserve">CE Anejo 18</w:t>
            </w:r>
          </w:p>
        </w:tc>
        <w:tc>
          <w:tcPr>
            <w:tcW w:type="dxa" w:w="4526"/>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left"/>
            </w:pPr>
            <w:r>
              <w:rPr>
                <w:sz w:val="17"/>
                <w:szCs w:val="17"/>
              </w:rPr>
              <w:t xml:space="preserve">combinations (6.10), ψ factors</w:t>
            </w:r>
          </w:p>
        </w:tc>
        <w:tc>
          <w:tcPr>
            <w:tcW w:type="dxa" w:w="1500"/>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center"/>
            </w:pPr>
            <w:r>
              <w:rPr>
                <w:sz w:val="17"/>
                <w:szCs w:val="17"/>
              </w:rPr>
              <w:t xml:space="preserve">2.4</w:t>
            </w:r>
          </w:p>
        </w:tc>
      </w:tr>
      <w:tr>
        <w:trPr>
          <w:cantSplit/>
        </w:trPr>
        <w:tc>
          <w:tcPr>
            <w:tcW w:type="dxa" w:w="3000"/>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left"/>
            </w:pPr>
            <w:r>
              <w:rPr>
                <w:sz w:val="17"/>
                <w:szCs w:val="17"/>
              </w:rPr>
              <w:t xml:space="preserve">CE Art. 27, Tabla 27.2</w:t>
            </w:r>
          </w:p>
        </w:tc>
        <w:tc>
          <w:tcPr>
            <w:tcW w:type="dxa" w:w="4526"/>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left"/>
            </w:pPr>
            <w:r>
              <w:rPr>
                <w:sz w:val="17"/>
                <w:szCs w:val="17"/>
              </w:rPr>
              <w:t xml:space="preserve">wmax = 0.1 mm for XS3</w:t>
            </w:r>
          </w:p>
        </w:tc>
        <w:tc>
          <w:tcPr>
            <w:tcW w:type="dxa" w:w="1500"/>
            <w:tcBorders>
              <w:top w:val="single" w:color="A6A6A6" w:sz="4"/>
              <w:left w:val="single" w:color="A6A6A6" w:sz="4"/>
              <w:bottom w:val="single" w:color="A6A6A6" w:sz="4"/>
              <w:right w:val="single" w:color="A6A6A6" w:sz="4"/>
            </w:tcBorders>
            <w:shd w:fill="F2F2F2" w:color="auto" w:val="clear"/>
            <w:tcMar>
              <w:top w:type="dxa" w:w="30"/>
              <w:left w:type="dxa" w:w="90"/>
              <w:bottom w:type="dxa" w:w="30"/>
              <w:right w:type="dxa" w:w="90"/>
            </w:tcMar>
            <w:vAlign w:val="center"/>
          </w:tcPr>
          <w:p>
            <w:pPr>
              <w:keepNext w:val="false"/>
              <w:jc w:val="center"/>
            </w:pPr>
            <w:r>
              <w:rPr>
                <w:sz w:val="17"/>
                <w:szCs w:val="17"/>
              </w:rPr>
              <w:t xml:space="preserve">2.1, 6.5</w:t>
            </w:r>
          </w:p>
        </w:tc>
      </w:tr>
      <w:tr>
        <w:trPr>
          <w:cantSplit/>
        </w:trPr>
        <w:tc>
          <w:tcPr>
            <w:tcW w:type="dxa" w:w="3000"/>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left"/>
            </w:pPr>
            <w:r>
              <w:rPr>
                <w:sz w:val="17"/>
                <w:szCs w:val="17"/>
              </w:rPr>
              <w:t xml:space="preserve">ROM 2.0-11 Tabla 4.6.4.1; CTE DB SE Tabla 4.2</w:t>
            </w:r>
          </w:p>
        </w:tc>
        <w:tc>
          <w:tcPr>
            <w:tcW w:type="dxa" w:w="4526"/>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left"/>
            </w:pPr>
            <w:r>
              <w:rPr>
                <w:sz w:val="17"/>
                <w:szCs w:val="17"/>
              </w:rPr>
              <w:t xml:space="preserve">ψ of the quay load (ROM / CYPE bases)</w:t>
            </w:r>
          </w:p>
        </w:tc>
        <w:tc>
          <w:tcPr>
            <w:tcW w:type="dxa" w:w="1500"/>
            <w:tcBorders>
              <w:top w:val="single" w:color="A6A6A6" w:sz="4"/>
              <w:left w:val="single" w:color="A6A6A6" w:sz="4"/>
              <w:bottom w:val="single" w:color="A6A6A6" w:sz="4"/>
              <w:right w:val="single" w:color="A6A6A6" w:sz="4"/>
            </w:tcBorders>
            <w:tcMar>
              <w:top w:type="dxa" w:w="30"/>
              <w:left w:type="dxa" w:w="90"/>
              <w:bottom w:type="dxa" w:w="30"/>
              <w:right w:type="dxa" w:w="90"/>
            </w:tcMar>
            <w:vAlign w:val="center"/>
          </w:tcPr>
          <w:p>
            <w:pPr>
              <w:keepNext w:val="false"/>
              <w:jc w:val="center"/>
            </w:pPr>
            <w:r>
              <w:rPr>
                <w:sz w:val="17"/>
                <w:szCs w:val="17"/>
              </w:rPr>
              <w:t xml:space="preserve">2.5</w:t>
            </w:r>
          </w:p>
        </w:tc>
      </w:tr>
    </w:tbl>
    <w:sectPr>
      <w:headerReference w:type="default" r:id="rId7"/>
      <w:footerReference w:type="defaul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r>
    <w:r>
      <w:rPr>
        <w:color w:val="7F7F7F"/>
        <w:sz w:val="16"/>
        <w:szCs w:val="16"/>
      </w:rPr>
      <w:fldChar w:fldCharType="begin"/>
      <w:instrText xml:space="preserve">PAGE</w:instrText>
      <w:fldChar w:fldCharType="separate"/>
      <w:fldChar w:fldCharType="end"/>
    </w:r>
    <w:r>
      <w:rPr>
        <w:color w:val="7F7F7F"/>
        <w:sz w:val="16"/>
        <w:szCs w:val="16"/>
      </w:rPr>
      <w:t xml:space="preserve"> of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Muelle de Trasmallo – Código Estructural design of the 40 m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4"/>
      </w:pPr>
    </w:lvl>
    <w:lvl w:ilvl="1" w15:tentative="1">
      <w:start w:val="1"/>
      <w:numFmt w:val="bullet"/>
      <w:lvlText w:val="–"/>
      <w:lvlJc w:val="left"/>
      <w:pPr>
        <w:ind w:left="1000" w:hanging="284"/>
      </w:pPr>
    </w:lvl>
  </w:abstractNum>
  <w:abstractNum w:abstractNumId="3" w15:restartNumberingAfterBreak="0">
    <w:multiLevelType w:val="hybridMultilevel"/>
    <w:lvl w:ilvl="0" w15:tentative="1">
      <w:start w:val="1"/>
      <w:numFmt w:val="decimal"/>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abstractNum w:abstractNumId="5" w15:restartNumberingAfterBreak="0">
    <w:multiLevelType w:val="hybridMultilevel"/>
    <w:lvl w:ilvl="0" w15:tentative="1">
      <w:start w:val="1"/>
      <w:numFmt w:val="decimal"/>
      <w:lvlText w:val="%1."/>
      <w:lvlJc w:val="left"/>
      <w:pPr>
        <w:ind w:left="567" w:hanging="340"/>
      </w:pPr>
    </w:lvl>
  </w:abstractNum>
  <w:abstractNum w:abstractNumId="6" w15:restartNumberingAfterBreak="0">
    <w:multiLevelType w:val="hybridMultilevel"/>
    <w:lvl w:ilvl="0" w15:tentative="1">
      <w:start w:val="1"/>
      <w:numFmt w:val="decimal"/>
      <w:lvlText w:val="%1."/>
      <w:lvlJc w:val="left"/>
      <w:pPr>
        <w:ind w:left="567" w:hanging="340"/>
      </w:pPr>
    </w:lvl>
  </w:abstractNum>
  <w:abstractNum w:abstractNumId="7"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b/>
      <w:bCs/>
      <w:color w:val="1F4E79"/>
      <w:sz w:val="30"/>
      <w:szCs w:val="30"/>
    </w:rPr>
  </w:style>
  <w:style w:type="paragraph" w:styleId="Heading2">
    <w:name w:val="Heading 2"/>
    <w:basedOn w:val="Normal"/>
    <w:next w:val="Normal"/>
    <w:qFormat/>
    <w:pPr>
      <w:keepNext/>
      <w:spacing w:after="120" w:before="240"/>
      <w:outlineLvl w:val="1"/>
    </w:pPr>
    <w:rPr>
      <w:b/>
      <w:bCs/>
      <w:color w:val="2E75B6"/>
      <w:sz w:val="24"/>
      <w:szCs w:val="24"/>
    </w:rPr>
  </w:style>
  <w:style w:type="paragraph" w:styleId="Heading3">
    <w:name w:val="Heading 3"/>
    <w:basedOn w:val="Normal"/>
    <w:next w:val="Normal"/>
    <w:qFormat/>
    <w:pPr>
      <w:keepNext/>
      <w:spacing w:after="80" w:before="180"/>
      <w:outlineLvl w:val="2"/>
    </w:pPr>
    <w:rPr>
      <w:b/>
      <w:bCs/>
      <w:i/>
      <w:i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f2ab6191481814bab7e817ffbd70ce386b10117.png"/><Relationship Id="rId10" Type="http://schemas.openxmlformats.org/officeDocument/2006/relationships/image" Target="media/bf69140a97e573198d0505101a9fd3bd8f0e806a.png"/><Relationship Id="rId11" Type="http://schemas.openxmlformats.org/officeDocument/2006/relationships/image" Target="media/bc0f1d1d8664f0157a36da1c650345cdaa95bb34.png"/><Relationship Id="rId12" Type="http://schemas.openxmlformats.org/officeDocument/2006/relationships/image" Target="media/06f988d294e05661c21e5df014df680d82854d44.png"/><Relationship Id="rId13" Type="http://schemas.openxmlformats.org/officeDocument/2006/relationships/image" Target="media/db6b67fba777ea08a4aef4fd2987aecc3f7e12c8.png"/><Relationship Id="rId14" Type="http://schemas.openxmlformats.org/officeDocument/2006/relationships/image" Target="media/16379b85f6cf82682f77e4df2ab150a87a9380f4.png"/><Relationship Id="rId15" Type="http://schemas.openxmlformats.org/officeDocument/2006/relationships/image" Target="media/d74fba18cae7db0bf44b49f0c9a910de0a2e0c9d.png"/><Relationship Id="rId16" Type="http://schemas.openxmlformats.org/officeDocument/2006/relationships/image" Target="media/c0417adc1cab358d3db86d3002d825d4bc68876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Muelle de Trasmallo – Código Estructural design report</dc:title>
  <dc:creator>MarshalSp</dc:creator>
  <cp:lastModifiedBy>Un-named</cp:lastModifiedBy>
  <cp:revision>1</cp:revision>
  <dcterms:created xsi:type="dcterms:W3CDTF">2026-09-23T21:40:59.466Z</dcterms:created>
  <dcterms:modified xsi:type="dcterms:W3CDTF">2026-09-23T21:40:59.467Z</dcterms:modified>
</cp:coreProperties>
</file>

<file path=docProps/custom.xml><?xml version="1.0" encoding="utf-8"?>
<Properties xmlns="http://schemas.openxmlformats.org/officeDocument/2006/custom-properties" xmlns:vt="http://schemas.openxmlformats.org/officeDocument/2006/docPropsVTypes"/>
</file>