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missed your eviction hearing, you "defaulted," and you were served with a notice of a scheduled eviction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Stop Physical Eviction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after you get served with a notice of physical eviction,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able to get the court to stop or postpone it. You need to ask the court for "Stay of Execution."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"stays" are hard to get. Usually, judges only grant a stay if: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an emergency,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show the judge that your landlord will not be harmed if the judge delays your eviction date.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Stay – Representing Yourself in an Eviction Case: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MassLegalHelp.org/housing/lt1-booklet-8-stay.pdf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File a Motion to Remove Default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file a Motion to Remove Default Judgment. See Removing a Default in all Housing Superior and District Courts: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MassLegalHelp.org/housing/lt1-booklet-6-removing-default.pdf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court grants your motion to remove default, the court cancels the default judgment and you go back to where you were in the case,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missed the hearing.</w:t>
      </w:r>
    </w:p>
    <w:p w:rsidR="00000000" w:rsidDel="00000000" w:rsidP="00000000" w:rsidRDefault="00000000" w:rsidRPr="00000000" w14:paraId="0000000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Talk to Your Landlord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after you lose your eviction case, many landlords are still willing to negotiate an agreement with you.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eviction is because you owe rent, some landlords will still agree to a payment plan and let you stay if you can get caught up on your rent.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if your landlord is not interested in letting you stay long-term, they may agree to give you a reasonable amount of time to move on your own.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may cost the landlord more to pay a sheriff or constable to evict you, and move all your things out.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Until March 31, 2021, you may be eligible to stop an eviction where your landlord is asking for back rent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might be protected by the federal CDC Moratorium if you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See:</w:t>
        <w:br w:type="textWrapping"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MassLegalHelp.org/covid-19/housing</w:t>
        </w:r>
      </w:hyperlink>
      <w:r w:rsidDel="00000000" w:rsidR="00000000" w:rsidRPr="00000000">
        <w:rPr>
          <w:rtl w:val="0"/>
        </w:rPr>
        <w:t xml:space="preserve"> and </w:t>
        <w:br w:type="textWrapping"/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Apply for Shelter or Emergency Assistance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qualify for shelter if you have children and your landlord evicted you because: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could no longer afford your rent, 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did not do something to cause your eviction.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how to get shelter. See Emergency Housing Assistance Programs on Mass.gov: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Mass.Gov/emergency-housing-assistance-programs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20B9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6320B9"/>
    <w:pPr>
      <w:numPr>
        <w:numId w:val="5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6320B9"/>
    <w:pPr>
      <w:numPr>
        <w:ilvl w:val="1"/>
        <w:numId w:val="5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6320B9"/>
    <w:pPr>
      <w:numPr>
        <w:ilvl w:val="2"/>
        <w:numId w:val="5"/>
      </w:numPr>
      <w:spacing w:before="1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20B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320B9"/>
    <w:rPr>
      <w:rFonts w:ascii="Arial" w:cs="Arial" w:hAnsi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6320B9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4E3380"/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" w:customStyle="1">
    <w:name w:val="Heading"/>
    <w:basedOn w:val="Normal"/>
    <w:next w:val="BodyText"/>
    <w:qFormat w:val="1"/>
    <w:rsid w:val="006320B9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 w:val="1"/>
    <w:rsid w:val="006320B9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6320B9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6320B9"/>
    <w:rPr>
      <w:rFonts w:asciiTheme="minorHAnsi" w:cstheme="minorBidi" w:eastAsiaTheme="minorHAnsi" w:hAnsiTheme="minorHAnsi"/>
    </w:rPr>
  </w:style>
  <w:style w:type="paragraph" w:styleId="CommentText">
    <w:name w:val="annotation text"/>
    <w:basedOn w:val="Normal"/>
    <w:link w:val="CommentTextChar"/>
    <w:uiPriority w:val="99"/>
    <w:unhideWhenUsed w:val="1"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6320B9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6320B9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20B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20B9"/>
    <w:rPr>
      <w:rFonts w:ascii="Arial" w:cs="Arial" w:hAnsi="Arial" w:eastAsiaTheme="minorHAnsi"/>
      <w:b w:val="1"/>
      <w:bCs w:val="1"/>
      <w:sz w:val="20"/>
      <w:szCs w:val="20"/>
    </w:rPr>
  </w:style>
  <w:style w:type="character" w:styleId="Bullets" w:customStyle="1">
    <w:name w:val="Bullets"/>
    <w:qFormat w:val="1"/>
    <w:rsid w:val="006320B9"/>
    <w:rPr>
      <w:rFonts w:ascii="OpenSymbol" w:cs="OpenSymbol" w:eastAsia="OpenSymbol" w:hAnsi="OpenSymbol"/>
    </w:rPr>
  </w:style>
  <w:style w:type="paragraph" w:styleId="HeaderandFooter" w:customStyle="1">
    <w:name w:val="Header and Footer"/>
    <w:basedOn w:val="Normal"/>
    <w:qFormat w:val="1"/>
    <w:rsid w:val="006320B9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styleId="HeaderChar" w:customStyle="1">
    <w:name w:val="Header Char"/>
    <w:basedOn w:val="DefaultParagraphFont"/>
    <w:link w:val="Header"/>
    <w:rsid w:val="006320B9"/>
    <w:rPr>
      <w:rFonts w:ascii="Arial" w:cs="Arial" w:hAnsi="Arial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8055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ss.gov/emergency-housing-assistance-programs" TargetMode="External"/><Relationship Id="rId10" Type="http://schemas.openxmlformats.org/officeDocument/2006/relationships/hyperlink" Target="https://masslegalhelp.org/cdc-declaration.pdf" TargetMode="External"/><Relationship Id="rId9" Type="http://schemas.openxmlformats.org/officeDocument/2006/relationships/hyperlink" Target="https://www.masslegalhelp.org/covid-19/hous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legalhelp.org/housing/lt1-booklet-8-stay.pdf" TargetMode="External"/><Relationship Id="rId8" Type="http://schemas.openxmlformats.org/officeDocument/2006/relationships/hyperlink" Target="https://www.masslegalhelp.org/housing/lt1-booklet-6-removing-defau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2/R7eOqia6eEeLExFQuUJGwQg==">AMUW2mVXBs9eajJPrHh5IEBj66xm+eJ6aztfBKrPXPmC9kzZ0HmYwCmqsE+uhV7lNskNq9BHyfvXjMfCM2/wUK8dkyBkyuOTGWaAWQH8D6WBLntH+SqG4PsxNestRwanOl8Ak6Ak3ZVFpAvdrtvNXi+z+K89xfhnxw==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2020-12-31T12:33:00Z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