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Guíenme: Qué hacer cuando...</w:t>
      </w:r>
    </w:p>
    <w:p>
      <w:pPr>
        <w:pStyle w:val="Heading2"/>
        <w:numPr>
          <w:ilvl w:val="1"/>
          <w:numId w:val="3"/>
        </w:numPr>
        <w:rPr/>
      </w:pPr>
      <w:r>
        <w:rPr/>
        <w:t>faltó a la audiencia de desalojo, “incumplió” y se le notificó un desalojo programado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numPr>
          <w:ilvl w:val="2"/>
          <w:numId w:val="3"/>
        </w:numPr>
        <w:rPr/>
      </w:pPr>
      <w:r>
        <w:rPr/>
        <w:t>Presente una moción para detener el desalojo físico</w:t>
      </w:r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  <w:t xml:space="preserve">Aunque haya recibido una notificación, usted </w:t>
      </w:r>
      <w:r>
        <w:rPr>
          <w:b/>
          <w:color w:val="000000"/>
        </w:rPr>
        <w:t>puede</w:t>
      </w:r>
      <w:r>
        <w:rPr>
          <w:color w:val="000000"/>
        </w:rPr>
        <w:t xml:space="preserve"> lograr que la corte detenga o posponga el desalojo. Debe solicitarle a la corte un “Aplazamiento de la ejecución”.</w:t>
      </w:r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  <w:t>Estos “aplazamientos” son difíciles de conseguir. Por lo general, los jueces sólo conceden el aplazamiento si:</w:t>
      </w:r>
    </w:p>
    <w:p>
      <w:pPr>
        <w:pStyle w:val="Normal"/>
        <w:numPr>
          <w:ilvl w:val="0"/>
          <w:numId w:val="4"/>
        </w:numPr>
        <w:pBdr/>
        <w:spacing w:before="0" w:after="120"/>
        <w:ind w:left="360" w:hanging="360"/>
        <w:rPr/>
      </w:pPr>
      <w:r>
        <w:rPr>
          <w:color w:val="000000"/>
        </w:rPr>
        <w:t>usted tiene una emergencia, o</w:t>
      </w:r>
    </w:p>
    <w:p>
      <w:pPr>
        <w:pStyle w:val="Normal"/>
        <w:numPr>
          <w:ilvl w:val="0"/>
          <w:numId w:val="4"/>
        </w:numPr>
        <w:pBdr/>
        <w:spacing w:before="0" w:after="120"/>
        <w:ind w:left="360" w:hanging="360"/>
        <w:rPr/>
      </w:pPr>
      <w:r>
        <w:rPr>
          <w:color w:val="000000"/>
        </w:rPr>
        <w:t>puede demostrarle al juez que el propietario no se verá perjudicado si se retrasa la fecha del desalojo.</w:t>
      </w:r>
    </w:p>
    <w:p>
      <w:pPr>
        <w:pStyle w:val="Normal"/>
        <w:pBdr/>
        <w:spacing w:before="0" w:after="120"/>
        <w:rPr/>
      </w:pPr>
      <w:r>
        <w:rPr>
          <w:color w:val="000000"/>
        </w:rPr>
        <w:t xml:space="preserve">Consulte: Aplazamiento: Cómo representarse a sí mismo en un caso de desalojo: </w:t>
      </w:r>
      <w:hyperlink r:id="rId2">
        <w:r>
          <w:rPr>
            <w:rStyle w:val="Style"/>
            <w:color w:val="0000FF"/>
            <w:u w:val="single"/>
          </w:rPr>
          <w:t>MassLegalHelp.org/housinging/lt1-booklet-8-answer.pdf.</w:t>
        </w:r>
      </w:hyperlink>
    </w:p>
    <w:p>
      <w:pPr>
        <w:pStyle w:val="Heading3"/>
        <w:numPr>
          <w:ilvl w:val="2"/>
          <w:numId w:val="3"/>
        </w:numPr>
        <w:rPr/>
      </w:pPr>
      <w:r>
        <w:rPr/>
        <w:t>Presente una moción para eliminar el incumplimiento</w:t>
      </w:r>
    </w:p>
    <w:p>
      <w:pPr>
        <w:pStyle w:val="Normal"/>
        <w:pBdr/>
        <w:spacing w:before="0" w:after="120"/>
        <w:rPr/>
      </w:pPr>
      <w:r>
        <w:rPr>
          <w:color w:val="000000"/>
        </w:rPr>
        <w:t xml:space="preserve">Puede presentar una moción para eliminar el fallo de incumplimiento. Consulte: Cómo eliminar el incumplimiento en todas las cortes de vivienda superiores y de distrito: </w:t>
      </w:r>
      <w:hyperlink r:id="rId3">
        <w:r>
          <w:rPr>
            <w:rStyle w:val="Style"/>
            <w:color w:val="0000FF"/>
            <w:u w:val="single"/>
          </w:rPr>
          <w:t>MassLegalHelp.org/housinging/lt1-booklet-6--</w:t>
        </w:r>
      </w:hyperlink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  <w:t xml:space="preserve">Si la corte le concede la moción para eliminar el incumplimiento, se cancela el fallo de incumplimiento y usted vuelve a donde estaba en el caso, </w:t>
      </w:r>
      <w:r>
        <w:rPr>
          <w:b/>
          <w:color w:val="000000"/>
        </w:rPr>
        <w:t>antes</w:t>
      </w:r>
      <w:r>
        <w:rPr>
          <w:color w:val="000000"/>
        </w:rPr>
        <w:t xml:space="preserve"> de que faltara a la audiencia.</w:t>
      </w:r>
    </w:p>
    <w:p>
      <w:pPr>
        <w:pStyle w:val="Heading3"/>
        <w:numPr>
          <w:ilvl w:val="2"/>
          <w:numId w:val="3"/>
        </w:numPr>
        <w:rPr/>
      </w:pPr>
      <w:r>
        <w:rPr/>
        <w:t>Hable con el propietario</w:t>
      </w:r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  <w:t xml:space="preserve">Incluso después de haber perdido su caso de desalojo, muchos propietarios siguen dispuestos a negociar un acuerdo con usted. </w:t>
      </w:r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  <w:t>Si su desalojo es porque debe el alquiler, algunos propietarios aceptarán un plan de pago y le permitirán quedarse si puede ponerse al día con el alquiler.</w:t>
      </w:r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  <w:t>Aunque el propietario no esté interesado en que se quede a largo plazo, puede estar de acuerdo en darle un plazo razonable para que se mude.</w:t>
      </w:r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  <w:t>Es posible que sea más caro para el propietario pagarle a un alguacil o a un agente de policía para que le desaloje y saque todas sus cosas.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Solicite lugar en un refugio o asistencia de emergencia</w:t>
      </w:r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  <w:t>Usted puede tener derecho a un refugio si tiene hijos y el propietario le ha desalojado porque:</w:t>
      </w:r>
    </w:p>
    <w:p>
      <w:pPr>
        <w:pStyle w:val="Normal"/>
        <w:numPr>
          <w:ilvl w:val="0"/>
          <w:numId w:val="2"/>
        </w:numPr>
        <w:pBdr/>
        <w:spacing w:before="0" w:after="120"/>
        <w:ind w:left="360" w:hanging="360"/>
        <w:rPr/>
      </w:pPr>
      <w:r>
        <w:rPr>
          <w:color w:val="000000"/>
        </w:rPr>
        <w:t>ya no podía pagar el alquiler, o</w:t>
      </w:r>
    </w:p>
    <w:p>
      <w:pPr>
        <w:pStyle w:val="Normal"/>
        <w:numPr>
          <w:ilvl w:val="0"/>
          <w:numId w:val="2"/>
        </w:numPr>
        <w:pBdr/>
        <w:spacing w:before="0" w:after="120"/>
        <w:ind w:left="360" w:hanging="360"/>
        <w:rPr/>
      </w:pPr>
      <w:r>
        <w:rPr>
          <w:color w:val="000000"/>
        </w:rPr>
        <w:t>usted no ha hecho nada que justifique el desalojo.</w:t>
      </w:r>
    </w:p>
    <w:p>
      <w:pPr>
        <w:pStyle w:val="Normal"/>
        <w:pBdr/>
        <w:spacing w:before="0" w:after="120"/>
        <w:rPr/>
      </w:pPr>
      <w:r>
        <w:rPr>
          <w:color w:val="000000"/>
        </w:rPr>
        <w:t xml:space="preserve">Infórmese sobre cómo encontrar refugio. Consulte: Programas de asistencia de vivienda de emergencia en Mass.gov: </w:t>
      </w:r>
      <w:hyperlink r:id="rId4">
        <w:r>
          <w:rPr>
            <w:rStyle w:val="Style"/>
            <w:color w:val="0000FF"/>
          </w:rPr>
          <w:t>Mass.Gov/emergency-housing-assistance-programs</w:t>
        </w:r>
      </w:hyperlink>
    </w:p>
    <w:p>
      <w:pPr>
        <w:pStyle w:val="Normal"/>
        <w:pBdr/>
        <w:spacing w:before="0" w:after="120"/>
        <w:rPr>
          <w:color w:val="0000FF"/>
        </w:rPr>
      </w:pPr>
      <w:r>
        <w:rPr>
          <w:color w:val="0000FF"/>
        </w:rPr>
      </w:r>
    </w:p>
    <w:p>
      <w:pPr>
        <w:pStyle w:val="Normal"/>
        <w:pBdr/>
        <w:spacing w:before="0" w:after="120"/>
        <w:rPr>
          <w:color w:val="0000FF"/>
        </w:rPr>
      </w:pPr>
      <w:r>
        <w:rPr>
          <w:color w:val="0000FF"/>
        </w:rPr>
      </w:r>
    </w:p>
    <w:p>
      <w:pPr>
        <w:pStyle w:val="Normal"/>
        <w:pBdr/>
        <w:spacing w:before="0" w:after="120"/>
        <w:rPr>
          <w:color w:val="000000"/>
        </w:rPr>
      </w:pPr>
      <w:r>
        <w:rPr>
          <w:color w:val="000000"/>
        </w:rPr>
      </w:r>
      <w:bookmarkStart w:id="0" w:name="_heading=h.30j0zll"/>
      <w:bookmarkStart w:id="1" w:name="_heading=h.30j0zll"/>
      <w:bookmarkEnd w:id="1"/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pBdr/>
        <w:rPr>
          <w:color w:val="000000"/>
        </w:rPr>
      </w:pPr>
      <w:r>
        <w:rPr>
          <w:color w:val="000000"/>
        </w:rPr>
        <w:t>{{p include_docx_template(‘Disclaimer_es.docx’) }}</w:t>
      </w:r>
    </w:p>
    <w:p>
      <w:pPr>
        <w:pStyle w:val="Normal"/>
        <w:pBdr/>
        <w:rPr/>
      </w:pPr>
      <w:r>
        <w:rPr>
          <w:color w:val="000000"/>
        </w:rPr>
        <w:t>{{p include_docx_template('Authorship_es</w:t>
      </w:r>
      <w:bookmarkStart w:id="2" w:name="_GoBack"/>
      <w:bookmarkEnd w:id="2"/>
      <w:r>
        <w:rPr>
          <w:color w:val="000000"/>
        </w:rPr>
        <w:t>.docx') }}</w:t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erif">
    <w:altName w:val="Times New Roman"/>
    <w:charset w:val="00"/>
    <w:family w:val="swiss"/>
    <w:pitch w:val="variable"/>
  </w:font>
  <w:font w:name="Tahoma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Garamond">
    <w:charset w:val="01"/>
    <w:family w:val="swiss"/>
    <w:pitch w:val="default"/>
  </w:font>
  <w:font w:name="Georgia">
    <w:charset w:val="01"/>
    <w:family w:val="swiss"/>
    <w:pitch w:val="default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20b9"/>
    <w:pPr>
      <w:widowControl/>
      <w:bidi w:val="0"/>
      <w:spacing w:before="0" w:after="0"/>
      <w:jc w:val="left"/>
    </w:pPr>
    <w:rPr>
      <w:rFonts w:eastAsia="Calibri" w:eastAsiaTheme="minorHAnsi" w:ascii="Arial" w:hAnsi="Arial" w:cs="Arial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Heading"/>
    <w:next w:val="TextBody"/>
    <w:link w:val="Heading1Char"/>
    <w:qFormat/>
    <w:rsid w:val="006320b9"/>
    <w:pPr>
      <w:numPr>
        <w:ilvl w:val="0"/>
        <w:numId w:val="1"/>
      </w:numPr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rsid w:val="006320b9"/>
    <w:pPr>
      <w:numPr>
        <w:ilvl w:val="1"/>
        <w:numId w:val="1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6320b9"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20b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320b9"/>
    <w:rPr>
      <w:rFonts w:ascii="Arial" w:hAnsi="Arial" w:eastAsia="Calibri" w:cs="Arial" w:eastAsiaTheme="minorHAnsi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20b9"/>
    <w:rPr>
      <w:rFonts w:ascii="Tahoma" w:hAnsi="Tahoma" w:eastAsia="Calibri" w:cs="Tahoma" w:eastAsiaTheme="minorHAnsi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4e3380"/>
    <w:rPr>
      <w:rFonts w:ascii="Liberation Serif" w:hAnsi="Liberation Serif" w:eastAsia="Segoe UI" w:cs="Tahoma"/>
      <w:b/>
      <w:bCs/>
      <w:sz w:val="48"/>
      <w:szCs w:val="4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320b9"/>
    <w:rPr>
      <w:rFonts w:ascii="Arial" w:hAnsi="Arial" w:eastAsia="Calibri" w:cs="Arial" w:eastAsiaTheme="minorHAnsi"/>
      <w:b/>
      <w:bCs/>
      <w:sz w:val="20"/>
      <w:szCs w:val="20"/>
    </w:rPr>
  </w:style>
  <w:style w:type="character" w:styleId="Bullets" w:customStyle="1">
    <w:name w:val="Bullets"/>
    <w:qFormat/>
    <w:rsid w:val="006320b9"/>
    <w:rPr>
      <w:rFonts w:ascii="OpenSymbol" w:hAnsi="OpenSymbol" w:eastAsia="OpenSymbol" w:cs="OpenSymbol"/>
    </w:rPr>
  </w:style>
  <w:style w:type="character" w:styleId="HeaderChar" w:customStyle="1">
    <w:name w:val="Header Char"/>
    <w:basedOn w:val="DefaultParagraphFont"/>
    <w:link w:val="Header"/>
    <w:qFormat/>
    <w:rsid w:val="006320b9"/>
    <w:rPr>
      <w:rFonts w:ascii="Arial" w:hAnsi="Arial" w:eastAsia="Calibri" w:cs="Arial"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80551"/>
    <w:rPr>
      <w:color w:val="800080" w:themeColor="followedHyperlink"/>
      <w:u w:val="single"/>
    </w:rPr>
  </w:style>
  <w:style w:type="paragraph" w:styleId="Heading" w:customStyle="1">
    <w:name w:val="Heading"/>
    <w:basedOn w:val="Normal"/>
    <w:next w:val="TextBody"/>
    <w:qFormat/>
    <w:rsid w:val="006320b9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Spacing"/>
    <w:rsid w:val="00b826aa"/>
    <w:pPr>
      <w:spacing w:before="0" w:after="120"/>
    </w:pPr>
    <w:rPr>
      <w:rFonts w:ascii="Arial" w:hAnsi="Arial" w:cs="Arial"/>
    </w:rPr>
  </w:style>
  <w:style w:type="paragraph" w:styleId="List">
    <w:name w:val="List"/>
    <w:basedOn w:val="TextBody"/>
    <w:rsid w:val="006320b9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0"/>
    </w:pPr>
    <w:rPr>
      <w:b/>
      <w:sz w:val="72"/>
      <w:szCs w:val="72"/>
    </w:rPr>
  </w:style>
  <w:style w:type="paragraph" w:styleId="Caption1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styleId="NoSpacing">
    <w:name w:val="No Spacing"/>
    <w:uiPriority w:val="1"/>
    <w:qFormat/>
    <w:rsid w:val="006320b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320b9"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before="0" w:after="240"/>
    </w:pPr>
    <w:rPr>
      <w:rFonts w:ascii="Garamond" w:hAnsi="Garamond" w:eastAsia="Times New Roman" w:cs="Times New Roman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320b9"/>
    <w:pPr/>
    <w:rPr>
      <w:b/>
      <w:bCs/>
    </w:rPr>
  </w:style>
  <w:style w:type="paragraph" w:styleId="HeaderandFooter" w:customStyle="1">
    <w:name w:val="Header and Footer"/>
    <w:basedOn w:val="Normal"/>
    <w:qFormat/>
    <w:rsid w:val="006320b9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link w:val="HeaderChar"/>
    <w:rsid w:val="006320b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sslegalhelp.org/housing/lt1-booklet-8-stay.pdf" TargetMode="External"/><Relationship Id="rId3" Type="http://schemas.openxmlformats.org/officeDocument/2006/relationships/hyperlink" Target="https://www.masslegalhelp.org/housing/lt1-booklet-6-removing-default.pdf" TargetMode="External"/><Relationship Id="rId4" Type="http://schemas.openxmlformats.org/officeDocument/2006/relationships/hyperlink" Target="https://www.mass.gov/emergency-housing-assistance-program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WdxgEDZMsFK6q0jGXRpodVAmpw==">AMUW2mWiDtZ42KMJ5T2z+p+X9Uic+gTvwTIhn+svv3lFiioidyBWHiNFTGQwi5K+3wez97RiKZaJoL9eskr3UmGnZF6LiSXyhb4fyziszkBuJl+jW+TQIooQq7FXRUTX6KjMOiR8Zqfd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LibreOffice/6.3.5.2$Windows_X86_64 LibreOffice_project/dd0751754f11728f69b42ee2af66670068624673</Application>
  <Pages>2</Pages>
  <Words>342</Words>
  <Characters>1913</Characters>
  <CharactersWithSpaces>2235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2020-12-31T12:33:00Z</dcterms:created>
  <dc:creator>Shaw, Gordon</dc:creator>
  <dc:description/>
  <dc:language>en-US</dc:language>
  <cp:lastModifiedBy/>
  <dcterms:modified xsi:type="dcterms:W3CDTF">2023-04-10T16:15:27Z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