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04AB9" w:rsidRDefault="00661118">
      <w:pPr>
        <w:pStyle w:val="Heading1"/>
        <w:numPr>
          <w:ilvl w:val="0"/>
          <w:numId w:val="2"/>
        </w:numPr>
      </w:pPr>
      <w:r>
        <w:t>Guíenme: Qué hacer cuando...</w:t>
      </w:r>
      <w:r>
        <w:tab/>
      </w:r>
    </w:p>
    <w:p w14:paraId="00000002" w14:textId="77777777" w:rsidR="00C04AB9" w:rsidRDefault="00661118">
      <w:pPr>
        <w:pStyle w:val="Heading2"/>
        <w:numPr>
          <w:ilvl w:val="1"/>
          <w:numId w:val="2"/>
        </w:numPr>
      </w:pPr>
      <w:proofErr w:type="gramStart"/>
      <w:r>
        <w:rPr>
          <w:color w:val="000000"/>
        </w:rPr>
        <w:t>el</w:t>
      </w:r>
      <w:proofErr w:type="gramEnd"/>
      <w:r>
        <w:rPr>
          <w:color w:val="000000"/>
        </w:rPr>
        <w:t xml:space="preserve"> propietario quiere desalojarlo y</w:t>
      </w:r>
      <w:r>
        <w:t xml:space="preserve"> usted recibe una carta o notificación diciéndole que se vaya</w:t>
      </w:r>
    </w:p>
    <w:p w14:paraId="00000003" w14:textId="77777777" w:rsidR="00C04AB9" w:rsidRDefault="00661118">
      <w:pPr>
        <w:pBdr>
          <w:top w:val="nil"/>
          <w:left w:val="nil"/>
          <w:bottom w:val="nil"/>
          <w:right w:val="nil"/>
          <w:between w:val="nil"/>
        </w:pBdr>
        <w:spacing w:after="120"/>
        <w:rPr>
          <w:color w:val="000000"/>
        </w:rPr>
        <w:sectPr w:rsidR="00C04AB9">
          <w:pgSz w:w="12240" w:h="15840"/>
          <w:pgMar w:top="1440" w:right="1440" w:bottom="1440" w:left="1440" w:header="0" w:footer="0" w:gutter="0"/>
          <w:pgNumType w:start="1"/>
          <w:cols w:space="720"/>
        </w:sectPr>
      </w:pPr>
      <w:r>
        <w:rPr>
          <w:color w:val="000000"/>
        </w:rPr>
        <w:t xml:space="preserve">Este es el primer paso en el proceso de desalojo. No es necesario que se vaya antes de la fecha indicada en la notificación.  El propietario sólo puede iniciar el proceso de desalojo contra usted en la corte después de la fecha en que debería abandonar la </w:t>
      </w:r>
      <w:r>
        <w:rPr>
          <w:color w:val="000000"/>
        </w:rPr>
        <w:t>vivienda.</w:t>
      </w:r>
    </w:p>
    <w:p w14:paraId="00000004" w14:textId="77777777" w:rsidR="00C04AB9" w:rsidRDefault="00661118">
      <w:pPr>
        <w:pStyle w:val="Heading3"/>
        <w:numPr>
          <w:ilvl w:val="2"/>
          <w:numId w:val="2"/>
        </w:numPr>
      </w:pPr>
      <w:r>
        <w:lastRenderedPageBreak/>
        <w:t>Conozca sus derechos y opciones</w:t>
      </w:r>
    </w:p>
    <w:p w14:paraId="00000005" w14:textId="77777777" w:rsidR="00C04AB9" w:rsidRDefault="00661118">
      <w:pPr>
        <w:pBdr>
          <w:top w:val="nil"/>
          <w:left w:val="nil"/>
          <w:bottom w:val="nil"/>
          <w:right w:val="nil"/>
          <w:between w:val="nil"/>
        </w:pBdr>
        <w:spacing w:after="120"/>
        <w:rPr>
          <w:color w:val="000000"/>
        </w:rPr>
      </w:pPr>
      <w:r>
        <w:rPr>
          <w:color w:val="000000"/>
        </w:rPr>
        <w:t>Aproveche el tiempo para informarse sobre sus derechos y opciones.</w:t>
      </w:r>
    </w:p>
    <w:p w14:paraId="00000006" w14:textId="77777777" w:rsidR="00C04AB9" w:rsidRDefault="00661118">
      <w:pPr>
        <w:pBdr>
          <w:top w:val="nil"/>
          <w:left w:val="nil"/>
          <w:bottom w:val="nil"/>
          <w:right w:val="nil"/>
          <w:between w:val="nil"/>
        </w:pBdr>
        <w:spacing w:after="120"/>
        <w:rPr>
          <w:color w:val="000000"/>
        </w:rPr>
      </w:pPr>
      <w:r>
        <w:rPr>
          <w:color w:val="000000"/>
        </w:rPr>
        <w:t>Si le entregan una notificación de desalojo porque no ha pagado el alquiler, tiene derecho a pagar lo que debe y evitar que el propietario inicie u</w:t>
      </w:r>
      <w:r>
        <w:rPr>
          <w:color w:val="000000"/>
        </w:rPr>
        <w:t xml:space="preserve">n proceso de desalojo en la corte. </w:t>
      </w:r>
    </w:p>
    <w:p w14:paraId="00000007" w14:textId="77777777" w:rsidR="00C04AB9" w:rsidRDefault="00661118">
      <w:pPr>
        <w:pBdr>
          <w:top w:val="nil"/>
          <w:left w:val="nil"/>
          <w:bottom w:val="nil"/>
          <w:right w:val="nil"/>
          <w:between w:val="nil"/>
        </w:pBdr>
        <w:spacing w:after="120"/>
        <w:rPr>
          <w:color w:val="000000"/>
        </w:rPr>
      </w:pPr>
      <w:r>
        <w:rPr>
          <w:color w:val="000000"/>
        </w:rPr>
        <w:t>Infórmese sobre:</w:t>
      </w:r>
    </w:p>
    <w:p w14:paraId="00000008" w14:textId="77777777" w:rsidR="00C04AB9" w:rsidRDefault="00661118">
      <w:pPr>
        <w:numPr>
          <w:ilvl w:val="0"/>
          <w:numId w:val="1"/>
        </w:numPr>
        <w:pBdr>
          <w:top w:val="nil"/>
          <w:left w:val="nil"/>
          <w:bottom w:val="nil"/>
          <w:right w:val="nil"/>
          <w:between w:val="nil"/>
        </w:pBdr>
        <w:spacing w:after="120"/>
        <w:ind w:left="360"/>
      </w:pPr>
      <w:r>
        <w:rPr>
          <w:color w:val="000000"/>
        </w:rPr>
        <w:t>cómo presentar una Respuesta si el propietario le lleva a la corte y usted recibe la citación y la demanda en su caso de desalojo;</w:t>
      </w:r>
    </w:p>
    <w:p w14:paraId="00000009" w14:textId="77777777" w:rsidR="00C04AB9" w:rsidRDefault="00661118">
      <w:pPr>
        <w:numPr>
          <w:ilvl w:val="0"/>
          <w:numId w:val="1"/>
        </w:numPr>
        <w:pBdr>
          <w:top w:val="nil"/>
          <w:left w:val="nil"/>
          <w:bottom w:val="nil"/>
          <w:right w:val="nil"/>
          <w:between w:val="nil"/>
        </w:pBdr>
        <w:spacing w:after="120"/>
        <w:ind w:left="360"/>
      </w:pPr>
      <w:r>
        <w:rPr>
          <w:color w:val="000000"/>
        </w:rPr>
        <w:t>las defensas y contrademandas que puede utilizar en su Respuesta, y</w:t>
      </w:r>
    </w:p>
    <w:p w14:paraId="0000000A" w14:textId="77777777" w:rsidR="00C04AB9" w:rsidRDefault="00661118">
      <w:pPr>
        <w:numPr>
          <w:ilvl w:val="0"/>
          <w:numId w:val="1"/>
        </w:numPr>
        <w:pBdr>
          <w:top w:val="nil"/>
          <w:left w:val="nil"/>
          <w:bottom w:val="nil"/>
          <w:right w:val="nil"/>
          <w:between w:val="nil"/>
        </w:pBdr>
        <w:spacing w:after="120"/>
        <w:ind w:left="360"/>
      </w:pPr>
      <w:r>
        <w:rPr>
          <w:color w:val="000000"/>
        </w:rPr>
        <w:t xml:space="preserve">las </w:t>
      </w:r>
      <w:r>
        <w:rPr>
          <w:color w:val="000000"/>
        </w:rPr>
        <w:t xml:space="preserve">maneras de detener o retrasar el desalojo. </w:t>
      </w:r>
    </w:p>
    <w:p w14:paraId="0000000B" w14:textId="77777777" w:rsidR="00C04AB9" w:rsidRDefault="00661118">
      <w:pPr>
        <w:pBdr>
          <w:top w:val="nil"/>
          <w:left w:val="nil"/>
          <w:bottom w:val="nil"/>
          <w:right w:val="nil"/>
          <w:between w:val="nil"/>
        </w:pBdr>
        <w:spacing w:after="120"/>
        <w:rPr>
          <w:color w:val="000000"/>
        </w:rPr>
      </w:pPr>
      <w:r>
        <w:rPr>
          <w:color w:val="000000"/>
        </w:rPr>
        <w:lastRenderedPageBreak/>
        <w:t xml:space="preserve">Consulte: </w:t>
      </w:r>
      <w:hyperlink r:id="rId7">
        <w:r>
          <w:rPr>
            <w:color w:val="0000FF"/>
            <w:u w:val="single"/>
          </w:rPr>
          <w:t>MassLegalHelp.org/</w:t>
        </w:r>
        <w:proofErr w:type="spellStart"/>
        <w:r>
          <w:rPr>
            <w:color w:val="0000FF"/>
            <w:u w:val="single"/>
          </w:rPr>
          <w:t>Evictions</w:t>
        </w:r>
        <w:proofErr w:type="spellEnd"/>
      </w:hyperlink>
      <w:r>
        <w:rPr>
          <w:color w:val="000000"/>
        </w:rPr>
        <w:t>.</w:t>
      </w:r>
    </w:p>
    <w:p w14:paraId="0000000C" w14:textId="77777777" w:rsidR="00C04AB9" w:rsidRDefault="00661118">
      <w:pPr>
        <w:pStyle w:val="Heading3"/>
        <w:numPr>
          <w:ilvl w:val="2"/>
          <w:numId w:val="2"/>
        </w:numPr>
      </w:pPr>
      <w:r>
        <w:t>Hable con el propietario</w:t>
      </w:r>
    </w:p>
    <w:p w14:paraId="0000000D" w14:textId="77777777" w:rsidR="00C04AB9" w:rsidRDefault="00661118">
      <w:pPr>
        <w:pBdr>
          <w:top w:val="nil"/>
          <w:left w:val="nil"/>
          <w:bottom w:val="nil"/>
          <w:right w:val="nil"/>
          <w:between w:val="nil"/>
        </w:pBdr>
        <w:spacing w:after="120"/>
        <w:rPr>
          <w:color w:val="000000"/>
        </w:rPr>
      </w:pPr>
      <w:r>
        <w:rPr>
          <w:color w:val="000000"/>
        </w:rPr>
        <w:t>Algunos propietarios podrían estar dispuestos a resolver los problemas que originaron la noti</w:t>
      </w:r>
      <w:r>
        <w:rPr>
          <w:color w:val="000000"/>
        </w:rPr>
        <w:t xml:space="preserve">ficación para no ir a la corte. </w:t>
      </w:r>
    </w:p>
    <w:p w14:paraId="0000000E" w14:textId="77777777" w:rsidR="00C04AB9" w:rsidRDefault="00661118">
      <w:pPr>
        <w:pBdr>
          <w:top w:val="nil"/>
          <w:left w:val="nil"/>
          <w:bottom w:val="nil"/>
          <w:right w:val="nil"/>
          <w:between w:val="nil"/>
        </w:pBdr>
        <w:spacing w:after="120"/>
        <w:rPr>
          <w:color w:val="000000"/>
        </w:rPr>
      </w:pPr>
      <w:r>
        <w:rPr>
          <w:color w:val="000000"/>
        </w:rPr>
        <w:t xml:space="preserve">Si el propietario quiere desalojarlo porque usted debe el alquiler, el propietario podría aceptar un plan de pago y dejar que usted se quede si puede ponerse al día con el alquiler. </w:t>
      </w:r>
    </w:p>
    <w:p w14:paraId="0000000F" w14:textId="77777777" w:rsidR="00C04AB9" w:rsidRDefault="00661118">
      <w:pPr>
        <w:pBdr>
          <w:top w:val="nil"/>
          <w:left w:val="nil"/>
          <w:bottom w:val="nil"/>
          <w:right w:val="nil"/>
          <w:between w:val="nil"/>
        </w:pBdr>
        <w:spacing w:after="120"/>
        <w:rPr>
          <w:color w:val="000000"/>
        </w:rPr>
      </w:pPr>
      <w:r>
        <w:rPr>
          <w:color w:val="000000"/>
        </w:rPr>
        <w:t>Aunque el propietario no esté interesado</w:t>
      </w:r>
      <w:r>
        <w:rPr>
          <w:color w:val="000000"/>
        </w:rPr>
        <w:t xml:space="preserve"> en que se quede a largo plazo, puede estar de acuerdo en darle un plazo razonable para que se mude.</w:t>
      </w:r>
    </w:p>
    <w:p w14:paraId="00000010" w14:textId="77777777" w:rsidR="00C04AB9" w:rsidRDefault="00661118">
      <w:pPr>
        <w:pBdr>
          <w:top w:val="nil"/>
          <w:left w:val="nil"/>
          <w:bottom w:val="nil"/>
          <w:right w:val="nil"/>
          <w:between w:val="nil"/>
        </w:pBdr>
        <w:spacing w:after="120"/>
        <w:rPr>
          <w:color w:val="000000"/>
        </w:rPr>
        <w:sectPr w:rsidR="00C04AB9">
          <w:type w:val="continuous"/>
          <w:pgSz w:w="12240" w:h="15840"/>
          <w:pgMar w:top="1440" w:right="1440" w:bottom="1440" w:left="1440" w:header="0" w:footer="0" w:gutter="0"/>
          <w:pgNumType w:start="1"/>
          <w:cols w:num="2" w:space="720" w:equalWidth="0">
            <w:col w:w="4320" w:space="720"/>
            <w:col w:w="4320" w:space="0"/>
          </w:cols>
        </w:sectPr>
      </w:pPr>
      <w:r>
        <w:rPr>
          <w:color w:val="000000"/>
        </w:rPr>
        <w:t xml:space="preserve">Es posible que sea más caro para el propietario pagarle a un alguacil o a un agente de policía para que le desaloje y saque sus </w:t>
      </w:r>
      <w:r>
        <w:rPr>
          <w:color w:val="000000"/>
        </w:rPr>
        <w:t>cosas.</w:t>
      </w:r>
    </w:p>
    <w:p w14:paraId="00000011" w14:textId="25BAEDED" w:rsidR="00C04AB9" w:rsidRDefault="00661118">
      <w:pPr>
        <w:pBdr>
          <w:top w:val="nil"/>
          <w:left w:val="nil"/>
          <w:bottom w:val="nil"/>
          <w:right w:val="nil"/>
          <w:between w:val="nil"/>
        </w:pBdr>
        <w:spacing w:after="120"/>
        <w:rPr>
          <w:color w:val="000000"/>
        </w:rPr>
      </w:pPr>
      <w:r>
        <w:rPr>
          <w:color w:val="000000"/>
        </w:rPr>
        <w:lastRenderedPageBreak/>
        <w:t xml:space="preserve">{{p </w:t>
      </w:r>
      <w:proofErr w:type="spellStart"/>
      <w:r>
        <w:rPr>
          <w:color w:val="000000"/>
        </w:rPr>
        <w:t>include_docx_</w:t>
      </w:r>
      <w:proofErr w:type="gramStart"/>
      <w:r>
        <w:rPr>
          <w:color w:val="000000"/>
        </w:rPr>
        <w:t>template</w:t>
      </w:r>
      <w:proofErr w:type="spellEnd"/>
      <w:r>
        <w:rPr>
          <w:color w:val="000000"/>
        </w:rPr>
        <w:t>(</w:t>
      </w:r>
      <w:proofErr w:type="gramEnd"/>
      <w:r>
        <w:rPr>
          <w:color w:val="000000"/>
        </w:rPr>
        <w:t>‘Disclaimer_es</w:t>
      </w:r>
      <w:r>
        <w:rPr>
          <w:color w:val="000000"/>
        </w:rPr>
        <w:t>.docx’) }}</w:t>
      </w:r>
    </w:p>
    <w:p w14:paraId="00000012" w14:textId="0F46573F" w:rsidR="00C04AB9" w:rsidRDefault="00661118">
      <w:pPr>
        <w:pBdr>
          <w:top w:val="nil"/>
          <w:left w:val="nil"/>
          <w:bottom w:val="nil"/>
          <w:right w:val="nil"/>
          <w:between w:val="nil"/>
        </w:pBdr>
        <w:spacing w:after="120"/>
        <w:rPr>
          <w:color w:val="000000"/>
          <w:sz w:val="20"/>
          <w:szCs w:val="20"/>
        </w:rPr>
      </w:pPr>
      <w:r>
        <w:rPr>
          <w:color w:val="000000"/>
        </w:rPr>
        <w:t xml:space="preserve">{{p </w:t>
      </w:r>
      <w:proofErr w:type="spellStart"/>
      <w:r>
        <w:rPr>
          <w:color w:val="000000"/>
        </w:rPr>
        <w:t>include_docx_template</w:t>
      </w:r>
      <w:proofErr w:type="spellEnd"/>
      <w:r>
        <w:rPr>
          <w:color w:val="000000"/>
        </w:rPr>
        <w:t>('Authorship_es</w:t>
      </w:r>
      <w:bookmarkStart w:id="0" w:name="_GoBack"/>
      <w:bookmarkEnd w:id="0"/>
      <w:r>
        <w:rPr>
          <w:color w:val="000000"/>
        </w:rPr>
        <w:t>.docx') }}</w:t>
      </w:r>
    </w:p>
    <w:sectPr w:rsidR="00C04AB9">
      <w:type w:val="continuous"/>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E2C2D"/>
    <w:multiLevelType w:val="multilevel"/>
    <w:tmpl w:val="CFAA4A2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52B4199"/>
    <w:multiLevelType w:val="multilevel"/>
    <w:tmpl w:val="7CC2A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AB704AC"/>
    <w:multiLevelType w:val="multilevel"/>
    <w:tmpl w:val="B6BA86D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C04AB9"/>
    <w:rsid w:val="00661118"/>
    <w:rsid w:val="00C0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eastAsiaTheme="minorHAnsi"/>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eastAsiaTheme="minorHAnsi"/>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sslegalhelp.org/Evi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9f2fC5jusEP6PmMRHmhUoB4ZyA==">AMUW2mXgjzDf6ccmrnvbPHJKYZ3JOMKayYibk3atZHJ9IPcKUDdp4WPh8l4BDahX7+Vva2BHuMQqDI8tjA6gAtxzm9vkoVAPGGUwYAHaq9hXzzW9RyymHFM=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cp:lastModifiedBy>
  <cp:revision>2</cp:revision>
  <dcterms:created xsi:type="dcterms:W3CDTF">2020-12-31T12:34:00Z</dcterms:created>
  <dcterms:modified xsi:type="dcterms:W3CDTF">2022-04-15T12:40:00Z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