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Guide Me: Steps to take when…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ind w:left="0" w:firstLine="0"/>
        <w:rPr/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  <w:t xml:space="preserve">Your landlord wants to evict you and you get a summons to go to court</w:t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Call the Court if you cannot access Zoom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of the COVID 19 pandemic, the courts are holding hearings by ZOOM or telephone.  After you receive the summons, the court will mail you a notice telling you how to call-in or use Zoom for your hearing.  Look for information on this notice on what to do if you cannot get on Zoom or cannot attend court.</w:t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Go to court! – Even if you think you worked everything out with your landlord.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 not show up, the landlord can ask the court for a "default judgment" against you.</w:t>
      </w:r>
    </w:p>
    <w:p w:rsidR="00000000" w:rsidDel="00000000" w:rsidP="00000000" w:rsidRDefault="00000000" w:rsidRPr="00000000" w14:paraId="00000007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Until June 30, 2021, you may be eligible to stop an eviction where your landlord is asking for back rent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might be protected by the federal CDC Moratorium if: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280" w:lineRule="auto"/>
        <w:ind w:left="360" w:hanging="360"/>
        <w:rPr/>
      </w:pPr>
      <w:r w:rsidDel="00000000" w:rsidR="00000000" w:rsidRPr="00000000">
        <w:rPr>
          <w:rtl w:val="0"/>
        </w:rPr>
        <w:t xml:space="preserve">You cannot pay your full rent because you have lost income or have high medical expenses, 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You are making best efforts to pay the rent including applying for financial help, and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8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You are likely to become homeless or doubled up if evicted.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more about the moratorium, and how to send your landlord a declaration that you are protected by the federal CDC moratorium on evictions.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MassLegalHelp.org/covid-19/housing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MassLegalHelp.org/cdc-declaration.pdf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File an Answer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Answer form to explain to the court, why you should not be evicted. The reasons you should not be evicted are your "defenses".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landlord is evicting you because you are behind on rent, or for a reason that is not your fault, your landlord may have done something wrong. You will have "counterclaims" for the things they did wrong. Include your counterclaims in your Answer also.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Massachusetts Defense Eviction (MADE), guided questions to help you put together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Answer in your eviction case online. At the end of the "interview" you will be able to email, download, and print your Answer. See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MassLegalHelp.org/MADE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Or, you can use the PDF booklet, The Answer: Representing Yourself in Court How to Defend Your Eviction Case: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MassLegalHelp.org/housing/lt1-booklet-3-answer.pdf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filing an Answer is three business days before your first court hearing.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serve your landlord or their lawyer on the same date you file your Answer with the court.</w:t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 a Demand for Discovery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or your landlord may need information from each other so you can prepare for trial.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Discovery is the way people in a court case ask the other side for information.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eviction cases, Discovery is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questions, called "Interrogatories"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request for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the right to serve a Demand for Discovery on your landlord by the same date that your Answer is due.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See the PDF Booklet, Discovery: Representing Yourself in Court: How to Get Information to Prepare for Your Trial: </w:t>
        <w:br w:type="textWrapping"/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MassLegalHelp.org/housing/lt1-booklet-4-discovery.pdf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rtl w:val="0"/>
        </w:rPr>
        <w:t xml:space="preserve">File a Notice of Transfer to Housing Court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landlord filed the eviction case in a District Court, you have the right to transfer the case to the Housing Court.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Housing Courts have more resources to help tenants who are representing themselves. See the PDF Booklet, Transfer: Representing Yourself in Court: Why Transfer Your Case to Housing Court?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MassLegalHelp.org/housing/lt1-booklet-5-transfer.pdf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include_docx_template(‘Disclaimer.docx’) }}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include_docx_template(‘Authorship.docx’) }}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3323"/>
    <w:rPr>
      <w:rFonts w:ascii="Arial" w:cs="Arial" w:hAnsi="Arial" w:eastAsiaTheme="minorHAnsi"/>
      <w:sz w:val="24"/>
      <w:szCs w:val="24"/>
    </w:rPr>
  </w:style>
  <w:style w:type="paragraph" w:styleId="Heading1">
    <w:name w:val="heading 1"/>
    <w:basedOn w:val="Heading"/>
    <w:next w:val="BodyText"/>
    <w:link w:val="Heading1Char"/>
    <w:qFormat w:val="1"/>
    <w:rsid w:val="0028560F"/>
    <w:pPr>
      <w:numPr>
        <w:numId w:val="6"/>
      </w:numPr>
      <w:spacing w:before="0"/>
      <w:outlineLvl w:val="0"/>
    </w:pPr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2">
    <w:name w:val="heading 2"/>
    <w:basedOn w:val="Heading"/>
    <w:next w:val="BodyText"/>
    <w:qFormat w:val="1"/>
    <w:rsid w:val="00313323"/>
    <w:pPr>
      <w:numPr>
        <w:ilvl w:val="1"/>
        <w:numId w:val="6"/>
      </w:numPr>
      <w:spacing w:after="240" w:before="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BodyText"/>
    <w:qFormat w:val="1"/>
    <w:rsid w:val="00546F89"/>
    <w:pPr>
      <w:numPr>
        <w:ilvl w:val="2"/>
        <w:numId w:val="6"/>
      </w:numPr>
      <w:spacing w:before="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1332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13323"/>
    <w:rPr>
      <w:rFonts w:ascii="Arial" w:cs="Arial" w:hAnsi="Arial" w:eastAsiaTheme="minorHAnsi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13323"/>
    <w:rPr>
      <w:rFonts w:ascii="Tahoma" w:cs="Tahoma" w:hAnsi="Tahoma" w:eastAsiaTheme="minorHAnsi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 w:val="1"/>
    <w:rsid w:val="00BD2BE5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 w:val="1"/>
    <w:rsid w:val="0028560F"/>
    <w:rPr>
      <w:rFonts w:ascii="Liberation Serif" w:cs="Tahoma" w:eastAsia="Segoe UI" w:hAnsi="Liberation Serif"/>
      <w:b w:val="1"/>
      <w:bCs w:val="1"/>
      <w:sz w:val="48"/>
      <w:szCs w:val="48"/>
    </w:rPr>
  </w:style>
  <w:style w:type="character" w:styleId="VisitedInternetLink" w:customStyle="1">
    <w:name w:val="Visited Internet 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 w:val="1"/>
    <w:rsid w:val="00313323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Spacing"/>
    <w:link w:val="BodyTextChar"/>
    <w:rsid w:val="00313323"/>
    <w:pPr>
      <w:spacing w:after="120"/>
    </w:pPr>
    <w:rPr>
      <w:rFonts w:ascii="Arial" w:cs="Arial" w:hAnsi="Arial"/>
      <w:sz w:val="24"/>
      <w:szCs w:val="24"/>
    </w:rPr>
  </w:style>
  <w:style w:type="paragraph" w:styleId="List">
    <w:name w:val="List"/>
    <w:basedOn w:val="BodyText"/>
    <w:rsid w:val="00313323"/>
    <w:rPr>
      <w:rFonts w:cs="Lucida Sans"/>
    </w:rPr>
  </w:style>
  <w:style w:type="paragraph" w:styleId="Caption">
    <w:name w:val="caption"/>
    <w:basedOn w:val="Normal"/>
    <w:qFormat w:val="1"/>
    <w:rsid w:val="00313323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Index" w:customStyle="1">
    <w:name w:val="Index"/>
    <w:basedOn w:val="Normal"/>
    <w:qFormat w:val="1"/>
    <w:rsid w:val="00313323"/>
    <w:pPr>
      <w:suppressLineNumbers w:val="1"/>
    </w:pPr>
    <w:rPr>
      <w:rFonts w:cs="Lucida Sans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313323"/>
    <w:rPr>
      <w:rFonts w:asciiTheme="minorHAnsi" w:cstheme="minorBidi" w:eastAsiaTheme="minorHAnsi" w:hAnsiTheme="minorHAnsi"/>
      <w:sz w:val="22"/>
    </w:rPr>
  </w:style>
  <w:style w:type="paragraph" w:styleId="CommentText">
    <w:name w:val="annotation text"/>
    <w:basedOn w:val="Normal"/>
    <w:link w:val="CommentTextChar"/>
    <w:uiPriority w:val="99"/>
    <w:unhideWhenUsed w:val="1"/>
    <w:rsid w:val="003133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13323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qFormat w:val="1"/>
    <w:rsid w:val="00313323"/>
    <w:pPr>
      <w:spacing w:after="240"/>
    </w:pPr>
    <w:rPr>
      <w:rFonts w:ascii="Garamond" w:cs="Times New Roman" w:eastAsia="Times New Roman" w:hAnsi="Garamond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Bullets" w:customStyle="1">
    <w:name w:val="Bullets"/>
    <w:qFormat w:val="1"/>
    <w:rsid w:val="00313323"/>
    <w:rPr>
      <w:rFonts w:ascii="OpenSymbol" w:cs="OpenSymbol" w:eastAsia="OpenSymbol" w:hAnsi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1332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13323"/>
    <w:rPr>
      <w:rFonts w:ascii="Arial" w:cs="Arial" w:hAnsi="Arial" w:eastAsiaTheme="minorHAnsi"/>
      <w:b w:val="1"/>
      <w:bCs w:val="1"/>
      <w:szCs w:val="20"/>
    </w:rPr>
  </w:style>
  <w:style w:type="paragraph" w:styleId="HeaderandFooter" w:customStyle="1">
    <w:name w:val="Header and Footer"/>
    <w:basedOn w:val="Normal"/>
    <w:qFormat w:val="1"/>
    <w:rsid w:val="00313323"/>
    <w:pPr>
      <w:suppressLineNumbers w:val="1"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313323"/>
  </w:style>
  <w:style w:type="character" w:styleId="HeaderChar" w:customStyle="1">
    <w:name w:val="Header Char"/>
    <w:basedOn w:val="DefaultParagraphFont"/>
    <w:link w:val="Header"/>
    <w:rsid w:val="002C4A63"/>
    <w:rPr>
      <w:rFonts w:ascii="Arial" w:cs="Arial" w:hAnsi="Arial" w:eastAsiaTheme="minorHAnsi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13323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link w:val="BodyText"/>
    <w:rsid w:val="004301D6"/>
    <w:rPr>
      <w:rFonts w:ascii="Arial" w:cs="Arial" w:hAnsi="Arial" w:eastAsiaTheme="min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E155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asslegalhelp.org/housing/lt1-booklet-4-discovery.pdf" TargetMode="External"/><Relationship Id="rId10" Type="http://schemas.openxmlformats.org/officeDocument/2006/relationships/hyperlink" Target="http://www.masslegalhelp.org/housing/lt1-booklet-3-answer.pdf" TargetMode="External"/><Relationship Id="rId12" Type="http://schemas.openxmlformats.org/officeDocument/2006/relationships/hyperlink" Target="https://www.masslegalhelp.org/housing/lt1-booklet-5-transfer.pdf" TargetMode="External"/><Relationship Id="rId9" Type="http://schemas.openxmlformats.org/officeDocument/2006/relationships/hyperlink" Target="https://masslegalhelp.org/MAD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sslegalhelp.org/covid-19/housing" TargetMode="External"/><Relationship Id="rId8" Type="http://schemas.openxmlformats.org/officeDocument/2006/relationships/hyperlink" Target="https://masslegalhelp.org/cdc-decla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v02UXriqNKtcUgkeb3peN+IgQ==">AMUW2mU1bnrprt0SNxkjlIHwCOuoIfpMQzUTchu/8nk+3dnzDtZiVifEzEC8/rjCC0uYS8+xxA1iN0BO36yG58TAadkB4k3xeMmVD3EZb1rTjzeBvWA278p4xyCvDImOKzT+V9E0iIOE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2020-12-31T12:35:00Z</dcterms:created>
  <dc:creator>Shaw, Gordon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