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Guide Me: Steps to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Your landlord wants to evict you and you get a summons to go to court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Call the Court if you cannot access Zoom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of the COVID 19 pandemic, the courts are holding hearings by ZOOM or telephone.  After you receive the summons, the court will mail you a notice telling you how to call-in or use Zoom for your hearing.  Look for information on this notice on what to do if you cannot get on Zoom or cannot attend court.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Go to court! – Even if you think you worked everything out with your landlord.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show up, the landlord can ask the court for a "default judgment" against you.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Until March 31, 2021, you may be eligible to stop an eviction where your landlord is asking for back rent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might be protected by the federal CDC Moratorium if: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Rule="auto"/>
        <w:ind w:left="360" w:hanging="360"/>
        <w:rPr/>
      </w:pPr>
      <w:r w:rsidDel="00000000" w:rsidR="00000000" w:rsidRPr="00000000">
        <w:rPr>
          <w:rtl w:val="0"/>
        </w:rPr>
        <w:t xml:space="preserve">You cannot pay your full rent because you have lost income or have high medical expenses, 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You are making best efforts to pay the rent including applying for financial help, and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8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You are likely to become homeless or doubled up if evicted.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more about the moratorium, and how to send your landlord a declaration that you are protected by the federal CDC moratorium on evictions.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MassLegalHelp.org/covid-19/housing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File an Answer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Answer form to explain to the court, why you should not be evicted. The reasons you should not be evicted are your "defenses".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is evicting you because you are behind on rent, or for a reason that is not your fault, your landlord may have done something wrong. You will have "counterclaims" for the things they did wrong. Include your counterclaims in your Answer also.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Massachusetts Defense Eviction (MADE), guided questions to help you put 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 in your eviction case online. At the end of the "interview" you will be able to email, download, and print your Answer. See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MassLegalHelp.org/MADE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Or, you can use the PDF booklet, The Answer: Representing Yourself in Court How to Defend Your Eviction Case: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MassLegalHelp.org/housing/lt1-booklet-3-answer.pdf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filing an Answer is three business days before your first court hearing.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serve your landlord or their lawyer on the same date you file your Answer with the court.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a Demand for Discovery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or your landlord may need information from each other so you can prepare for trial.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Discovery is the way people in a court case ask the other side for information.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eviction cases, Discovery is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questions, called "Interrogatories"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request for documents.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the right to serve a Demand for Discovery on your landlord by the same date that your Answer is due.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See the PDF Booklet, Discovery: Representing Yourself in Court: How to Get Information to Prepare for Your Trial: </w:t>
        <w:br w:type="textWrapping"/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MassLegalHelp.org/housing/lt1-booklet-4-discovery.pdf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rtl w:val="0"/>
        </w:rPr>
        <w:t xml:space="preserve">File a Notice of Transfer to Housing Court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landlord filed the eviction case in a District Court, you have the right to transfer the case to the Housing Court.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Housing Courts have more resources to help tenants who are representing themselves. See the PDF Booklet, Transfer: Representing Yourself in Court: Why Transfer Your Case to Housing Court?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MassLegalHelp.org/housing/lt1-booklet-5-transfer.pdf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3323"/>
    <w:rPr>
      <w:rFonts w:ascii="Arial" w:cs="Arial" w:hAnsi="Arial" w:eastAsiaTheme="minorHAnsi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28560F"/>
    <w:pPr>
      <w:numPr>
        <w:numId w:val="6"/>
      </w:numPr>
      <w:spacing w:before="0"/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313323"/>
    <w:pPr>
      <w:numPr>
        <w:ilvl w:val="1"/>
        <w:numId w:val="6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546F89"/>
    <w:pPr>
      <w:numPr>
        <w:ilvl w:val="2"/>
        <w:numId w:val="6"/>
      </w:numPr>
      <w:spacing w:before="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1332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13323"/>
    <w:rPr>
      <w:rFonts w:ascii="Arial" w:cs="Arial" w:hAnsi="Arial" w:eastAsiaTheme="minorHAnsi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13323"/>
    <w:rPr>
      <w:rFonts w:ascii="Tahoma" w:cs="Tahoma" w:hAnsi="Tahoma" w:eastAsiaTheme="minorHAnsi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 w:val="1"/>
    <w:rsid w:val="00BD2BE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 w:val="1"/>
    <w:rsid w:val="0028560F"/>
    <w:rPr>
      <w:rFonts w:ascii="Liberation Serif" w:cs="Tahoma" w:eastAsia="Segoe UI" w:hAnsi="Liberation Serif"/>
      <w:b w:val="1"/>
      <w:bCs w:val="1"/>
      <w:sz w:val="48"/>
      <w:szCs w:val="48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 w:val="1"/>
    <w:rsid w:val="00313323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 w:val="1"/>
    <w:rsid w:val="00313323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313323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313323"/>
    <w:rPr>
      <w:rFonts w:asciiTheme="minorHAnsi" w:cstheme="minorBidi" w:eastAsiaTheme="minorHAnsi" w:hAnsiTheme="minorHAnsi"/>
      <w:sz w:val="22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1332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qFormat w:val="1"/>
    <w:rsid w:val="00313323"/>
    <w:pPr>
      <w:spacing w:after="240"/>
    </w:pPr>
    <w:rPr>
      <w:rFonts w:ascii="Garamond" w:cs="Times New Roman" w:eastAsia="Times New Roman" w:hAnsi="Garamon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Bullets" w:customStyle="1">
    <w:name w:val="Bullets"/>
    <w:qFormat w:val="1"/>
    <w:rsid w:val="00313323"/>
    <w:rPr>
      <w:rFonts w:ascii="OpenSymbol" w:cs="OpenSymbol" w:eastAsia="OpenSymbol" w:hAnsi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1332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13323"/>
    <w:rPr>
      <w:rFonts w:ascii="Arial" w:cs="Arial" w:hAnsi="Arial" w:eastAsiaTheme="minorHAnsi"/>
      <w:b w:val="1"/>
      <w:bCs w:val="1"/>
      <w:szCs w:val="20"/>
    </w:rPr>
  </w:style>
  <w:style w:type="paragraph" w:styleId="HeaderandFooter" w:customStyle="1">
    <w:name w:val="Header and Footer"/>
    <w:basedOn w:val="Normal"/>
    <w:qFormat w:val="1"/>
    <w:rsid w:val="00313323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styleId="HeaderChar" w:customStyle="1">
    <w:name w:val="Header Char"/>
    <w:basedOn w:val="DefaultParagraphFont"/>
    <w:link w:val="Header"/>
    <w:rsid w:val="002C4A63"/>
    <w:rPr>
      <w:rFonts w:ascii="Arial" w:cs="Arial" w:hAnsi="Arial"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13323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rsid w:val="004301D6"/>
    <w:rPr>
      <w:rFonts w:ascii="Arial" w:cs="Arial" w:hAnsi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E155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sslegalhelp.org/housing/lt1-booklet-4-discovery.pdf" TargetMode="External"/><Relationship Id="rId10" Type="http://schemas.openxmlformats.org/officeDocument/2006/relationships/hyperlink" Target="http://www.masslegalhelp.org/housing/lt1-booklet-3-answer.pdf" TargetMode="External"/><Relationship Id="rId12" Type="http://schemas.openxmlformats.org/officeDocument/2006/relationships/hyperlink" Target="https://www.masslegalhelp.org/housing/lt1-booklet-5-transfer.pdf" TargetMode="External"/><Relationship Id="rId9" Type="http://schemas.openxmlformats.org/officeDocument/2006/relationships/hyperlink" Target="https://masslegalhelp.org/MA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legalhelp.org/covid-19/housing" TargetMode="External"/><Relationship Id="rId8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J+SM4qVjHAjvTMjuey8JDJ+/w==">AMUW2mVeb4O2GoKMJ8cSK/SEtC4KueqhZtMN83N4Fe/Ngwz/5sRxHGf7/XI3jnZgeHZZpR1d2DbJpWDSBkDWtq+hDnTy86Ww079LPTcvFcnSyQrttmYigyKnyazAvzPB8qZuVgZX8daa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2020-12-31T12:35:00Z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