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rPr/>
      </w:pPr>
      <w:r>
        <w:rPr/>
        <w:t>Guíenme: Qué hacer cuando...</w:t>
      </w:r>
    </w:p>
    <w:p>
      <w:pPr>
        <w:pStyle w:val="Heading2"/>
        <w:numPr>
          <w:ilvl w:val="1"/>
          <w:numId w:val="2"/>
        </w:numPr>
        <w:rPr/>
      </w:pPr>
      <w:r>
        <w:rPr/>
        <w:t>el propietario quiere desalojarlo y usted recibe una citación para presentarse en la corte</w:t>
      </w:r>
    </w:p>
    <w:p>
      <w:pPr>
        <w:sectPr>
          <w:type w:val="nextPage"/>
          <w:pgSz w:w="12240" w:h="15840"/>
          <w:pgMar w:left="1440" w:right="1440" w:header="0" w:top="1440" w:footer="0" w:bottom="1440" w:gutter="0"/>
          <w:pgNumType w:start="1" w:fmt="decimal"/>
          <w:formProt w:val="false"/>
          <w:textDirection w:val="lrTb"/>
          <w:docGrid w:type="default" w:linePitch="100" w:charSpace="0"/>
        </w:sectPr>
      </w:pPr>
    </w:p>
    <w:p>
      <w:pPr>
        <w:pStyle w:val="Heading3"/>
        <w:numPr>
          <w:ilvl w:val="2"/>
          <w:numId w:val="2"/>
        </w:numPr>
        <w:rPr/>
      </w:pPr>
      <w:r>
        <w:rPr/>
        <w:t xml:space="preserve">¡Vaya a la corte! Aunque piense que ya todo está arreglado con el propietario. </w:t>
      </w:r>
    </w:p>
    <w:p>
      <w:pPr>
        <w:pStyle w:val="Normal"/>
        <w:pBdr/>
        <w:spacing w:before="0" w:after="120"/>
        <w:rPr>
          <w:color w:val="000000"/>
        </w:rPr>
      </w:pPr>
      <w:r>
        <w:rPr>
          <w:color w:val="000000"/>
        </w:rPr>
        <w:t>Si no se presenta, el propietario puede pedirle a la corte que emita una “sentencia de incumplimiento” en contra de usted.</w:t>
      </w:r>
    </w:p>
    <w:p>
      <w:pPr>
        <w:pStyle w:val="Heading3"/>
        <w:numPr>
          <w:ilvl w:val="2"/>
          <w:numId w:val="2"/>
        </w:numPr>
        <w:rPr>
          <w:rFonts w:ascii="Arial" w:hAnsi="Arial" w:eastAsia="Arial" w:cs="Arial"/>
        </w:rPr>
      </w:pPr>
      <w:r>
        <w:rPr>
          <w:rFonts w:eastAsia="Arial" w:cs="Arial" w:ascii="Arial" w:hAnsi="Arial"/>
        </w:rPr>
        <w:t>Presente una respuesta</w:t>
      </w:r>
    </w:p>
    <w:p>
      <w:pPr>
        <w:pStyle w:val="Normal"/>
        <w:pBdr/>
        <w:spacing w:before="0" w:after="120"/>
        <w:rPr>
          <w:color w:val="000000"/>
        </w:rPr>
      </w:pPr>
      <w:r>
        <w:rPr>
          <w:color w:val="000000"/>
        </w:rPr>
        <w:t>Use el formulario de respuesta para explicarle a la corte por qué no deben desalojarlo. Las razones por las que no deben desalojarlo son sus “defensas”.</w:t>
      </w:r>
    </w:p>
    <w:p>
      <w:pPr>
        <w:pStyle w:val="Normal"/>
        <w:pBdr/>
        <w:spacing w:before="0" w:after="120"/>
        <w:rPr>
          <w:color w:val="000000"/>
        </w:rPr>
      </w:pPr>
      <w:r>
        <w:rPr>
          <w:color w:val="000000"/>
        </w:rPr>
        <w:t xml:space="preserve">Si el propietario quiere desalojarlo porque está atrasado en el pago de la renta, o por una razón que no es culpa de usted, es posible que el propietario haya hecho algo incorrecto. Usted podrá “contrademandar” por lo que el propietario haya hecho mal. Incluya sus contrademandas en la respuesta. </w:t>
      </w:r>
    </w:p>
    <w:p>
      <w:pPr>
        <w:pStyle w:val="Normal"/>
        <w:pBdr/>
        <w:spacing w:before="0" w:after="120"/>
        <w:rPr/>
      </w:pPr>
      <w:r>
        <w:rPr>
          <w:color w:val="000000"/>
        </w:rPr>
        <w:t xml:space="preserve">Use las preguntas guiadas de Massachusetts Defense Eviction (MADE, Defensa de Desalojo de Massachusetts) para preparar en línea  la respuesta de </w:t>
      </w:r>
      <w:r>
        <w:rPr>
          <w:b/>
          <w:color w:val="000000"/>
        </w:rPr>
        <w:t>usted</w:t>
      </w:r>
      <w:r>
        <w:rPr>
          <w:color w:val="000000"/>
        </w:rPr>
        <w:t xml:space="preserve"> a su caso de desalojo.  Al final de la “entrevista” podrá enviar su respuesta por correo electrónico, descargarla e imprimirla. Consulte: </w:t>
      </w:r>
      <w:hyperlink r:id="rId2">
        <w:r>
          <w:rPr>
            <w:rStyle w:val="Style"/>
            <w:color w:val="0000FF"/>
            <w:u w:val="single"/>
          </w:rPr>
          <w:t>MassLegalHelp.org/MADE</w:t>
        </w:r>
      </w:hyperlink>
      <w:r>
        <w:rPr>
          <w:color w:val="000000"/>
        </w:rPr>
        <w:t xml:space="preserve"> </w:t>
      </w:r>
    </w:p>
    <w:p>
      <w:pPr>
        <w:pStyle w:val="Normal"/>
        <w:pBdr/>
        <w:spacing w:before="0" w:after="120"/>
        <w:rPr/>
      </w:pPr>
      <w:r>
        <w:rPr>
          <w:color w:val="000000"/>
        </w:rPr>
        <w:t xml:space="preserve">O, use el folleto en PDF, La Respuesta: Cómo representarse a sí mismo en la corte para defenderse en un caso de desalojo: </w:t>
      </w:r>
      <w:hyperlink r:id="rId3">
        <w:r>
          <w:rPr>
            <w:rStyle w:val="Style"/>
            <w:color w:val="0000FF"/>
            <w:u w:val="single"/>
          </w:rPr>
          <w:t>MassLegalHelp.org/housing/lt1-booklet-3-answer.pdf</w:t>
        </w:r>
      </w:hyperlink>
      <w:r>
        <w:rPr>
          <w:color w:val="000000"/>
        </w:rPr>
        <w:t xml:space="preserve"> </w:t>
      </w:r>
    </w:p>
    <w:p>
      <w:pPr>
        <w:pStyle w:val="Normal"/>
        <w:pBdr/>
        <w:spacing w:before="0" w:after="120"/>
        <w:rPr>
          <w:color w:val="000000"/>
        </w:rPr>
      </w:pPr>
      <w:r>
        <w:rPr>
          <w:color w:val="000000"/>
        </w:rPr>
        <w:t xml:space="preserve">El </w:t>
      </w:r>
      <w:r>
        <w:rPr>
          <w:b/>
          <w:color w:val="000000"/>
        </w:rPr>
        <w:t>plazo</w:t>
      </w:r>
      <w:r>
        <w:rPr>
          <w:color w:val="000000"/>
        </w:rPr>
        <w:t xml:space="preserve"> para presentar una respuesta es de tres días hábiles antes de su primera audiencia en la corte.  </w:t>
      </w:r>
    </w:p>
    <w:p>
      <w:pPr>
        <w:pStyle w:val="Normal"/>
        <w:pBdr/>
        <w:spacing w:before="0" w:after="120"/>
        <w:rPr>
          <w:color w:val="000000"/>
        </w:rPr>
      </w:pPr>
      <w:r>
        <w:rPr>
          <w:color w:val="000000"/>
        </w:rPr>
        <w:t>Debe notificar al propietario o al abogado de este en la misma fecha en que presente su respuesta ante la corte.</w:t>
      </w:r>
    </w:p>
    <w:p>
      <w:pPr>
        <w:pStyle w:val="Heading3"/>
        <w:numPr>
          <w:ilvl w:val="2"/>
          <w:numId w:val="2"/>
        </w:numPr>
        <w:rPr>
          <w:rFonts w:ascii="Arial" w:hAnsi="Arial" w:eastAsia="Arial" w:cs="Arial"/>
        </w:rPr>
      </w:pPr>
      <w:r>
        <w:rPr>
          <w:rFonts w:eastAsia="Arial" w:cs="Arial" w:ascii="Arial" w:hAnsi="Arial"/>
        </w:rPr>
        <w:t>Entregue una demanda para la presentación de pruebas</w:t>
      </w:r>
    </w:p>
    <w:p>
      <w:pPr>
        <w:pStyle w:val="Normal"/>
        <w:pBdr/>
        <w:spacing w:before="0" w:after="120"/>
        <w:rPr>
          <w:color w:val="000000"/>
        </w:rPr>
      </w:pPr>
      <w:r>
        <w:rPr>
          <w:color w:val="000000"/>
        </w:rPr>
        <w:t>Tal vez usted o el propietario necesiten información del otro para prepararse para el juicio.</w:t>
      </w:r>
    </w:p>
    <w:p>
      <w:pPr>
        <w:pStyle w:val="Normal"/>
        <w:pBdr/>
        <w:spacing w:before="0" w:after="120"/>
        <w:rPr>
          <w:color w:val="000000"/>
        </w:rPr>
      </w:pPr>
      <w:r>
        <w:rPr>
          <w:color w:val="000000"/>
        </w:rPr>
        <w:t>La presentación de pruebas es la forma en que las personas en un caso judicial le piden información a la otra parte.</w:t>
      </w:r>
    </w:p>
    <w:p>
      <w:pPr>
        <w:pStyle w:val="Normal"/>
        <w:pBdr/>
        <w:spacing w:before="0" w:after="120"/>
        <w:rPr>
          <w:color w:val="000000"/>
        </w:rPr>
      </w:pPr>
      <w:r>
        <w:rPr>
          <w:color w:val="000000"/>
        </w:rPr>
        <w:t xml:space="preserve">En los casos de desalojo, la presentación de pruebas es </w:t>
      </w:r>
    </w:p>
    <w:p>
      <w:pPr>
        <w:pStyle w:val="Normal"/>
        <w:numPr>
          <w:ilvl w:val="0"/>
          <w:numId w:val="3"/>
        </w:numPr>
        <w:pBdr/>
        <w:spacing w:before="0" w:after="120"/>
        <w:ind w:left="360" w:hanging="360"/>
        <w:rPr/>
      </w:pPr>
      <w:r>
        <w:rPr>
          <w:color w:val="000000"/>
        </w:rPr>
        <w:t xml:space="preserve">una lista de preguntas, llamada “Interrogatorios” y </w:t>
      </w:r>
    </w:p>
    <w:p>
      <w:pPr>
        <w:pStyle w:val="Normal"/>
        <w:numPr>
          <w:ilvl w:val="0"/>
          <w:numId w:val="3"/>
        </w:numPr>
        <w:pBdr/>
        <w:spacing w:before="0" w:after="120"/>
        <w:ind w:left="360" w:hanging="360"/>
        <w:rPr/>
      </w:pPr>
      <w:r>
        <w:rPr>
          <w:color w:val="000000"/>
        </w:rPr>
        <w:t>una solicitud de documentos.</w:t>
      </w:r>
    </w:p>
    <w:p>
      <w:pPr>
        <w:pStyle w:val="Normal"/>
        <w:pBdr/>
        <w:spacing w:before="0" w:after="120"/>
        <w:rPr>
          <w:color w:val="000000"/>
        </w:rPr>
      </w:pPr>
      <w:r>
        <w:rPr>
          <w:color w:val="000000"/>
        </w:rPr>
        <w:t>Usted tiene derecho a entregar una Demanda para la presentación de pruebas contra el propietario en la misma fecha en que debe presentar su Respuesta.</w:t>
      </w:r>
    </w:p>
    <w:p>
      <w:pPr>
        <w:pStyle w:val="Normal"/>
        <w:rPr/>
      </w:pPr>
      <w:r>
        <w:rPr/>
        <w:t xml:space="preserve">Vea el folleto en PDF, Presentación de pruebas: Cómo representarse a sí mismo en la corte: Cómo obtener información para preparar su juicio: </w:t>
        <w:br/>
      </w:r>
      <w:hyperlink r:id="rId4">
        <w:r>
          <w:rPr>
            <w:rStyle w:val="Style"/>
            <w:color w:val="0000FF"/>
            <w:u w:val="single"/>
          </w:rPr>
          <w:t>MassLegalHelp.org/housinging/lt1-booklet-4-answer.pdf</w:t>
        </w:r>
      </w:hyperlink>
      <w:r>
        <w:rPr/>
        <w:t xml:space="preserve"> </w:t>
      </w:r>
    </w:p>
    <w:p>
      <w:pPr>
        <w:pStyle w:val="Normal"/>
        <w:rPr/>
      </w:pPr>
      <w:r>
        <w:rPr/>
      </w:r>
    </w:p>
    <w:p>
      <w:pPr>
        <w:pStyle w:val="Heading3"/>
        <w:numPr>
          <w:ilvl w:val="2"/>
          <w:numId w:val="2"/>
        </w:numPr>
        <w:rPr>
          <w:rFonts w:ascii="Arial" w:hAnsi="Arial" w:eastAsia="Arial" w:cs="Arial"/>
        </w:rPr>
      </w:pPr>
      <w:r>
        <w:br w:type="column"/>
      </w:r>
      <w:r>
        <w:rPr>
          <w:rFonts w:eastAsia="Arial" w:cs="Arial" w:ascii="Arial" w:hAnsi="Arial"/>
        </w:rPr>
        <w:t>Presente una notificación de transferencia a la Corte de Vivienda</w:t>
      </w:r>
    </w:p>
    <w:p>
      <w:pPr>
        <w:pStyle w:val="Normal"/>
        <w:pBdr/>
        <w:spacing w:before="0" w:after="120"/>
        <w:rPr>
          <w:color w:val="000000"/>
        </w:rPr>
      </w:pPr>
      <w:r>
        <w:rPr>
          <w:color w:val="000000"/>
        </w:rPr>
        <w:t>Si el propietario presentó el caso de desalojo en una Corte de Distrito, tiene derecho a transferir el caso a la Corte de Vivienda.</w:t>
      </w:r>
    </w:p>
    <w:p>
      <w:pPr>
        <w:pStyle w:val="Normal"/>
        <w:rPr/>
      </w:pPr>
      <w:r>
        <w:rPr/>
        <w:t xml:space="preserve">Las Cortes de Vivienda tienen más recursos para ayudar a los inquilinos que se representan a sí mismos. Vea el folleto en PDF, Transferencia: Cómo representarse a sí mismo en la corte: ¿Por qué transferir su caso a la Corte de Vivienda? </w:t>
      </w:r>
      <w:hyperlink r:id="rId5">
        <w:r>
          <w:rPr>
            <w:rStyle w:val="Style"/>
            <w:color w:val="0000FF"/>
            <w:u w:val="single"/>
          </w:rPr>
          <w:t>MassLegalHelp.org/housinging/lt1-booklet-5-answer.pdf</w:t>
        </w:r>
      </w:hyperlink>
    </w:p>
    <w:p>
      <w:pPr>
        <w:sectPr>
          <w:type w:val="continuous"/>
          <w:pgSz w:w="12240" w:h="15840"/>
          <w:pgMar w:left="1440" w:right="1440" w:header="0" w:top="1440" w:footer="0" w:bottom="1440" w:gutter="0"/>
          <w:cols w:num="2" w:space="720" w:equalWidth="true" w:sep="false"/>
          <w:formProt w:val="false"/>
          <w:textDirection w:val="lrTb"/>
          <w:docGrid w:type="default" w:linePitch="100" w:charSpace="0"/>
        </w:sectPr>
      </w:pPr>
    </w:p>
    <w:p>
      <w:pPr>
        <w:pStyle w:val="Normal"/>
        <w:pBdr/>
        <w:rPr>
          <w:color w:val="000000"/>
        </w:rPr>
      </w:pPr>
      <w:r>
        <w:rPr>
          <w:color w:val="000000"/>
        </w:rPr>
        <w:t>{{p include_docx_template('Disclaimer_es.docx') }}</w:t>
      </w:r>
    </w:p>
    <w:p>
      <w:pPr>
        <w:pStyle w:val="Normal"/>
        <w:pBdr/>
        <w:rPr/>
      </w:pPr>
      <w:r>
        <w:rPr>
          <w:color w:val="000000"/>
        </w:rPr>
        <w:t>{{p include_docx_template('Authorsh</w:t>
      </w:r>
      <w:bookmarkStart w:id="0" w:name="_GoBack"/>
      <w:bookmarkEnd w:id="0"/>
      <w:r>
        <w:rPr>
          <w:color w:val="000000"/>
        </w:rPr>
        <w:t>ip_es.docx') }}</w:t>
      </w:r>
    </w:p>
    <w:sectPr>
      <w:type w:val="continuous"/>
      <w:pgSz w:w="12240" w:h="15840"/>
      <w:pgMar w:left="1440" w:right="1440" w:header="0" w:top="1440" w:footer="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Liberation Serif">
    <w:altName w:val="Times New Roman"/>
    <w:charset w:val="00"/>
    <w:family w:val="swiss"/>
    <w:pitch w:val="variable"/>
  </w:font>
  <w:font w:name="Tahoma">
    <w:charset w:val="01"/>
    <w:family w:val="swiss"/>
    <w:pitch w:val="default"/>
  </w:font>
  <w:font w:name="Liberation Serif">
    <w:altName w:val="Times New Roman"/>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 w:name="Garamond">
    <w:charset w:val="01"/>
    <w:family w:val="swiss"/>
    <w:pitch w:val="default"/>
  </w:font>
  <w:font w:name="Georgia">
    <w:charset w:val="01"/>
    <w:family w:val="swiss"/>
    <w:pitch w:val="default"/>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3323"/>
    <w:pPr>
      <w:widowControl/>
      <w:bidi w:val="0"/>
      <w:spacing w:before="0" w:after="0"/>
      <w:jc w:val="left"/>
    </w:pPr>
    <w:rPr>
      <w:rFonts w:eastAsia="Calibri" w:eastAsiaTheme="minorHAnsi" w:ascii="Arial" w:hAnsi="Arial" w:cs="Arial"/>
      <w:color w:val="auto"/>
      <w:kern w:val="0"/>
      <w:sz w:val="24"/>
      <w:szCs w:val="24"/>
      <w:lang w:val="es-ES" w:eastAsia="en-US" w:bidi="ar-SA"/>
    </w:rPr>
  </w:style>
  <w:style w:type="paragraph" w:styleId="Heading1">
    <w:name w:val="Heading 1"/>
    <w:basedOn w:val="Heading"/>
    <w:next w:val="TextBody"/>
    <w:link w:val="Heading1Char"/>
    <w:qFormat/>
    <w:rsid w:val="0028560f"/>
    <w:pPr>
      <w:numPr>
        <w:ilvl w:val="0"/>
        <w:numId w:val="1"/>
      </w:numPr>
      <w:spacing w:before="0" w:after="120"/>
      <w:outlineLvl w:val="0"/>
    </w:pPr>
    <w:rPr>
      <w:rFonts w:ascii="Liberation Serif" w:hAnsi="Liberation Serif" w:eastAsia="Segoe UI" w:cs="Tahoma"/>
      <w:b/>
      <w:bCs/>
      <w:sz w:val="48"/>
      <w:szCs w:val="48"/>
    </w:rPr>
  </w:style>
  <w:style w:type="paragraph" w:styleId="Heading2">
    <w:name w:val="Heading 2"/>
    <w:basedOn w:val="Heading"/>
    <w:next w:val="TextBody"/>
    <w:qFormat/>
    <w:rsid w:val="00313323"/>
    <w:pPr>
      <w:numPr>
        <w:ilvl w:val="1"/>
        <w:numId w:val="1"/>
      </w:numPr>
      <w:spacing w:before="0" w:after="240"/>
      <w:outlineLvl w:val="1"/>
    </w:pPr>
    <w:rPr>
      <w:b/>
      <w:bCs/>
      <w:sz w:val="32"/>
      <w:szCs w:val="32"/>
    </w:rPr>
  </w:style>
  <w:style w:type="paragraph" w:styleId="Heading3">
    <w:name w:val="Heading 3"/>
    <w:basedOn w:val="Heading"/>
    <w:next w:val="TextBody"/>
    <w:qFormat/>
    <w:rsid w:val="00546f89"/>
    <w:pPr>
      <w:numPr>
        <w:ilvl w:val="2"/>
        <w:numId w:val="1"/>
      </w:numPr>
      <w:spacing w:before="0" w:after="120"/>
      <w:outlineLvl w:val="2"/>
    </w:pPr>
    <w:rPr>
      <w:b/>
      <w:bCs/>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13323"/>
    <w:rPr>
      <w:sz w:val="16"/>
      <w:szCs w:val="16"/>
    </w:rPr>
  </w:style>
  <w:style w:type="character" w:styleId="CommentTextChar" w:customStyle="1">
    <w:name w:val="Comment Text Char"/>
    <w:basedOn w:val="DefaultParagraphFont"/>
    <w:link w:val="CommentText"/>
    <w:uiPriority w:val="99"/>
    <w:qFormat/>
    <w:rsid w:val="00313323"/>
    <w:rPr>
      <w:rFonts w:ascii="Arial" w:hAnsi="Arial" w:eastAsia="Calibri" w:cs="Arial" w:eastAsiaTheme="minorHAnsi"/>
      <w:szCs w:val="20"/>
    </w:rPr>
  </w:style>
  <w:style w:type="character" w:styleId="BalloonTextChar" w:customStyle="1">
    <w:name w:val="Balloon Text Char"/>
    <w:basedOn w:val="DefaultParagraphFont"/>
    <w:link w:val="BalloonText"/>
    <w:uiPriority w:val="99"/>
    <w:semiHidden/>
    <w:qFormat/>
    <w:rsid w:val="00313323"/>
    <w:rPr>
      <w:rFonts w:ascii="Tahoma" w:hAnsi="Tahoma" w:eastAsia="Calibri" w:cs="Tahoma" w:eastAsiaTheme="minorHAnsi"/>
      <w:sz w:val="16"/>
      <w:szCs w:val="16"/>
    </w:rPr>
  </w:style>
  <w:style w:type="character" w:styleId="InternetLink">
    <w:name w:val="Internet Link"/>
    <w:basedOn w:val="DefaultParagraphFont"/>
    <w:uiPriority w:val="99"/>
    <w:unhideWhenUsed/>
    <w:rsid w:val="00313323"/>
    <w:rPr>
      <w:color w:val="0000FF" w:themeColor="hyperlink"/>
      <w:u w:val="single"/>
    </w:rPr>
  </w:style>
  <w:style w:type="character" w:styleId="Heading1Char" w:customStyle="1">
    <w:name w:val="Heading 1 Char"/>
    <w:basedOn w:val="DefaultParagraphFont"/>
    <w:link w:val="Heading1"/>
    <w:qFormat/>
    <w:rsid w:val="0028560f"/>
    <w:rPr>
      <w:rFonts w:ascii="Liberation Serif" w:hAnsi="Liberation Serif" w:eastAsia="Segoe UI" w:cs="Tahoma"/>
      <w:b/>
      <w:bCs/>
      <w:sz w:val="48"/>
      <w:szCs w:val="48"/>
    </w:rPr>
  </w:style>
  <w:style w:type="character" w:styleId="VisitedInternetLink" w:customStyle="1">
    <w:name w:val="Visited Internet Link"/>
    <w:rPr>
      <w:color w:val="800000"/>
      <w:u w:val="single"/>
    </w:rPr>
  </w:style>
  <w:style w:type="character" w:styleId="Bullets" w:customStyle="1">
    <w:name w:val="Bullets"/>
    <w:qFormat/>
    <w:rsid w:val="00313323"/>
    <w:rPr>
      <w:rFonts w:ascii="OpenSymbol" w:hAnsi="OpenSymbol" w:eastAsia="OpenSymbol" w:cs="OpenSymbol"/>
    </w:rPr>
  </w:style>
  <w:style w:type="character" w:styleId="CommentSubjectChar" w:customStyle="1">
    <w:name w:val="Comment Subject Char"/>
    <w:basedOn w:val="CommentTextChar"/>
    <w:link w:val="CommentSubject"/>
    <w:uiPriority w:val="99"/>
    <w:semiHidden/>
    <w:qFormat/>
    <w:rsid w:val="00313323"/>
    <w:rPr>
      <w:rFonts w:ascii="Arial" w:hAnsi="Arial" w:eastAsia="Calibri" w:cs="Arial" w:eastAsiaTheme="minorHAnsi"/>
      <w:b/>
      <w:bCs/>
      <w:szCs w:val="20"/>
    </w:rPr>
  </w:style>
  <w:style w:type="character" w:styleId="HeaderChar" w:customStyle="1">
    <w:name w:val="Header Char"/>
    <w:basedOn w:val="DefaultParagraphFont"/>
    <w:link w:val="Header"/>
    <w:qFormat/>
    <w:rsid w:val="002c4a63"/>
    <w:rPr>
      <w:rFonts w:ascii="Arial" w:hAnsi="Arial" w:eastAsia="Calibri" w:cs="Arial" w:eastAsiaTheme="minorHAnsi"/>
      <w:sz w:val="24"/>
      <w:szCs w:val="24"/>
    </w:rPr>
  </w:style>
  <w:style w:type="character" w:styleId="BodyTextChar" w:customStyle="1">
    <w:name w:val="Body Text Char"/>
    <w:basedOn w:val="DefaultParagraphFont"/>
    <w:link w:val="BodyText"/>
    <w:qFormat/>
    <w:rsid w:val="004301d6"/>
    <w:rPr>
      <w:rFonts w:ascii="Arial" w:hAnsi="Arial" w:eastAsia="Calibri" w:cs="Arial" w:eastAsiaTheme="minorHAnsi"/>
      <w:sz w:val="24"/>
      <w:szCs w:val="24"/>
    </w:rPr>
  </w:style>
  <w:style w:type="character" w:styleId="FollowedHyperlink">
    <w:name w:val="FollowedHyperlink"/>
    <w:basedOn w:val="DefaultParagraphFont"/>
    <w:uiPriority w:val="99"/>
    <w:semiHidden/>
    <w:unhideWhenUsed/>
    <w:qFormat/>
    <w:rsid w:val="009e1558"/>
    <w:rPr>
      <w:color w:val="800080" w:themeColor="followedHyperlink"/>
      <w:u w:val="single"/>
    </w:rPr>
  </w:style>
  <w:style w:type="paragraph" w:styleId="Heading" w:customStyle="1">
    <w:name w:val="Heading"/>
    <w:basedOn w:val="Normal"/>
    <w:next w:val="TextBody"/>
    <w:qFormat/>
    <w:rsid w:val="00313323"/>
    <w:pPr>
      <w:keepNext w:val="true"/>
      <w:spacing w:before="240" w:after="120"/>
    </w:pPr>
    <w:rPr>
      <w:rFonts w:ascii="Liberation Sans" w:hAnsi="Liberation Sans" w:eastAsia="Microsoft YaHei" w:cs="Lucida Sans"/>
      <w:sz w:val="28"/>
      <w:szCs w:val="28"/>
    </w:rPr>
  </w:style>
  <w:style w:type="paragraph" w:styleId="TextBody">
    <w:name w:val="Body Text"/>
    <w:basedOn w:val="NoSpacing"/>
    <w:link w:val="BodyTextChar"/>
    <w:rsid w:val="00313323"/>
    <w:pPr>
      <w:spacing w:before="0" w:after="120"/>
    </w:pPr>
    <w:rPr>
      <w:rFonts w:ascii="Arial" w:hAnsi="Arial" w:cs="Arial"/>
      <w:sz w:val="24"/>
    </w:rPr>
  </w:style>
  <w:style w:type="paragraph" w:styleId="List">
    <w:name w:val="List"/>
    <w:basedOn w:val="TextBody"/>
    <w:rsid w:val="00313323"/>
    <w:pPr/>
    <w:rPr>
      <w:rFonts w:cs="Lucida Sans"/>
    </w:rPr>
  </w:style>
  <w:style w:type="paragraph" w:styleId="Caption">
    <w:name w:val="Caption"/>
    <w:basedOn w:val="Normal"/>
    <w:qFormat/>
    <w:pPr>
      <w:suppressLineNumbers/>
      <w:spacing w:before="120" w:after="120"/>
    </w:pPr>
    <w:rPr>
      <w:rFonts w:ascii="Calibri" w:hAnsi="Calibri" w:eastAsia="" w:cs="Lucida Sans"/>
      <w:i/>
      <w:iCs/>
      <w:sz w:val="24"/>
      <w:szCs w:val="24"/>
    </w:rPr>
  </w:style>
  <w:style w:type="paragraph" w:styleId="Index" w:customStyle="1">
    <w:name w:val="Index"/>
    <w:basedOn w:val="Normal"/>
    <w:qFormat/>
    <w:rsid w:val="00313323"/>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Caption1">
    <w:name w:val="caption"/>
    <w:basedOn w:val="Normal"/>
    <w:qFormat/>
    <w:rsid w:val="00313323"/>
    <w:pPr>
      <w:suppressLineNumbers/>
      <w:spacing w:before="120" w:after="120"/>
    </w:pPr>
    <w:rPr>
      <w:rFonts w:cs="Lucida Sans"/>
      <w:i/>
      <w:iCs/>
    </w:rPr>
  </w:style>
  <w:style w:type="paragraph" w:styleId="NoSpacing">
    <w:name w:val="No Spacing"/>
    <w:uiPriority w:val="1"/>
    <w:qFormat/>
    <w:rsid w:val="00313323"/>
    <w:pPr>
      <w:widowControl/>
      <w:bidi w:val="0"/>
      <w:spacing w:before="0" w:after="0"/>
      <w:jc w:val="left"/>
    </w:pPr>
    <w:rPr>
      <w:rFonts w:ascii="Calibri" w:hAnsi="Calibri" w:eastAsia="Calibri" w:cs="" w:asciiTheme="minorHAnsi" w:cstheme="minorBidi" w:eastAsiaTheme="minorHAnsi" w:hAnsiTheme="minorHAnsi"/>
      <w:color w:val="auto"/>
      <w:kern w:val="0"/>
      <w:sz w:val="22"/>
      <w:szCs w:val="24"/>
      <w:lang w:val="es-ES" w:eastAsia="en-US" w:bidi="ar-SA"/>
    </w:rPr>
  </w:style>
  <w:style w:type="paragraph" w:styleId="Annotationtext">
    <w:name w:val="annotation text"/>
    <w:basedOn w:val="Normal"/>
    <w:link w:val="CommentTextChar"/>
    <w:uiPriority w:val="99"/>
    <w:unhideWhenUsed/>
    <w:qFormat/>
    <w:rsid w:val="00313323"/>
    <w:pPr/>
    <w:rPr>
      <w:sz w:val="20"/>
      <w:szCs w:val="20"/>
    </w:rPr>
  </w:style>
  <w:style w:type="paragraph" w:styleId="BalloonText">
    <w:name w:val="Balloon Text"/>
    <w:basedOn w:val="Normal"/>
    <w:link w:val="BalloonTextChar"/>
    <w:uiPriority w:val="99"/>
    <w:semiHidden/>
    <w:unhideWhenUsed/>
    <w:qFormat/>
    <w:rsid w:val="00313323"/>
    <w:pPr/>
    <w:rPr>
      <w:rFonts w:ascii="Tahoma" w:hAnsi="Tahoma" w:cs="Tahoma"/>
      <w:sz w:val="16"/>
      <w:szCs w:val="16"/>
    </w:rPr>
  </w:style>
  <w:style w:type="paragraph" w:styleId="BlockText">
    <w:name w:val="Block Text"/>
    <w:basedOn w:val="Normal"/>
    <w:qFormat/>
    <w:rsid w:val="00313323"/>
    <w:pPr>
      <w:spacing w:before="0" w:after="240"/>
    </w:pPr>
    <w:rPr>
      <w:rFonts w:ascii="Garamond" w:hAnsi="Garamond" w:eastAsia="Times New Roman" w:cs="Times New Roman"/>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subject">
    <w:name w:val="annotation subject"/>
    <w:basedOn w:val="Annotationtext"/>
    <w:next w:val="Annotationtext"/>
    <w:link w:val="CommentSubjectChar"/>
    <w:uiPriority w:val="99"/>
    <w:semiHidden/>
    <w:unhideWhenUsed/>
    <w:qFormat/>
    <w:rsid w:val="00313323"/>
    <w:pPr/>
    <w:rPr>
      <w:b/>
      <w:bCs/>
    </w:rPr>
  </w:style>
  <w:style w:type="paragraph" w:styleId="HeaderandFooter" w:customStyle="1">
    <w:name w:val="Header and Footer"/>
    <w:basedOn w:val="Normal"/>
    <w:qFormat/>
    <w:rsid w:val="00313323"/>
    <w:pPr>
      <w:suppressLineNumbers/>
      <w:tabs>
        <w:tab w:val="clear" w:pos="720"/>
        <w:tab w:val="center" w:pos="4680" w:leader="none"/>
        <w:tab w:val="right" w:pos="9360" w:leader="none"/>
      </w:tabs>
    </w:pPr>
    <w:rPr/>
  </w:style>
  <w:style w:type="paragraph" w:styleId="Header">
    <w:name w:val="Header"/>
    <w:basedOn w:val="HeaderandFooter"/>
    <w:link w:val="HeaderChar"/>
    <w:rsid w:val="00313323"/>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sslegalhelp.org/MADE" TargetMode="External"/><Relationship Id="rId3" Type="http://schemas.openxmlformats.org/officeDocument/2006/relationships/hyperlink" Target="http://www.masslegalhelp.org/housing/lt1-booklet-3-answer.pdf" TargetMode="External"/><Relationship Id="rId4" Type="http://schemas.openxmlformats.org/officeDocument/2006/relationships/hyperlink" Target="https://www.masslegalhelp.org/housing/lt1-booklet-4-discovery.pdf" TargetMode="External"/><Relationship Id="rId5" Type="http://schemas.openxmlformats.org/officeDocument/2006/relationships/hyperlink" Target="https://www.masslegalhelp.org/housing/lt1-booklet-5-transfer.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MCX9/eWMCTMhHfE5htJrmq6PADA==">AMUW2mWUPr2rzFTkBuJpRiczUOWqYrh+2WhR2UJqu3SIvbsZ7Wb+T7kx09/1UDpzy9jNQWzJfGuXmPLwssezdL/bpySmVo9EGQ7yX6hkEph9vkTazN25jPU=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LibreOffice/6.3.5.2$Windows_X86_64 LibreOffice_project/dd0751754f11728f69b42ee2af66670068624673</Application>
  <Pages>2</Pages>
  <Words>440</Words>
  <Characters>2398</Characters>
  <CharactersWithSpaces>2830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2020-12-31T12:35:00Z</dcterms:created>
  <dc:creator>Shaw, Gordon</dc:creator>
  <dc:description/>
  <dc:language>en-US</dc:language>
  <cp:lastModifiedBy/>
  <dcterms:modified xsi:type="dcterms:W3CDTF">2023-04-18T13:53:23Z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