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713F7" w14:textId="77777777" w:rsidR="00875C52" w:rsidRPr="003B2FD8" w:rsidRDefault="00875C52" w:rsidP="00875C52">
      <w:pPr>
        <w:pStyle w:val="Heading1"/>
        <w:rPr>
          <w:noProof/>
        </w:rPr>
      </w:pPr>
      <w:r>
        <w:rPr>
          <w:noProof/>
        </w:rPr>
        <w:t>Guíenme: Qué hacer cuando...</w:t>
      </w:r>
    </w:p>
    <w:p w14:paraId="1A55BC7B" w14:textId="77777777" w:rsidR="00ED5EAD" w:rsidRDefault="00875C52" w:rsidP="00875C52">
      <w:pPr>
        <w:pStyle w:val="Heading2"/>
        <w:rPr>
          <w:rFonts w:hint="eastAsia"/>
          <w:noProof/>
        </w:rPr>
      </w:pPr>
      <w:r>
        <w:rPr>
          <w:noProof/>
        </w:rPr>
        <w:t xml:space="preserve">el propietario quiere aumentar el alquiler </w:t>
      </w:r>
    </w:p>
    <w:p w14:paraId="662C74AD" w14:textId="77777777" w:rsidR="00875C52" w:rsidRDefault="00875C52" w:rsidP="00875C52">
      <w:pPr>
        <w:pStyle w:val="Heading2"/>
        <w:rPr>
          <w:rFonts w:hint="eastAsia"/>
          <w:noProof/>
        </w:rPr>
      </w:pPr>
      <w:r>
        <w:rPr>
          <w:noProof/>
        </w:rPr>
        <w:t>y usted vive en un parque de casas móviles</w:t>
      </w:r>
    </w:p>
    <w:p w14:paraId="52850150" w14:textId="77777777" w:rsidR="00ED5EAD" w:rsidRDefault="00ED5EAD" w:rsidP="00ED5EAD">
      <w:pPr>
        <w:pStyle w:val="BodyText"/>
        <w:rPr>
          <w:noProof/>
        </w:rPr>
      </w:pPr>
    </w:p>
    <w:p w14:paraId="53904C8D" w14:textId="77777777" w:rsidR="00ED5EAD" w:rsidRPr="00ED5EAD" w:rsidRDefault="00ED5EAD" w:rsidP="00ED5EAD">
      <w:pPr>
        <w:pStyle w:val="BodyText"/>
        <w:rPr>
          <w:noProof/>
        </w:rPr>
        <w:sectPr w:rsidR="00ED5EAD" w:rsidRPr="00ED5EAD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61D5AC0A" w14:textId="77777777" w:rsidR="00122ADE" w:rsidRPr="00875C52" w:rsidRDefault="00CF4055" w:rsidP="000D3C98">
      <w:pPr>
        <w:pStyle w:val="Heading3"/>
        <w:rPr>
          <w:rFonts w:hint="eastAsia"/>
          <w:noProof/>
        </w:rPr>
      </w:pPr>
      <w:r>
        <w:rPr>
          <w:noProof/>
        </w:rPr>
        <w:lastRenderedPageBreak/>
        <w:t>¿Vive en una ciudad con alquileres controlados?</w:t>
      </w:r>
    </w:p>
    <w:p w14:paraId="5D35EE46" w14:textId="77777777" w:rsidR="00122ADE" w:rsidRDefault="00875C52" w:rsidP="00875C52">
      <w:pPr>
        <w:rPr>
          <w:noProof/>
        </w:rPr>
      </w:pPr>
      <w:r>
        <w:rPr>
          <w:noProof/>
        </w:rPr>
        <w:t>El parque de casas móviles debe pedirle permiso al organismo de control de alquileres de la ciudad para aumentar el alquiler si usted vive en una de estas ciudades:</w:t>
      </w:r>
    </w:p>
    <w:tbl>
      <w:tblPr>
        <w:tblpPr w:bottomFromText="216" w:vertAnchor="text" w:tblpY="1"/>
        <w:tblOverlap w:val="never"/>
        <w:tblW w:w="4593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81"/>
        <w:gridCol w:w="1604"/>
        <w:gridCol w:w="1608"/>
      </w:tblGrid>
      <w:tr w:rsidR="00875C52" w14:paraId="37C1BCB2" w14:textId="77777777" w:rsidTr="00875C52">
        <w:tc>
          <w:tcPr>
            <w:tcW w:w="1381" w:type="dxa"/>
            <w:shd w:val="clear" w:color="auto" w:fill="auto"/>
            <w:vAlign w:val="center"/>
          </w:tcPr>
          <w:p w14:paraId="7902C9D2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Belchertown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7B0567AF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Bernardston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1967A215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Boston</w:t>
            </w:r>
          </w:p>
        </w:tc>
      </w:tr>
      <w:tr w:rsidR="00875C52" w14:paraId="5DD313F9" w14:textId="77777777" w:rsidTr="00875C52">
        <w:tc>
          <w:tcPr>
            <w:tcW w:w="1381" w:type="dxa"/>
            <w:shd w:val="clear" w:color="auto" w:fill="auto"/>
            <w:vAlign w:val="center"/>
          </w:tcPr>
          <w:p w14:paraId="1E70D3EE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Brookfield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7F0E13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Cheshire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4A4BED15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Chicopee</w:t>
            </w:r>
          </w:p>
        </w:tc>
      </w:tr>
      <w:tr w:rsidR="00875C52" w14:paraId="25D11687" w14:textId="77777777" w:rsidTr="00875C52">
        <w:tc>
          <w:tcPr>
            <w:tcW w:w="1381" w:type="dxa"/>
            <w:shd w:val="clear" w:color="auto" w:fill="auto"/>
            <w:vAlign w:val="center"/>
          </w:tcPr>
          <w:p w14:paraId="05B20D07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Dalton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1AAA89A8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Merrimac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1B6FA9C8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Ludlow</w:t>
            </w:r>
          </w:p>
        </w:tc>
      </w:tr>
      <w:tr w:rsidR="00875C52" w14:paraId="60648C06" w14:textId="77777777" w:rsidTr="00875C52">
        <w:tc>
          <w:tcPr>
            <w:tcW w:w="1381" w:type="dxa"/>
            <w:shd w:val="clear" w:color="auto" w:fill="auto"/>
            <w:vAlign w:val="center"/>
          </w:tcPr>
          <w:p w14:paraId="615A0DB6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Middleboro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56CCE2B2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North Adams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0D21AFDE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North Reading</w:t>
            </w:r>
          </w:p>
        </w:tc>
      </w:tr>
      <w:tr w:rsidR="00875C52" w14:paraId="09EDDC41" w14:textId="77777777" w:rsidTr="00875C52">
        <w:tc>
          <w:tcPr>
            <w:tcW w:w="1381" w:type="dxa"/>
            <w:shd w:val="clear" w:color="auto" w:fill="auto"/>
            <w:vAlign w:val="center"/>
          </w:tcPr>
          <w:p w14:paraId="0C5C9AC0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Orange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57A95FB0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Palmer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17C8B5A9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Peabody</w:t>
            </w:r>
          </w:p>
        </w:tc>
      </w:tr>
      <w:tr w:rsidR="00875C52" w14:paraId="45240920" w14:textId="77777777" w:rsidTr="00875C52">
        <w:tc>
          <w:tcPr>
            <w:tcW w:w="1381" w:type="dxa"/>
            <w:shd w:val="clear" w:color="auto" w:fill="auto"/>
            <w:vAlign w:val="center"/>
          </w:tcPr>
          <w:p w14:paraId="05276483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Pittsfield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5347A039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Raynham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7DDA921B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Rockland</w:t>
            </w:r>
          </w:p>
        </w:tc>
      </w:tr>
      <w:tr w:rsidR="00875C52" w14:paraId="30C118E2" w14:textId="77777777" w:rsidTr="00875C52">
        <w:tc>
          <w:tcPr>
            <w:tcW w:w="1381" w:type="dxa"/>
            <w:shd w:val="clear" w:color="auto" w:fill="auto"/>
            <w:vAlign w:val="center"/>
          </w:tcPr>
          <w:p w14:paraId="127ED915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Salisbury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75AC6E8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Springfield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608D88AC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Wales</w:t>
            </w:r>
          </w:p>
        </w:tc>
      </w:tr>
      <w:tr w:rsidR="00875C52" w14:paraId="31BD7A2F" w14:textId="77777777" w:rsidTr="00875C52">
        <w:tc>
          <w:tcPr>
            <w:tcW w:w="1381" w:type="dxa"/>
            <w:shd w:val="clear" w:color="auto" w:fill="auto"/>
            <w:vAlign w:val="center"/>
          </w:tcPr>
          <w:p w14:paraId="7AE46D3D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Warren</w:t>
            </w:r>
          </w:p>
        </w:tc>
        <w:tc>
          <w:tcPr>
            <w:tcW w:w="3212" w:type="dxa"/>
            <w:gridSpan w:val="2"/>
            <w:shd w:val="clear" w:color="auto" w:fill="auto"/>
            <w:vAlign w:val="bottom"/>
          </w:tcPr>
          <w:p w14:paraId="283FC6E1" w14:textId="77777777" w:rsidR="00875C52" w:rsidRDefault="00875C52" w:rsidP="00875C52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</w:rPr>
              <w:t>West Bridgewater</w:t>
            </w:r>
          </w:p>
        </w:tc>
      </w:tr>
    </w:tbl>
    <w:p w14:paraId="4D052BC0" w14:textId="77777777" w:rsidR="00122ADE" w:rsidRPr="00875C52" w:rsidRDefault="00CF4055" w:rsidP="00875C52">
      <w:pPr>
        <w:rPr>
          <w:noProof/>
        </w:rPr>
      </w:pPr>
      <w:r>
        <w:rPr>
          <w:noProof/>
        </w:rPr>
        <w:t>Para averiguar cómo funciona el control de alquileres, póngase en contacto con el ayuntamiento de su localidad para pedir un ejemplar del reglamento de control de alquileres.</w:t>
      </w:r>
    </w:p>
    <w:p w14:paraId="5A6C33F3" w14:textId="77777777" w:rsidR="00122ADE" w:rsidRPr="00875C52" w:rsidRDefault="00CF4055" w:rsidP="000D3C98">
      <w:pPr>
        <w:pStyle w:val="Heading3"/>
        <w:rPr>
          <w:rFonts w:hint="eastAsia"/>
          <w:noProof/>
        </w:rPr>
      </w:pPr>
      <w:r>
        <w:rPr>
          <w:noProof/>
        </w:rPr>
        <w:t>No hay control local de los alquileres</w:t>
      </w:r>
    </w:p>
    <w:p w14:paraId="0411CAE5" w14:textId="77777777" w:rsidR="00122ADE" w:rsidRPr="00875C52" w:rsidRDefault="00CF4055" w:rsidP="00875C52">
      <w:pPr>
        <w:rPr>
          <w:noProof/>
        </w:rPr>
      </w:pPr>
      <w:r>
        <w:rPr>
          <w:noProof/>
        </w:rPr>
        <w:t xml:space="preserve">Si no hay control de los alquileres de casas móviles donde usted vive, el dueño del parque puede cobrar el alquiler que quiera. </w:t>
      </w:r>
      <w:r>
        <w:rPr>
          <w:noProof/>
        </w:rPr>
        <w:br w:type="column"/>
      </w:r>
      <w:r>
        <w:rPr>
          <w:noProof/>
        </w:rPr>
        <w:lastRenderedPageBreak/>
        <w:t>El dueño del parque puede aumentar el alquiler, pero sólo si:</w:t>
      </w:r>
    </w:p>
    <w:p w14:paraId="39A16FF5" w14:textId="77777777" w:rsidR="00122ADE" w:rsidRPr="00875C52" w:rsidRDefault="00CF4055" w:rsidP="00875C52">
      <w:pPr>
        <w:pStyle w:val="ListParagraph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>todos los demás inquilinos del parque reciben el mismo aumento de alquiler, y</w:t>
      </w:r>
    </w:p>
    <w:p w14:paraId="0150EFC3" w14:textId="77777777" w:rsidR="00875C52" w:rsidRDefault="00CF4055" w:rsidP="00875C52">
      <w:pPr>
        <w:pStyle w:val="ListParagraph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>el dueño del parque les envía a los inquilinos una notificación de aumento del alquiler que indica:</w:t>
      </w:r>
    </w:p>
    <w:p w14:paraId="190AB295" w14:textId="77777777" w:rsidR="00875C52" w:rsidRDefault="00CF4055" w:rsidP="00875C52">
      <w:pPr>
        <w:pStyle w:val="ListParagraph"/>
        <w:numPr>
          <w:ilvl w:val="1"/>
          <w:numId w:val="6"/>
        </w:numPr>
        <w:ind w:left="720"/>
        <w:rPr>
          <w:noProof/>
        </w:rPr>
      </w:pPr>
      <w:r>
        <w:rPr>
          <w:noProof/>
        </w:rPr>
        <w:t>que el arrendamiento termina en 30 días, y</w:t>
      </w:r>
    </w:p>
    <w:p w14:paraId="4A71AE15" w14:textId="77777777" w:rsidR="00122ADE" w:rsidRPr="00875C52" w:rsidRDefault="00875C52" w:rsidP="00875C52">
      <w:pPr>
        <w:pStyle w:val="ListParagraph"/>
        <w:numPr>
          <w:ilvl w:val="1"/>
          <w:numId w:val="6"/>
        </w:numPr>
        <w:ind w:left="720"/>
        <w:rPr>
          <w:noProof/>
        </w:rPr>
      </w:pPr>
      <w:r>
        <w:rPr>
          <w:noProof/>
        </w:rPr>
        <w:t>el importe del nuevo alquiler.</w:t>
      </w:r>
    </w:p>
    <w:p w14:paraId="06304A90" w14:textId="77777777" w:rsidR="00122ADE" w:rsidRPr="00875C52" w:rsidRDefault="00ED5EAD" w:rsidP="000D3C98">
      <w:pPr>
        <w:pStyle w:val="Heading3"/>
        <w:rPr>
          <w:rFonts w:hint="eastAsia"/>
          <w:noProof/>
        </w:rPr>
      </w:pPr>
      <w:r>
        <w:rPr>
          <w:noProof/>
        </w:rPr>
        <w:t>Aumento ilegal del alquiler</w:t>
      </w:r>
    </w:p>
    <w:p w14:paraId="05A939E7" w14:textId="77777777" w:rsidR="00122ADE" w:rsidRPr="00875C52" w:rsidRDefault="00CF4055" w:rsidP="00875C52">
      <w:pPr>
        <w:rPr>
          <w:noProof/>
        </w:rPr>
      </w:pPr>
      <w:r>
        <w:rPr>
          <w:noProof/>
        </w:rPr>
        <w:t>El aumento del alquiler es ilegal si:</w:t>
      </w:r>
    </w:p>
    <w:p w14:paraId="481F0040" w14:textId="77777777" w:rsidR="00122ADE" w:rsidRPr="00875C52" w:rsidRDefault="00875C52" w:rsidP="00CF405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usted vive en una ciudad con alquiler controlado y el propietario no obedece la ordenanza de alquiler controlado;</w:t>
      </w:r>
    </w:p>
    <w:p w14:paraId="68596CF7" w14:textId="7B3A176B" w:rsidR="00122ADE" w:rsidRPr="00875C52" w:rsidRDefault="00CF4055" w:rsidP="00875C52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el dueño del parque no le avisa correctamente por escrito</w:t>
      </w:r>
      <w:r w:rsidR="002928F2">
        <w:rPr>
          <w:noProof/>
        </w:rPr>
        <w:t>;</w:t>
      </w:r>
      <w:r>
        <w:rPr>
          <w:noProof/>
        </w:rPr>
        <w:t xml:space="preserve"> </w:t>
      </w:r>
      <w:r w:rsidR="002928F2">
        <w:rPr>
          <w:noProof/>
        </w:rPr>
        <w:t>o</w:t>
      </w:r>
    </w:p>
    <w:p w14:paraId="49B63824" w14:textId="0F0AAFED" w:rsidR="00122ADE" w:rsidRPr="00875C52" w:rsidRDefault="002928F2" w:rsidP="00875C52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e</w:t>
      </w:r>
      <w:r w:rsidR="00CF4055">
        <w:rPr>
          <w:noProof/>
        </w:rPr>
        <w:t>l aumento del alquiler se basa en una norma del parque que no es razonable ni justa.</w:t>
      </w:r>
    </w:p>
    <w:p w14:paraId="6E9492F2" w14:textId="77777777" w:rsidR="00122ADE" w:rsidRDefault="00CF4055" w:rsidP="002E2D52">
      <w:pPr>
        <w:pStyle w:val="BodyText"/>
        <w:rPr>
          <w:noProof/>
        </w:rPr>
      </w:pPr>
      <w:r>
        <w:rPr>
          <w:noProof/>
        </w:rPr>
        <w:t>Si cree que el aumento del alquiler podría ser ilegal, puede llamar a la División de Quejas del Consumidor de la Fiscalía General para pedir ayuda: (617) 727-8400.</w:t>
      </w:r>
    </w:p>
    <w:p w14:paraId="54D62DE5" w14:textId="77777777" w:rsidR="00875C52" w:rsidRDefault="00875C52" w:rsidP="002E2D52">
      <w:pPr>
        <w:pStyle w:val="BodyText"/>
        <w:rPr>
          <w:noProof/>
        </w:rPr>
      </w:pPr>
      <w:r>
        <w:rPr>
          <w:noProof/>
        </w:rPr>
        <w:t xml:space="preserve">Infórmese sobre las normas de los parques de casas móviles: </w:t>
      </w:r>
      <w:r>
        <w:rPr>
          <w:noProof/>
        </w:rPr>
        <w:br/>
      </w:r>
      <w:hyperlink r:id="rId6" w:history="1">
        <w:r>
          <w:rPr>
            <w:rStyle w:val="Hyperlink"/>
            <w:noProof/>
          </w:rPr>
          <w:t>MassLegalHelp.org/Mobile-Homes</w:t>
        </w:r>
      </w:hyperlink>
      <w:r>
        <w:rPr>
          <w:noProof/>
        </w:rPr>
        <w:t xml:space="preserve"> </w:t>
      </w:r>
    </w:p>
    <w:p w14:paraId="37AB9E42" w14:textId="77777777" w:rsidR="00875C52" w:rsidRDefault="00875C52">
      <w:pPr>
        <w:pStyle w:val="NoSpacing"/>
        <w:rPr>
          <w:rFonts w:ascii="Arial" w:hAnsi="Arial" w:cs="Arial"/>
          <w:noProof/>
          <w:sz w:val="24"/>
          <w:szCs w:val="24"/>
        </w:rPr>
        <w:sectPr w:rsidR="00875C52" w:rsidSect="00875C52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14:paraId="4DE30B50" w14:textId="01343720" w:rsidR="00122ADE" w:rsidRPr="002928F2" w:rsidRDefault="00875C52">
      <w:pPr>
        <w:pStyle w:val="NoSpacing"/>
        <w:rPr>
          <w:noProof/>
          <w:lang w:val="en-US"/>
        </w:rPr>
      </w:pPr>
      <w:r w:rsidRPr="002928F2">
        <w:rPr>
          <w:rFonts w:ascii="Arial" w:hAnsi="Arial"/>
          <w:noProof/>
          <w:sz w:val="24"/>
          <w:lang w:val="en-US"/>
        </w:rPr>
        <w:lastRenderedPageBreak/>
        <w:t>{{p include_docx_template(‘Disclaimer</w:t>
      </w:r>
      <w:r w:rsidR="00305656">
        <w:rPr>
          <w:rFonts w:ascii="Arial" w:hAnsi="Arial"/>
          <w:noProof/>
          <w:sz w:val="24"/>
          <w:lang w:val="en-US"/>
        </w:rPr>
        <w:t>_es</w:t>
      </w:r>
      <w:r w:rsidRPr="002928F2">
        <w:rPr>
          <w:rFonts w:ascii="Arial" w:hAnsi="Arial"/>
          <w:noProof/>
          <w:sz w:val="24"/>
          <w:lang w:val="en-US"/>
        </w:rPr>
        <w:t>.docx’) }}</w:t>
      </w:r>
    </w:p>
    <w:p w14:paraId="1A35E4E4" w14:textId="0DF1CAE0" w:rsidR="00122ADE" w:rsidRPr="002928F2" w:rsidRDefault="00CF4055" w:rsidP="00875C52">
      <w:pPr>
        <w:pStyle w:val="NoSpacing"/>
        <w:rPr>
          <w:noProof/>
          <w:lang w:val="en-US"/>
        </w:rPr>
      </w:pPr>
      <w:r w:rsidRPr="002928F2">
        <w:rPr>
          <w:rFonts w:ascii="Arial" w:hAnsi="Arial"/>
          <w:noProof/>
          <w:sz w:val="24"/>
          <w:lang w:val="en-US"/>
        </w:rPr>
        <w:t>{{p include_docx_template('Authorship</w:t>
      </w:r>
      <w:r w:rsidR="00305656">
        <w:rPr>
          <w:rFonts w:ascii="Arial" w:hAnsi="Arial"/>
          <w:noProof/>
          <w:sz w:val="24"/>
          <w:lang w:val="en-US"/>
        </w:rPr>
        <w:t>_es</w:t>
      </w:r>
      <w:bookmarkStart w:id="0" w:name="_GoBack"/>
      <w:bookmarkEnd w:id="0"/>
      <w:r w:rsidRPr="002928F2">
        <w:rPr>
          <w:rFonts w:ascii="Arial" w:hAnsi="Arial"/>
          <w:noProof/>
          <w:sz w:val="24"/>
          <w:lang w:val="en-US"/>
        </w:rPr>
        <w:t>.docx') }}</w:t>
      </w:r>
    </w:p>
    <w:sectPr w:rsidR="00122ADE" w:rsidRPr="002928F2" w:rsidSect="00875C52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D06"/>
    <w:multiLevelType w:val="hybridMultilevel"/>
    <w:tmpl w:val="52AE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24C1D"/>
    <w:multiLevelType w:val="hybridMultilevel"/>
    <w:tmpl w:val="77BE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7FB7F7A"/>
    <w:multiLevelType w:val="multilevel"/>
    <w:tmpl w:val="8738EB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7A006B"/>
    <w:multiLevelType w:val="hybridMultilevel"/>
    <w:tmpl w:val="4AB0D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8777D"/>
    <w:multiLevelType w:val="multilevel"/>
    <w:tmpl w:val="57C47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B86B4E2-398F-4305-9257-0C19E677F592}"/>
    <w:docVar w:name="dgnword-eventsink" w:val="2248776"/>
  </w:docVars>
  <w:rsids>
    <w:rsidRoot w:val="00122ADE"/>
    <w:rsid w:val="000D3C98"/>
    <w:rsid w:val="00103BDB"/>
    <w:rsid w:val="00122ADE"/>
    <w:rsid w:val="001B07F9"/>
    <w:rsid w:val="002928F2"/>
    <w:rsid w:val="002E2D52"/>
    <w:rsid w:val="00305656"/>
    <w:rsid w:val="00875C52"/>
    <w:rsid w:val="00CF4055"/>
    <w:rsid w:val="00E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C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875C5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75C52"/>
    <w:pPr>
      <w:numPr>
        <w:ilvl w:val="1"/>
        <w:numId w:val="5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75C5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C5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C52"/>
    <w:rPr>
      <w:rFonts w:ascii="Arial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5C5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A77E8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75C5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875C52"/>
    <w:rPr>
      <w:rFonts w:cs="Lucida Sans"/>
    </w:rPr>
  </w:style>
  <w:style w:type="paragraph" w:styleId="Caption">
    <w:name w:val="caption"/>
    <w:basedOn w:val="Normal"/>
    <w:qFormat/>
    <w:rsid w:val="00875C5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75C5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75C52"/>
  </w:style>
  <w:style w:type="paragraph" w:styleId="CommentText">
    <w:name w:val="annotation text"/>
    <w:basedOn w:val="Normal"/>
    <w:link w:val="CommentTextChar"/>
    <w:uiPriority w:val="99"/>
    <w:unhideWhenUsed/>
    <w:rsid w:val="00875C5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5C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75C5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875C52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C5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875C5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75C52"/>
  </w:style>
  <w:style w:type="character" w:customStyle="1" w:styleId="HeaderChar">
    <w:name w:val="Header Char"/>
    <w:basedOn w:val="DefaultParagraphFont"/>
    <w:link w:val="Header"/>
    <w:rsid w:val="00875C5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75C52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75C52"/>
    <w:rPr>
      <w:rFonts w:ascii="Liberation Sans" w:eastAsia="Microsoft YaHei" w:hAnsi="Liberation Sans" w:cs="Lucida Sans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C52"/>
    <w:pPr>
      <w:ind w:left="720"/>
      <w:contextualSpacing/>
    </w:pPr>
  </w:style>
  <w:style w:type="paragraph" w:styleId="Revision">
    <w:name w:val="Revision"/>
    <w:hidden/>
    <w:uiPriority w:val="99"/>
    <w:semiHidden/>
    <w:rsid w:val="00875C52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875C5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75C52"/>
    <w:pPr>
      <w:numPr>
        <w:ilvl w:val="1"/>
        <w:numId w:val="5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75C5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C5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C52"/>
    <w:rPr>
      <w:rFonts w:ascii="Arial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5C5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A77E8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75C5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875C52"/>
    <w:rPr>
      <w:rFonts w:cs="Lucida Sans"/>
    </w:rPr>
  </w:style>
  <w:style w:type="paragraph" w:styleId="Caption">
    <w:name w:val="caption"/>
    <w:basedOn w:val="Normal"/>
    <w:qFormat/>
    <w:rsid w:val="00875C5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75C5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75C52"/>
  </w:style>
  <w:style w:type="paragraph" w:styleId="CommentText">
    <w:name w:val="annotation text"/>
    <w:basedOn w:val="Normal"/>
    <w:link w:val="CommentTextChar"/>
    <w:uiPriority w:val="99"/>
    <w:unhideWhenUsed/>
    <w:rsid w:val="00875C5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5C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75C5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875C52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C5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875C5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75C52"/>
  </w:style>
  <w:style w:type="character" w:customStyle="1" w:styleId="HeaderChar">
    <w:name w:val="Header Char"/>
    <w:basedOn w:val="DefaultParagraphFont"/>
    <w:link w:val="Header"/>
    <w:rsid w:val="00875C5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75C52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75C52"/>
    <w:rPr>
      <w:rFonts w:ascii="Liberation Sans" w:eastAsia="Microsoft YaHei" w:hAnsi="Liberation Sans" w:cs="Lucida Sans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C52"/>
    <w:pPr>
      <w:ind w:left="720"/>
      <w:contextualSpacing/>
    </w:pPr>
  </w:style>
  <w:style w:type="paragraph" w:styleId="Revision">
    <w:name w:val="Revision"/>
    <w:hidden/>
    <w:uiPriority w:val="99"/>
    <w:semiHidden/>
    <w:rsid w:val="00875C5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sLegalHelp.org/Mobile-Ho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8</cp:revision>
  <dcterms:created xsi:type="dcterms:W3CDTF">2020-11-10T18:34:00Z</dcterms:created>
  <dcterms:modified xsi:type="dcterms:W3CDTF">2022-04-15T12:52:00Z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