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AE0" w:rsidRPr="003B2FD8" w:rsidRDefault="007268C2" w:rsidP="00694AE0">
      <w:pPr>
        <w:pStyle w:val="Heading1"/>
        <w:numPr>
          <w:ilvl w:val="0"/>
          <w:numId w:val="3"/>
        </w:numPr>
        <w:rPr>
          <w:noProof/>
        </w:rPr>
      </w:pPr>
      <w:r>
        <w:rPr>
          <w:noProof/>
        </w:rPr>
        <w:t xml:space="preserve">Guíenme: </w:t>
      </w:r>
      <w:r w:rsidR="00694AE0">
        <w:rPr>
          <w:noProof/>
        </w:rPr>
        <w:t>Qué hacer cuando...</w:t>
      </w:r>
    </w:p>
    <w:p w:rsidR="00694AE0" w:rsidRDefault="00694AE0" w:rsidP="00694AE0">
      <w:pPr>
        <w:pStyle w:val="Heading2"/>
        <w:rPr>
          <w:rFonts w:hint="eastAsia"/>
          <w:noProof/>
        </w:rPr>
        <w:sectPr w:rsidR="00694AE0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8192"/>
        </w:sectPr>
      </w:pPr>
      <w:r>
        <w:rPr>
          <w:noProof/>
        </w:rPr>
        <w:t>el propietario quiere aumentar el alquiler y usted vive en vivienda pública</w:t>
      </w:r>
    </w:p>
    <w:p w:rsidR="00694AE0" w:rsidRDefault="00694AE0" w:rsidP="00694AE0">
      <w:pPr>
        <w:rPr>
          <w:noProof/>
        </w:rPr>
      </w:pPr>
      <w:r>
        <w:rPr>
          <w:noProof/>
        </w:rPr>
        <w:lastRenderedPageBreak/>
        <w:t>Si vive en una vivienda pública, generalmente el alquiler se basa en sus ingresos familiares.</w:t>
      </w:r>
    </w:p>
    <w:p w:rsidR="00310821" w:rsidRPr="00694AE0" w:rsidRDefault="00694AE0" w:rsidP="00694AE0">
      <w:pPr>
        <w:rPr>
          <w:noProof/>
        </w:rPr>
      </w:pPr>
      <w:r>
        <w:rPr>
          <w:noProof/>
        </w:rPr>
        <w:t>Si los ingresos familiares cambian y usted notifica el cambio cuando debe hacerlo, puede esperar que el alquiler cambie.</w:t>
      </w:r>
    </w:p>
    <w:p w:rsidR="00694AE0" w:rsidRDefault="00694AE0" w:rsidP="00694AE0">
      <w:pPr>
        <w:rPr>
          <w:noProof/>
        </w:rPr>
      </w:pPr>
      <w:r>
        <w:rPr>
          <w:noProof/>
        </w:rPr>
        <w:t>Si no cree que la autoridad de vivienda ha fijado correctamente el importe del alquiler, puede pedir una reunión con su trabajador para revisar cómo se ha calculado el alquiler.</w:t>
      </w:r>
    </w:p>
    <w:p w:rsidR="00694AE0" w:rsidRDefault="00694AE0" w:rsidP="009E4DCB">
      <w:pPr>
        <w:keepNext/>
        <w:keepLines/>
        <w:rPr>
          <w:noProof/>
        </w:rPr>
      </w:pPr>
      <w:r>
        <w:rPr>
          <w:noProof/>
        </w:rPr>
        <w:t>Tal vez no tengan el importe correcto de sus ingresos familiares. Si ese es el problema, pídales que vuelvan a hacer el cálculo.</w:t>
      </w:r>
      <w:r>
        <w:rPr>
          <w:noProof/>
        </w:rPr>
        <w:br w:type="column"/>
      </w:r>
      <w:r>
        <w:rPr>
          <w:noProof/>
        </w:rPr>
        <w:lastRenderedPageBreak/>
        <w:t>Si no comunicó a tiempo el aumento en sus ingresos, la autoridad de la vivienda puede modificar el monto del alquiler con carácter retroactivo. Es decir, se remontarán a la fecha en la que aumentaron sus ingresos y le cobrarán el alquiler que debería haber pagado a partir de esa fecha.</w:t>
      </w:r>
    </w:p>
    <w:p w:rsidR="00694AE0" w:rsidRDefault="00694AE0" w:rsidP="00694AE0">
      <w:pPr>
        <w:rPr>
          <w:noProof/>
        </w:rPr>
      </w:pPr>
      <w:r>
        <w:rPr>
          <w:noProof/>
        </w:rPr>
        <w:t>Si le están cobrando alquiler atrasado, pida una reunión para hacer un plan de pagos.</w:t>
      </w:r>
    </w:p>
    <w:p w:rsidR="00694AE0" w:rsidRDefault="00694AE0" w:rsidP="00694AE0">
      <w:pPr>
        <w:rPr>
          <w:noProof/>
        </w:rPr>
        <w:sectPr w:rsidR="00694AE0" w:rsidSect="00694AE0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8192"/>
        </w:sectPr>
      </w:pPr>
    </w:p>
    <w:p w:rsidR="00310821" w:rsidRDefault="00694AE0">
      <w:pPr>
        <w:pStyle w:val="NoSpacing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/>
          <w:noProof/>
          <w:sz w:val="24"/>
        </w:rPr>
        <w:lastRenderedPageBreak/>
        <w:t>{{p include_docx_template(‘Disclaimer</w:t>
      </w:r>
      <w:r w:rsidR="008F7765">
        <w:rPr>
          <w:rFonts w:ascii="Arial" w:hAnsi="Arial"/>
          <w:noProof/>
          <w:sz w:val="24"/>
        </w:rPr>
        <w:t>_es</w:t>
      </w:r>
      <w:r>
        <w:rPr>
          <w:rFonts w:ascii="Arial" w:hAnsi="Arial"/>
          <w:noProof/>
          <w:sz w:val="24"/>
        </w:rPr>
        <w:t>.docx’) }}</w:t>
      </w:r>
    </w:p>
    <w:p w:rsidR="00310821" w:rsidRDefault="00694AE0">
      <w:pPr>
        <w:pStyle w:val="NoSpacing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/>
          <w:noProof/>
          <w:sz w:val="24"/>
        </w:rPr>
        <w:t>{{p include_docx_template('Authorship</w:t>
      </w:r>
      <w:r w:rsidR="008F7765">
        <w:rPr>
          <w:rFonts w:ascii="Arial" w:hAnsi="Arial"/>
          <w:noProof/>
          <w:sz w:val="24"/>
        </w:rPr>
        <w:t>_es</w:t>
      </w:r>
      <w:bookmarkStart w:id="0" w:name="_GoBack"/>
      <w:bookmarkEnd w:id="0"/>
      <w:r>
        <w:rPr>
          <w:rFonts w:ascii="Arial" w:hAnsi="Arial"/>
          <w:noProof/>
          <w:sz w:val="24"/>
        </w:rPr>
        <w:t>.docx') }}</w:t>
      </w:r>
    </w:p>
    <w:sectPr w:rsidR="00310821" w:rsidSect="00694AE0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75E41"/>
    <w:multiLevelType w:val="multilevel"/>
    <w:tmpl w:val="71CE90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92010B7"/>
    <w:multiLevelType w:val="multilevel"/>
    <w:tmpl w:val="7A6AA1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A827FFA"/>
    <w:multiLevelType w:val="hybridMultilevel"/>
    <w:tmpl w:val="F4CA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34EEBEBB-3E78-4D8C-9F64-668C9E377B78}"/>
    <w:docVar w:name="dgnword-eventsink" w:val="2249816"/>
  </w:docVars>
  <w:rsids>
    <w:rsidRoot w:val="00310821"/>
    <w:rsid w:val="0002360B"/>
    <w:rsid w:val="000E0379"/>
    <w:rsid w:val="00310821"/>
    <w:rsid w:val="00694AE0"/>
    <w:rsid w:val="007268C2"/>
    <w:rsid w:val="008F7765"/>
    <w:rsid w:val="009E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AE0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694AE0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694AE0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qFormat/>
    <w:rsid w:val="00694AE0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694AE0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694AE0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694AE0"/>
    <w:rPr>
      <w:rFonts w:cs="Lucida Sans"/>
    </w:rPr>
  </w:style>
  <w:style w:type="paragraph" w:styleId="Caption">
    <w:name w:val="caption"/>
    <w:basedOn w:val="Normal"/>
    <w:qFormat/>
    <w:rsid w:val="00694AE0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694AE0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94AE0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4A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4AE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694AE0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694AE0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694A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4A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4AE0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A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AE0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694AE0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694AE0"/>
  </w:style>
  <w:style w:type="character" w:customStyle="1" w:styleId="HeaderChar">
    <w:name w:val="Header Char"/>
    <w:basedOn w:val="DefaultParagraphFont"/>
    <w:link w:val="Header"/>
    <w:rsid w:val="00694AE0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94AE0"/>
    <w:rPr>
      <w:rFonts w:ascii="Liberation Serif" w:eastAsia="Segoe UI" w:hAnsi="Liberation Serif" w:cs="Tahoma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694AE0"/>
    <w:rPr>
      <w:rFonts w:ascii="Liberation Sans" w:eastAsia="Microsoft YaHei" w:hAnsi="Liberation Sans" w:cs="Lucida Sans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94A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AE0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694AE0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694AE0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qFormat/>
    <w:rsid w:val="00694AE0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694AE0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694AE0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694AE0"/>
    <w:rPr>
      <w:rFonts w:cs="Lucida Sans"/>
    </w:rPr>
  </w:style>
  <w:style w:type="paragraph" w:styleId="Caption">
    <w:name w:val="caption"/>
    <w:basedOn w:val="Normal"/>
    <w:qFormat/>
    <w:rsid w:val="00694AE0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694AE0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94AE0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4A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4AE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694AE0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694AE0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694A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4A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4AE0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A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AE0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694AE0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694AE0"/>
  </w:style>
  <w:style w:type="character" w:customStyle="1" w:styleId="HeaderChar">
    <w:name w:val="Header Char"/>
    <w:basedOn w:val="DefaultParagraphFont"/>
    <w:link w:val="Header"/>
    <w:rsid w:val="00694AE0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94AE0"/>
    <w:rPr>
      <w:rFonts w:ascii="Liberation Serif" w:eastAsia="Segoe UI" w:hAnsi="Liberation Serif" w:cs="Tahoma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694AE0"/>
    <w:rPr>
      <w:rFonts w:ascii="Liberation Sans" w:eastAsia="Microsoft YaHei" w:hAnsi="Liberation Sans" w:cs="Lucida Sans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94A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6</cp:revision>
  <dcterms:created xsi:type="dcterms:W3CDTF">2020-11-09T19:49:00Z</dcterms:created>
  <dcterms:modified xsi:type="dcterms:W3CDTF">2022-04-15T12:52:00Z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