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F6368"/>
          <w:sz w:val="22"/>
          <w:szCs w:val="22"/>
        </w:rPr>
        <w:t xml:space="preserve">GOOGLE SEARCH CONSOLE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Crawl Stats Audit</w:t>
      </w:r>
    </w:p>
    <w:p>
      <w:pPr>
        <w:spacing w:after="60"/>
        <w:jc w:val="center"/>
      </w:pPr>
      <w:r>
        <w:rPr>
          <w:rFonts w:ascii="Arial" w:cs="Arial" w:eastAsia="Arial" w:hAnsi="Arial"/>
          <w:color w:val="202124"/>
          <w:sz w:val="28"/>
          <w:szCs w:val="28"/>
        </w:rPr>
        <w:t xml:space="preserve">webnovis.com — Analisi Post-Rilancio</w:t>
      </w:r>
    </w:p>
    <w:p>
      <w:pPr>
        <w:spacing w:after="40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Periodo: 26 Nov 2025 — 22 Feb 2026 | Rilancio sito: ~15 Feb 2026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A73E8" w:sz="6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EXECUTIVE SUMMARY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C4043"/>
                <w:sz w:val="22"/>
                <w:szCs w:val="22"/>
              </w:rPr>
              <w:t xml:space="preserve">Il sito webnovis.com è stato rilanciato intorno al 15 Febbraio 2026 dopo mesi di stasi. I dati di crawl riflettono due fasi nettamente distinte: un periodo pre-rilancio con crawl quasi inesistente (media 4.3 req/giorno, coerente con un sito dormiente) e un’esplosione post-rilancio con un aumento del +795% (34.2 req/giorno, picchi di 113 e 156 richieste). L’iscrizione a directory e le modifiche strutturali stanno già producendo effetti visibili. Il server risponde velocemente (61ms post-rilancio) e il tasso di 200 OK è alto (91.3%). Le priorità ora sono massimizzare l’efficienza del crawl budget e alimentare la crescita con azioni mirate.</w:t>
            </w:r>
          </w:p>
        </w:tc>
      </w:tr>
    </w:tbl>
    <w:p>
      <w:pPr>
        <w:spacing w:before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F6368"/>
          <w:sz w:val="18"/>
          <w:szCs w:val="18"/>
        </w:rPr>
        <w:t xml:space="preserve">CRAWL HEALTH SCORE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E8710A"/>
          <w:sz w:val="52"/>
          <w:szCs w:val="52"/>
        </w:rPr>
        <w:t xml:space="preserve">5.5 / 10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In fase di ascesa — trend positivo dopo rilancio</w:t>
      </w:r>
    </w:p>
    <w:p>
      <w:pPr>
        <w:spacing w:after="200"/>
        <w:jc w:val="center"/>
      </w:pPr>
      <w:r>
        <w:rPr>
          <w:rFonts w:ascii="Arial" w:cs="Arial" w:eastAsia="Arial" w:hAnsi="Arial"/>
          <w:color w:val="1A73E8"/>
          <w:sz w:val="18"/>
          <w:szCs w:val="18"/>
        </w:rPr>
        <w:t xml:space="preserve">(Pre-rilancio: 3/10 → Post-rilancio: 6.5/10)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506"/>
        <w:gridCol w:w="1600"/>
      </w:tblGrid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Pre-rilancio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Post-rilancio</w:t>
            </w:r>
          </w:p>
        </w:tc>
        <w:tc>
          <w:tcPr>
            <w:tcW w:type="dxa" w:w="15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Variazione</w:t>
            </w:r>
          </w:p>
        </w:tc>
        <w:tc>
          <w:tcPr>
            <w:tcW w:type="dxa" w:w="1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Media req/giorno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4.3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34.2</w:t>
            </w:r>
          </w:p>
        </w:tc>
        <w:tc>
          <w:tcPr>
            <w:tcW w:type="dxa" w:w="15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+795%</w:t>
            </w:r>
          </w:p>
        </w:tc>
        <w:tc>
          <w:tcPr>
            <w:tcW w:type="dxa" w:w="1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IN CRESCITA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Giorni attivi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35.8%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50%</w:t>
            </w:r>
          </w:p>
        </w:tc>
        <w:tc>
          <w:tcPr>
            <w:tcW w:type="dxa" w:w="15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+14.2pp</w:t>
            </w:r>
          </w:p>
        </w:tc>
        <w:tc>
          <w:tcPr>
            <w:tcW w:type="dxa" w:w="1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MIGLIORATO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Tempo risposta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84ms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61ms</w:t>
            </w:r>
          </w:p>
        </w:tc>
        <w:tc>
          <w:tcPr>
            <w:tcW w:type="dxa" w:w="15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-27%</w:t>
            </w:r>
          </w:p>
        </w:tc>
        <w:tc>
          <w:tcPr>
            <w:tcW w:type="dxa" w:w="1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ECCELLENTE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Tasso 200 OK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91.3% (globale)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15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BUONO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Errori 301+404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8.3% (globale)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15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DA RIDURRE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% HTML sul totale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38.8% (globale)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15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0"/>
                <w:szCs w:val="20"/>
              </w:rPr>
              <w:t xml:space="preserve">INEFFICIENTE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Scoperta vs Aggiorn.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24% vs 76%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15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DA INVERTIRE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1. Il Quadro Generale: Da Sito Dormiente a Rilancio</w:t>
      </w:r>
    </w:p>
    <w:p>
      <w:pPr>
        <w:spacing w:before="200" w:after="200"/>
        <w:jc w:val="center"/>
      </w:pPr>
      <w:r>
        <w:drawing>
          <wp:inline distT="0" distB="0" distL="0" distR="0">
            <wp:extent cx="56197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I dati raccontano una storia chiara e coerente con il contesto operativo. Dal 26 Novembre 2025 al ~14 Febbraio 2026, il sito era sostanzialmente fermo: nessun contenuto nuovo, nessun backlink building attivo, nessuna segnalazione a Google. Il crawl rate medio di 4.3 richieste/giorno con il 64% di giorni a zero scansioni è la risposta fisiologica di Googlebot a un sito che non dà segnali di vita.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1E8E3E" w:sz="12"/>
              <w:bottom w:val="none" w:sz="0"/>
              <w:right w:val="none" w:sz="0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E3E"/>
                <w:sz w:val="22"/>
                <w:szCs w:val="22"/>
              </w:rPr>
              <w:t xml:space="preserve">🟢 POSITIVO: </w:t>
            </w:r>
            <w:r>
              <w:rPr>
                <w:rFonts w:ascii="Arial" w:cs="Arial" w:eastAsia="Arial" w:hAnsi="Arial"/>
                <w:color w:val="3C4043"/>
                <w:sz w:val="22"/>
                <w:szCs w:val="22"/>
              </w:rPr>
              <w:t xml:space="preserve">Il dato pre-rilancio non è un problema da risolvere: è il punto di partenza. Il dato importante è la velocità con cui Google ha reagito al rilancio: +795% in meno di una settimana. Questo è un segnale molto positivo che indica che il sito non ha penalizzazioni e che l’infrastruttura tecnica funziona.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Cosa Dice lo Spike del 21-22 Febbraio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Le 113 + 156 richieste in due giorni consecutivi sono il risultato diretto delle azioni post-rilancio: nuovo sito, iscrizioni a directory, probabilmente nuovi link in ingresso. Google ha ricevuto segnali esterni (backlink dalle directory) e interni (nuovi contenuti, sitemap aggiornata) che lo hanno spinto ad allocare più crawl budget.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Ulteriore dato positivo: il tempo di risposta post-rilancio è sceso a 61ms (da 84ms pre-rilancio), segno che il nuovo sito è più performante del precedente. Google premia esplicitamente i server veloci con un crawl rate più alto.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2. Efficienza del Crawl Budget</w:t>
      </w:r>
    </w:p>
    <w:p>
      <w:pPr>
        <w:spacing w:before="200" w:after="200"/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D93025" w:sz="12"/>
              <w:bottom w:val="none" w:sz="0"/>
              <w:right w:val="none" w:sz="0"/>
            </w:tcBorders>
            <w:shd w:fill="FCE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3025"/>
                <w:sz w:val="22"/>
                <w:szCs w:val="22"/>
              </w:rPr>
              <w:t xml:space="preserve">🔴 CRITICO: </w:t>
            </w:r>
            <w:r>
              <w:rPr>
                <w:rFonts w:ascii="Arial" w:cs="Arial" w:eastAsia="Arial" w:hAnsi="Arial"/>
                <w:color w:val="3C4043"/>
                <w:sz w:val="22"/>
                <w:szCs w:val="22"/>
              </w:rPr>
              <w:t xml:space="preserve">Solo il 38.8% delle richieste di Googlebot riguarda pagine HTML. Il restante 61.2% è sprecato in risorse accessorie (CSS 28.6%, JS 15.4%, altro). Con un crawl budget in fase di crescita, ogni richiesta conta.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Il Problema: CSS e JavaScript Cannibalizzano il Budget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Quando Googlebot scansiona una pagina HTML, ha bisogno di scaricare anche CSS e JS per renderizzarla correttamente (mobile-first indexing). Se queste risorse non hanno cache headers adeguati, Googlebot le riscarica a ogni visita. Risultato: per ogni pagina HTML utile, il crawler "spreca" quasi 2 richieste in file accessori.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In un sito con 10.000 richieste/giorno questo è tollerabile. Con 34 richieste/giorno, significa che Googlebot scansiona forse 13 pagine HTML effettive al giorno invece di potenzialmente 25-30.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La Soluzione: Cache Aggressiva con Content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Cache-Control: public, max-age=31536000, immutable </w:t>
      </w:r>
      <w:r>
        <w:rPr>
          <w:rFonts w:ascii="Arial" w:cs="Arial" w:eastAsia="Arial" w:hAnsi="Arial"/>
          <w:color w:val="3C4043"/>
          <w:sz w:val="22"/>
          <w:szCs w:val="22"/>
        </w:rPr>
        <w:t xml:space="preserve">su tutti i file CSS, JS, font e immagini statiche. Questo dice a Googlebot: "non riscaricare mai questo file, è immutabile".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Filename con hash </w:t>
      </w:r>
      <w:r>
        <w:rPr>
          <w:rFonts w:ascii="Arial" w:cs="Arial" w:eastAsia="Arial" w:hAnsi="Arial"/>
          <w:color w:val="3C4043"/>
          <w:sz w:val="22"/>
          <w:szCs w:val="22"/>
        </w:rPr>
        <w:t xml:space="preserve">(es. style.a3f8b2.css) per l’invalidazione automatica. Quando modifichi il CSS, il filename cambia e Googlebot scarica solo la nuova versione.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Verificare robots.txt: </w:t>
      </w:r>
      <w:r>
        <w:rPr>
          <w:rFonts w:ascii="Arial" w:cs="Arial" w:eastAsia="Arial" w:hAnsi="Arial"/>
          <w:color w:val="3C4043"/>
          <w:sz w:val="22"/>
          <w:szCs w:val="22"/>
        </w:rPr>
        <w:t xml:space="preserve">se ci sono risorse CSS/JS non necessarie per il rendering, valutare se bloccarle (attenzione: bloccare risorse necessarie causa problemi di indicizzazione).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C4043"/>
          <w:sz w:val="22"/>
          <w:szCs w:val="22"/>
        </w:rPr>
        <w:t xml:space="preserve">Impatto stimato: riduzione del 40-50% delle richieste di risorse accessorie, liberando crawl budget per scansionare più pagine HTML effettive.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3. Codici di Risposta e Finalità</w:t>
      </w:r>
    </w:p>
    <w:p>
      <w:pPr>
        <w:spacing w:before="200" w:after="200"/>
        <w:jc w:val="center"/>
      </w:pPr>
      <w:r>
        <w:drawing>
          <wp:inline distT="0" distB="0" distL="0" distR="0">
            <wp:extent cx="5524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Codici di Risposta HTTP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Il 91.3% di risposte 200 OK è una base solida. I problemi residui: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301 Redirect (7.2% — ~45 richieste): </w:t>
      </w:r>
      <w:r>
        <w:rPr>
          <w:rFonts w:ascii="Arial" w:cs="Arial" w:eastAsia="Arial" w:hAnsi="Arial"/>
          <w:color w:val="3C4043"/>
          <w:sz w:val="22"/>
          <w:szCs w:val="22"/>
        </w:rPr>
        <w:t xml:space="preserve">Ogni 301 è una richiesta doppia (redirect + destinazione). Probabilmente sono URL del vecchio sito che ora puntano alle nuove pagine. Azione: aggiornare la sitemap per contenere solo URL finali. Aggiornare ogni link interno. Se le directory appena iscritte puntano a URL vecchi, aggiornarle.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D93025"/>
          <w:sz w:val="22"/>
          <w:szCs w:val="22"/>
        </w:rPr>
        <w:t xml:space="preserve">404 Not Found (1.1% — ~7 richieste): </w:t>
      </w:r>
      <w:r>
        <w:rPr>
          <w:rFonts w:ascii="Arial" w:cs="Arial" w:eastAsia="Arial" w:hAnsi="Arial"/>
          <w:color w:val="3C4043"/>
          <w:sz w:val="22"/>
          <w:szCs w:val="22"/>
        </w:rPr>
        <w:t xml:space="preserve">Poche in assoluto, ma in fase di rilancio ogni errore conta. Verificare in GSC Copertura &gt; Escluse &gt; Non trovata (404) per l’elenco esatto. Per ogni URL: se ha un equivalente nel nuovo sito → redirect 301. Se il contenuto non esiste più → 410 Gone.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Finalità: Aggiornamento (76.4%) vs Rilevamento (23.6%)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Il rapporto 76/24 a favore dell’aggiornamento è comprensibile nel contesto: Google sta ancora ri-scansionando le pagine esistenti (molte delle quali sono probabilmente cambiate con il rilancio). Nelle prossime settimane, man mano che Google completa la ri-scansione del sito, il rapporto dovrebbe spostarsi naturalmente verso più rilevamento, soprattutto se vengono pubblicati nuovi contenuti regolarmente.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1A73E8" w:sz="12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ℹ️ INFO: </w:t>
            </w:r>
            <w:r>
              <w:rPr>
                <w:rFonts w:ascii="Arial" w:cs="Arial" w:eastAsia="Arial" w:hAnsi="Arial"/>
                <w:color w:val="3C4043"/>
                <w:sz w:val="22"/>
                <w:szCs w:val="22"/>
              </w:rPr>
              <w:t xml:space="preserve">Non preoccuparti del rapporto 76/24 adesso — è fisiologico post-rilancio. Diventa un problema solo se resta stabile così dopo 4-6 settimane, perché significherebbe che Google non sta scoprendo contenuti nuovi.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4. Googlebot Types e Host</w:t>
      </w:r>
    </w:p>
    <w:p>
      <w:pPr>
        <w:spacing w:before="200" w:after="200"/>
        <w:jc w:val="center"/>
      </w:pPr>
      <w:r>
        <w:drawing>
          <wp:inline distT="0" distB="0" distL="0" distR="0">
            <wp:extent cx="5524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Tipi di Crawler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La distribuzione dei tipi di Googlebot conferma il quadro di efficienza: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Carico risorse pagina (46.7%): </w:t>
      </w:r>
      <w:r>
        <w:rPr>
          <w:rFonts w:ascii="Arial" w:cs="Arial" w:eastAsia="Arial" w:hAnsi="Arial"/>
          <w:color w:val="3C4043"/>
          <w:sz w:val="22"/>
          <w:szCs w:val="22"/>
        </w:rPr>
        <w:t xml:space="preserve">Quasi metà delle richieste serve per risorse accessorie. Questo è il dato da migliorare con il caching (vedi Sezione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Smartphone (16.7%) vs Computer (6.4%): </w:t>
      </w:r>
      <w:r>
        <w:rPr>
          <w:rFonts w:ascii="Arial" w:cs="Arial" w:eastAsia="Arial" w:hAnsi="Arial"/>
          <w:color w:val="3C4043"/>
          <w:sz w:val="22"/>
          <w:szCs w:val="22"/>
        </w:rPr>
        <w:t xml:space="preserve">Rapporto 2.6:1 a favore del mobile, coerente con il mobile-first indexing. Il nuovo sito deve essere impeccabile su mobile (Core Web Vitals, responsive, touch-friendly).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Altro tipo di agente (22.6%): </w:t>
      </w:r>
      <w:r>
        <w:rPr>
          <w:rFonts w:ascii="Arial" w:cs="Arial" w:eastAsia="Arial" w:hAnsi="Arial"/>
          <w:color w:val="3C4043"/>
          <w:sz w:val="22"/>
          <w:szCs w:val="22"/>
        </w:rPr>
        <w:t xml:space="preserve">Crawler specializzati (AdsBot, Storebot, etc.). Se non usi Google Ads o Merchant Center, valuta di bloccarli via robots.txt per recuperare budget.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Duplicazione Host: www vs non-www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592 richieste su www.webnovis.com vs 31 su webnovis.com (senza www). Le 31 richieste sulla versione non-www rappresentano il 5% del crawl budget totale sprecato.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E8710A" w:sz="12"/>
              <w:bottom w:val="none" w:sz="0"/>
              <w:right w:val="none" w:sz="0"/>
            </w:tcBorders>
            <w:shd w:fill="FEF7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10A"/>
                <w:sz w:val="22"/>
                <w:szCs w:val="22"/>
              </w:rPr>
              <w:t xml:space="preserve">🟡 ATTENZIONE: </w:t>
            </w:r>
            <w:r>
              <w:rPr>
                <w:rFonts w:ascii="Arial" w:cs="Arial" w:eastAsia="Arial" w:hAnsi="Arial"/>
                <w:color w:val="3C4043"/>
                <w:sz w:val="22"/>
                <w:szCs w:val="22"/>
              </w:rPr>
              <w:t xml:space="preserve">Verificare che esista un redirect 301 permanente da webnovis.com → www.webnovis.com (o viceversa, a seconda della versione canonica scelta). Controllare che il tag &lt;link rel="canonical"&gt; su ogni pagina punti alla versione corretta. Nel nuovo sito, questo potrebbe essere già configurato — le 31 richieste sulla versione non-www potrebbero essere residui del vecchio sito che diminuiranno progressivamente.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5. Piano d’Azione Post-Rilancio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043"/>
          <w:sz w:val="22"/>
          <w:szCs w:val="22"/>
        </w:rPr>
        <w:t xml:space="preserve">Le azioni sono calibrate per la fase attuale: un sito appena rilanciato che deve consolidare il momentum positivo. Sono ordinate per impatto immediato sul crawl budget e sull’indicizzazione.</w:t>
      </w:r>
    </w:p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6"/>
        <w:gridCol w:w="1200"/>
        <w:gridCol w:w="1200"/>
        <w:gridCol w:w="1000"/>
        <w:gridCol w:w="1200"/>
      </w:tblGrid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Cache headers aggressivi su CSS/JS/font/immagini. Implementare filename con content hash per invalidazione. Può raddoppiare le pagine HTML scansionate a parità di crawl budget.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Molto alto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Basso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Settimana 1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Risolvere i 301 alla fonte: aggiornare sitemap, link interni, e profili directory per puntare direttamente agli URL finali del nuovo sito. Elimina il 7.2% di spreco.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Settimana 1-2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Consolidare canonical www/non-www. Redirect 301 hard + canonical tag coerente. Verificare configurazione nel nuovo hosting.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Medio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Basso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Settimana 1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Identificare e risolvere i 404. In GSC &gt; Copertura, trovare gli URL non trovati. Redirect 301 se hanno equivalente, 410 Gone se definitivamente rimossi.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Medio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Basso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Settimana 1-2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Sitemap XML pulita: solo URL 200, canonical self-referencing, &lt;lastmod&gt; accurato. Sottomettere via GSC. Escludere URL con redirect o parametri.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Basso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Settimana 2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Continuare iscrizioni a directory di qualità (Pagine Gialle, Yelp, Hotfrog, Europages, directory web agency italiane, camere di commercio locali). I backlink dalle directory sono ciò che ha triggerato lo spike.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Molto alto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Continuo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Pubblicare contenuti nuovi con cadenza regolare (min 2-4 articoli/mese). Blog su temi SEO/web design per PMI della zona Rho/Milano. Sposterà il rapporto Scoperta/Aggiornamento verso il 50/50.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Molto alto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Continuo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Struttura di linking interno: ogni pagina raggiungibile in ≤3 click dalla homepage. Breadcrumb con schema markup. Pagine hub per servizi (sviluppo web, SEO, grafica).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Settimana 3-4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Implementare Google Indexing API + IndexNow per segnalare proattivamente ogni nuovo contenuto. Riduce la dipendenza dal crawl passivo e accelera l’indicizzazione.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Medio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Settimana 2-3</w:t>
            </w:r>
          </w:p>
        </w:tc>
      </w:tr>
      <w:tr>
        <w:tc>
          <w:tcPr>
            <w:tcW w:type="dxa" w:w="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Valutare blocco "Altro tipo di agente" (22.6%) via robots.txt se non si usano Google Ads/Merchant Center. Recupererebbe ~1/5 del crawl budget per il crawler principale.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0A"/>
                <w:sz w:val="20"/>
                <w:szCs w:val="20"/>
              </w:rPr>
              <w:t xml:space="preserve">Medio</w:t>
            </w:r>
          </w:p>
        </w:tc>
        <w:tc>
          <w:tcPr>
            <w:tcW w:type="dxa" w:w="1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Basso</w:t>
            </w:r>
          </w:p>
        </w:tc>
        <w:tc>
          <w:tcPr>
            <w:tcW w:type="dxa" w:w="1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Settimana 3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6. Obiettivi e Monitoraggio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Target Misurabili a 30 / 60 / 90 Giorni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6"/>
        <w:gridCol w:w="1575"/>
        <w:gridCol w:w="1575"/>
        <w:gridCol w:w="1575"/>
        <w:gridCol w:w="1575"/>
      </w:tblGrid>
      <w:tr>
        <w:tc>
          <w:tcPr>
            <w:tcW w:type="dxa" w:w="32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Attuale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gg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 gg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 gg</w:t>
            </w:r>
          </w:p>
        </w:tc>
      </w:tr>
      <w:tr>
        <w:tc>
          <w:tcPr>
            <w:tcW w:type="dxa" w:w="32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Crawl req/giorno (media)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34.2 *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40-60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80-150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150-300</w:t>
            </w:r>
          </w:p>
        </w:tc>
      </w:tr>
      <w:tr>
        <w:tc>
          <w:tcPr>
            <w:tcW w:type="dxa" w:w="32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% giorni con scansione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50%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&gt;70%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&gt;85%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&gt;95%</w:t>
            </w:r>
          </w:p>
        </w:tc>
      </w:tr>
      <w:tr>
        <w:tc>
          <w:tcPr>
            <w:tcW w:type="dxa" w:w="32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% HTML sul totale richieste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38.8%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&gt;50%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&gt;55%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&gt;60%</w:t>
            </w:r>
          </w:p>
        </w:tc>
      </w:tr>
      <w:tr>
        <w:tc>
          <w:tcPr>
            <w:tcW w:type="dxa" w:w="32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Tasso errori (301+404)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8.3%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&lt;5%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&lt;3%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&lt;2%</w:t>
            </w:r>
          </w:p>
        </w:tc>
      </w:tr>
      <w:tr>
        <w:tc>
          <w:tcPr>
            <w:tcW w:type="dxa" w:w="3206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Scoperta vs Aggiornamento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24% / 76%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30% / 70%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40% / 60%</w:t>
            </w:r>
          </w:p>
        </w:tc>
        <w:tc>
          <w:tcPr>
            <w:tcW w:type="dxa" w:w="1575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0"/>
                <w:szCs w:val="20"/>
              </w:rPr>
              <w:t xml:space="preserve">45% / 55%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F6368"/>
          <w:sz w:val="22"/>
          <w:szCs w:val="22"/>
        </w:rPr>
        <w:t xml:space="preserve">* Post-rilancio, basato su soli 8 giorni. Il valore si stabilizzerà nelle prossime settimane.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Checklist di Monitoraggio Settimanale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4043"/>
          <w:sz w:val="22"/>
          <w:szCs w:val="22"/>
        </w:rPr>
        <w:t xml:space="preserve">Controllare GSC &gt; Crawl Stats: il trend giornaliero si sta consolidando o sta regredendo?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4043"/>
          <w:sz w:val="22"/>
          <w:szCs w:val="22"/>
        </w:rPr>
        <w:t xml:space="preserve">Verificare GSC &gt; Copertura: nuove pagine indicizzate? Errori emergenti?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4043"/>
          <w:sz w:val="22"/>
          <w:szCs w:val="22"/>
        </w:rPr>
        <w:t xml:space="preserve">Controllare che le nuove directory abbiano accettato l’iscrizione e che i link siano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4043"/>
          <w:sz w:val="22"/>
          <w:szCs w:val="22"/>
        </w:rPr>
        <w:t xml:space="preserve">Monitorare il tempo di risposta: deve restare sotto 100ms.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4043"/>
          <w:sz w:val="22"/>
          <w:szCs w:val="22"/>
        </w:rPr>
        <w:t xml:space="preserve">Dopo ogni pubblicazione di contenuto: verificare che compaia nella sitemap e che Google la scopra entro 48h.</w:t>
      </w:r>
    </w:p>
    <w:p>
      <w:pPr>
        <w:spacing w:before="3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E8E3E" w:sz="6"/>
              <w:left w:val="single" w:color="DDE1E6" w:sz="1"/>
              <w:bottom w:val="single" w:color="DDE1E6" w:sz="1"/>
              <w:right w:val="single" w:color="DDE1E6" w:sz="1"/>
            </w:tcBorders>
            <w:shd w:fill="E6F4E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E3E"/>
                <w:sz w:val="24"/>
                <w:szCs w:val="24"/>
              </w:rPr>
              <w:t xml:space="preserve">CONCLUSIONE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C4043"/>
                <w:sz w:val="22"/>
                <w:szCs w:val="22"/>
              </w:rPr>
              <w:t xml:space="preserve">Il rilancio sta funzionando. Google ha risposto immediatamente con un aumento del 795% del crawl rate. La priorità adesso non è diagnosticare problemi ma capitalizzare il momentum: ottimizzare l’efficienza tecnica (caching, redirect), alimentare la crescita con contenuti e backlink, e monitorare settimanalmente che il trend positivo si consolidi. Se il crawl rate continua a salire nelle prossime 2-4 settimane, il sito è sulla traiettoria giusta per costruire visibilità organica significativa nell’area Rho/Milano.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1E6" w:sz="2" w:space="8"/>
      </w:pBdr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WebNovis — Technical SEO Audit | Pag.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8"/>
      </w:pBdr>
      <w:tabs>
        <w:tab w:val="right" w:pos="9306"/>
      </w:tabs>
    </w:pPr>
    <w:r>
      <w:rPr>
        <w:rFonts w:ascii="Arial" w:cs="Arial" w:eastAsia="Arial" w:hAnsi="Arial"/>
        <w:b/>
        <w:bCs/>
        <w:color w:val="5F6368"/>
        <w:sz w:val="16"/>
        <w:szCs w:val="16"/>
      </w:rPr>
      <w:t xml:space="preserve">CRAWL STATS AUDIT — webnovis.com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F6368"/>
        <w:sz w:val="16"/>
        <w:szCs w:val="16"/>
      </w:rPr>
      <w:t xml:space="preserve">Post-Rilancio | 24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0212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9ba71372a9af7cef91f028a53650db7cb4750df.png"/><Relationship Id="rId9" Type="http://schemas.openxmlformats.org/officeDocument/2006/relationships/image" Target="media/64785165202abdb901a662e0349d5c04c7026274.png"/><Relationship Id="rId10" Type="http://schemas.openxmlformats.org/officeDocument/2006/relationships/image" Target="media/d04ac912391530aec677063d80b1c56a25034566.png"/><Relationship Id="rId11" Type="http://schemas.openxmlformats.org/officeDocument/2006/relationships/image" Target="media/722aa9c7d0b45722570fa49e8ce812bae0ce7756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2026-02-24T12:56:06.973Z</dcterms:created>
  <dcterms:modified xsi:type="dcterms:W3CDTF">2026-02-24T12:56:06.974Z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