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F894C">
      <w:pPr>
        <w:spacing w:before="480" w:after="480" w:line="288" w:lineRule="auto"/>
        <w:ind w:left="0"/>
      </w:pPr>
      <w:r>
        <w:rPr>
          <w:rFonts w:ascii="Arial" w:hAnsi="Arial" w:eastAsia="等线" w:cs="Arial"/>
          <w:b/>
          <w:sz w:val="52"/>
        </w:rPr>
        <w:t>传统开源捐赠平台有效性的分析评估：Open Collective 与 GitHub S</w:t>
      </w:r>
      <w:bookmarkStart w:id="18" w:name="_GoBack"/>
      <w:bookmarkEnd w:id="18"/>
      <w:r>
        <w:rPr>
          <w:rFonts w:ascii="Arial" w:hAnsi="Arial" w:eastAsia="等线" w:cs="Arial"/>
          <w:b/>
          <w:sz w:val="52"/>
        </w:rPr>
        <w:t>ponsors 的对比研究</w:t>
      </w:r>
    </w:p>
    <w:p w14:paraId="46EC5761">
      <w:pPr>
        <w:spacing w:before="120" w:after="120" w:line="288" w:lineRule="auto"/>
        <w:ind w:left="0" w:firstLine="420"/>
        <w:jc w:val="left"/>
      </w:pPr>
      <w:r>
        <w:rPr>
          <w:rFonts w:ascii="Arial" w:hAnsi="Arial" w:eastAsia="等线" w:cs="Arial"/>
          <w:sz w:val="22"/>
        </w:rPr>
        <w:t>现代数字生态系统在架构上依赖开源软件（OSS），这一全球公共产品为从云计算到消费电子的各类应用提供支持。然而，开源软件开发的经济现状存在显著的价值创造与价值捕获失衡：研究估算，广泛使用的开源库在需求端的价值约为8.8万亿美元，而重建这一基础设施的供给端成本仅为41.5亿美元[1]。这一估值缺口凸显了市场失灵问题——96%的代码库包含开源组件，但60%的项目维护者仍是无报酬的爱好者[1,2,3]。为应对这一可持续性危机，专门平台应运而生，旨在促进资金从个人和企业支持者流向去中心化的开发者社区。本报告通过分析核心机制、捐赠者行为、对项目安全性的影响及分配模式中的结构性不平等，评估该领域最具影响力的两大“传统”平台——Open Collective 与 GitHub Sponsors 的有效性。</w:t>
      </w:r>
    </w:p>
    <w:p w14:paraId="565CC6B1">
      <w:pPr>
        <w:spacing w:before="320" w:after="120" w:line="288" w:lineRule="auto"/>
        <w:ind w:left="0"/>
        <w:jc w:val="left"/>
        <w:outlineLvl w:val="1"/>
      </w:pPr>
      <w:bookmarkStart w:id="0" w:name="heading_0"/>
      <w:r>
        <w:rPr>
          <w:rFonts w:ascii="Arial" w:hAnsi="Arial" w:eastAsia="等线" w:cs="Arial"/>
          <w:b/>
          <w:sz w:val="32"/>
        </w:rPr>
        <w:t>一、财务中介的结构性基础</w:t>
      </w:r>
      <w:bookmarkEnd w:id="0"/>
    </w:p>
    <w:p w14:paraId="1F87C886">
      <w:pPr>
        <w:spacing w:before="120" w:after="120" w:line="288" w:lineRule="auto"/>
        <w:ind w:left="0" w:firstLine="420"/>
        <w:jc w:val="left"/>
      </w:pPr>
      <w:r>
        <w:rPr>
          <w:rFonts w:ascii="Arial" w:hAnsi="Arial" w:eastAsia="等线" w:cs="Arial"/>
          <w:sz w:val="22"/>
        </w:rPr>
        <w:t>开源资金面临的核心挑战并非单纯缺乏资本，而是组织结构不匹配。大多数开源项目属于“未注册的分布式协作项目”，缺乏法律主体资格、银行账户及处理税务申报或供应商合同的行政能力[4,5]。传统平台通过两种截然不同的架构模式弥补这一缺口：财政赞助模式与工作流集成赞助模式。</w:t>
      </w:r>
    </w:p>
    <w:p w14:paraId="4DF3096E">
      <w:pPr>
        <w:spacing w:before="300" w:after="120" w:line="288" w:lineRule="auto"/>
        <w:ind w:left="0"/>
        <w:jc w:val="left"/>
        <w:outlineLvl w:val="2"/>
      </w:pPr>
      <w:bookmarkStart w:id="1" w:name="heading_1"/>
      <w:r>
        <w:rPr>
          <w:rFonts w:ascii="Arial" w:hAnsi="Arial" w:eastAsia="等线" w:cs="Arial"/>
          <w:b/>
          <w:sz w:val="30"/>
        </w:rPr>
        <w:t>（一）Open Collective 的财政托管模式</w:t>
      </w:r>
      <w:bookmarkEnd w:id="1"/>
    </w:p>
    <w:p w14:paraId="11748192">
      <w:pPr>
        <w:spacing w:before="120" w:after="120" w:line="288" w:lineRule="auto"/>
        <w:ind w:left="0" w:firstLine="420"/>
        <w:jc w:val="left"/>
      </w:pPr>
      <w:r>
        <w:rPr>
          <w:rFonts w:ascii="Arial" w:hAnsi="Arial" w:eastAsia="等线" w:cs="Arial"/>
          <w:sz w:val="22"/>
        </w:rPr>
        <w:t>Open Collective 于2015年推出，提供面向社区而非个人的透明财务管理层[6]。其有效性源于“财政托管”概念——由合法公司或非营利组织作为项目的保护伞机构[4]。该托管方将项目资金存入自身银行账户，负责会计核算、费用支付，并为企业赞助商开具发票[4,7]。</w:t>
      </w:r>
    </w:p>
    <w:p w14:paraId="5AC6E5B1">
      <w:pPr>
        <w:spacing w:before="120" w:after="120" w:line="288" w:lineRule="auto"/>
        <w:ind w:left="0" w:firstLine="420"/>
        <w:jc w:val="left"/>
      </w:pPr>
      <w:r>
        <w:rPr>
          <w:rFonts w:ascii="Arial" w:hAnsi="Arial" w:eastAsia="等线" w:cs="Arial"/>
          <w:sz w:val="22"/>
        </w:rPr>
        <w:t>Open Collective 平台允许任何社区通过公共账簿透明地募集、管理和分配资金[8]。这种透明度不仅是一项功能，更是一种治理机制：通过公开每一笔捐款和支出，平台构建了“社区优先”的环境，决策权在所有核心贡献者之间分散，从而提高了“关键人物风险系数”（bus factor），减少了维护者 burnout 问题[9]。</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006EE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41BF752">
            <w:pPr>
              <w:spacing w:before="120" w:after="120" w:line="288" w:lineRule="auto"/>
              <w:ind w:left="0"/>
              <w:jc w:val="left"/>
            </w:pPr>
            <w:r>
              <w:rPr>
                <w:rFonts w:ascii="Arial" w:hAnsi="Arial" w:eastAsia="等线" w:cs="Arial"/>
                <w:sz w:val="22"/>
              </w:rPr>
              <w:t>选择选项</w:t>
            </w:r>
          </w:p>
        </w:tc>
        <w:tc>
          <w:tcPr>
            <w:tcW w:w="2760" w:type="dxa"/>
            <w:tcMar>
              <w:top w:w="60" w:type="dxa"/>
              <w:left w:w="120" w:type="dxa"/>
              <w:bottom w:w="30" w:type="dxa"/>
              <w:right w:w="120" w:type="dxa"/>
            </w:tcMar>
          </w:tcPr>
          <w:p w14:paraId="1A1BCC0D">
            <w:pPr>
              <w:spacing w:before="120" w:after="120" w:line="288" w:lineRule="auto"/>
              <w:ind w:left="0"/>
              <w:jc w:val="left"/>
            </w:pPr>
            <w:r>
              <w:rPr>
                <w:rFonts w:ascii="Arial" w:hAnsi="Arial" w:eastAsia="等线" w:cs="Arial"/>
                <w:sz w:val="22"/>
              </w:rPr>
              <w:t>描述</w:t>
            </w:r>
          </w:p>
        </w:tc>
        <w:tc>
          <w:tcPr>
            <w:tcW w:w="2760" w:type="dxa"/>
            <w:tcMar>
              <w:top w:w="60" w:type="dxa"/>
              <w:left w:w="120" w:type="dxa"/>
              <w:bottom w:w="30" w:type="dxa"/>
              <w:right w:w="120" w:type="dxa"/>
            </w:tcMar>
          </w:tcPr>
          <w:p w14:paraId="4D8153AD">
            <w:pPr>
              <w:spacing w:before="120" w:after="120" w:line="288" w:lineRule="auto"/>
              <w:ind w:left="0"/>
              <w:jc w:val="left"/>
            </w:pPr>
            <w:r>
              <w:rPr>
                <w:rFonts w:ascii="Arial" w:hAnsi="Arial" w:eastAsia="等线" w:cs="Arial"/>
                <w:sz w:val="22"/>
              </w:rPr>
              <w:t>责任</w:t>
            </w:r>
          </w:p>
        </w:tc>
      </w:tr>
      <w:tr w14:paraId="5D60AA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B1DD93A">
            <w:pPr>
              <w:spacing w:before="120" w:after="120" w:line="288" w:lineRule="auto"/>
              <w:ind w:left="0"/>
              <w:jc w:val="left"/>
            </w:pPr>
            <w:r>
              <w:rPr>
                <w:rFonts w:ascii="Arial" w:hAnsi="Arial" w:eastAsia="等线" w:cs="Arial"/>
                <w:sz w:val="22"/>
              </w:rPr>
              <w:t>申请加入财政托管方</w:t>
            </w:r>
          </w:p>
        </w:tc>
        <w:tc>
          <w:tcPr>
            <w:tcW w:w="2760" w:type="dxa"/>
            <w:tcMar>
              <w:top w:w="60" w:type="dxa"/>
              <w:left w:w="120" w:type="dxa"/>
              <w:bottom w:w="30" w:type="dxa"/>
              <w:right w:w="120" w:type="dxa"/>
            </w:tcMar>
          </w:tcPr>
          <w:p w14:paraId="7C67F5A9">
            <w:pPr>
              <w:spacing w:before="120" w:after="120" w:line="288" w:lineRule="auto"/>
              <w:ind w:left="0"/>
              <w:jc w:val="left"/>
            </w:pPr>
            <w:r>
              <w:rPr>
                <w:rFonts w:ascii="Arial" w:hAnsi="Arial" w:eastAsia="等线" w:cs="Arial"/>
                <w:sz w:val="22"/>
              </w:rPr>
              <w:t>加入现有托管方（如开源联合体 Open Source Collective），获取法律主体资格</w:t>
            </w:r>
          </w:p>
        </w:tc>
        <w:tc>
          <w:tcPr>
            <w:tcW w:w="2760" w:type="dxa"/>
            <w:tcMar>
              <w:top w:w="60" w:type="dxa"/>
              <w:left w:w="120" w:type="dxa"/>
              <w:bottom w:w="30" w:type="dxa"/>
              <w:right w:w="120" w:type="dxa"/>
            </w:tcMar>
          </w:tcPr>
          <w:p w14:paraId="5E58F244">
            <w:pPr>
              <w:spacing w:before="120" w:after="120" w:line="288" w:lineRule="auto"/>
              <w:ind w:left="0"/>
              <w:jc w:val="left"/>
            </w:pPr>
            <w:r>
              <w:rPr>
                <w:rFonts w:ascii="Arial" w:hAnsi="Arial" w:eastAsia="等线" w:cs="Arial"/>
                <w:sz w:val="22"/>
              </w:rPr>
              <w:t>托管方负责税务、会计核算及合规事宜[10]</w:t>
            </w:r>
          </w:p>
        </w:tc>
      </w:tr>
      <w:tr w14:paraId="4BC3E2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F5C7E71">
            <w:pPr>
              <w:spacing w:before="120" w:after="120" w:line="288" w:lineRule="auto"/>
              <w:ind w:left="0"/>
              <w:jc w:val="left"/>
            </w:pPr>
            <w:r>
              <w:rPr>
                <w:rFonts w:ascii="Arial" w:hAnsi="Arial" w:eastAsia="等线" w:cs="Arial"/>
                <w:sz w:val="22"/>
              </w:rPr>
              <w:t>独立联合体</w:t>
            </w:r>
          </w:p>
        </w:tc>
        <w:tc>
          <w:tcPr>
            <w:tcW w:w="2760" w:type="dxa"/>
            <w:tcMar>
              <w:top w:w="60" w:type="dxa"/>
              <w:left w:w="120" w:type="dxa"/>
              <w:bottom w:w="30" w:type="dxa"/>
              <w:right w:w="120" w:type="dxa"/>
            </w:tcMar>
          </w:tcPr>
          <w:p w14:paraId="250D4548">
            <w:pPr>
              <w:spacing w:before="120" w:after="120" w:line="288" w:lineRule="auto"/>
              <w:ind w:left="0"/>
              <w:jc w:val="left"/>
            </w:pPr>
            <w:r>
              <w:rPr>
                <w:rFonts w:ascii="Arial" w:hAnsi="Arial" w:eastAsia="等线" w:cs="Arial"/>
                <w:sz w:val="22"/>
              </w:rPr>
              <w:t>使用项目自身的银行账户和法律主体资格</w:t>
            </w:r>
          </w:p>
        </w:tc>
        <w:tc>
          <w:tcPr>
            <w:tcW w:w="2760" w:type="dxa"/>
            <w:tcMar>
              <w:top w:w="60" w:type="dxa"/>
              <w:left w:w="120" w:type="dxa"/>
              <w:bottom w:w="30" w:type="dxa"/>
              <w:right w:w="120" w:type="dxa"/>
            </w:tcMar>
          </w:tcPr>
          <w:p w14:paraId="500B031B">
            <w:pPr>
              <w:spacing w:before="120" w:after="120" w:line="288" w:lineRule="auto"/>
              <w:ind w:left="0"/>
              <w:jc w:val="left"/>
            </w:pPr>
            <w:r>
              <w:rPr>
                <w:rFonts w:ascii="Arial" w:hAnsi="Arial" w:eastAsia="等线" w:cs="Arial"/>
                <w:sz w:val="22"/>
              </w:rPr>
              <w:t>项目独自承担会计核算及法律责任[10]</w:t>
            </w:r>
          </w:p>
        </w:tc>
      </w:tr>
      <w:tr w14:paraId="1727B6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8A5DCAE">
            <w:pPr>
              <w:spacing w:before="120" w:after="120" w:line="288" w:lineRule="auto"/>
              <w:ind w:left="0"/>
              <w:jc w:val="left"/>
            </w:pPr>
            <w:r>
              <w:rPr>
                <w:rFonts w:ascii="Arial" w:hAnsi="Arial" w:eastAsia="等线" w:cs="Arial"/>
                <w:sz w:val="22"/>
              </w:rPr>
              <w:t>自建财政托管方</w:t>
            </w:r>
          </w:p>
        </w:tc>
        <w:tc>
          <w:tcPr>
            <w:tcW w:w="2760" w:type="dxa"/>
            <w:tcMar>
              <w:top w:w="60" w:type="dxa"/>
              <w:left w:w="120" w:type="dxa"/>
              <w:bottom w:w="30" w:type="dxa"/>
              <w:right w:w="120" w:type="dxa"/>
            </w:tcMar>
          </w:tcPr>
          <w:p w14:paraId="4CDA0AE0">
            <w:pPr>
              <w:spacing w:before="120" w:after="120" w:line="288" w:lineRule="auto"/>
              <w:ind w:left="0"/>
              <w:jc w:val="left"/>
            </w:pPr>
            <w:r>
              <w:rPr>
                <w:rFonts w:ascii="Arial" w:hAnsi="Arial" w:eastAsia="等线" w:cs="Arial"/>
                <w:sz w:val="22"/>
              </w:rPr>
              <w:t>设立新的托管方管理多个相关项目</w:t>
            </w:r>
          </w:p>
        </w:tc>
        <w:tc>
          <w:tcPr>
            <w:tcW w:w="2760" w:type="dxa"/>
            <w:tcMar>
              <w:top w:w="60" w:type="dxa"/>
              <w:left w:w="120" w:type="dxa"/>
              <w:bottom w:w="30" w:type="dxa"/>
              <w:right w:w="120" w:type="dxa"/>
            </w:tcMar>
          </w:tcPr>
          <w:p w14:paraId="1257C165">
            <w:pPr>
              <w:spacing w:before="120" w:after="120" w:line="288" w:lineRule="auto"/>
              <w:ind w:left="0"/>
              <w:jc w:val="left"/>
            </w:pPr>
            <w:r>
              <w:rPr>
                <w:rFonts w:ascii="Arial" w:hAnsi="Arial" w:eastAsia="等线" w:cs="Arial"/>
                <w:sz w:val="22"/>
              </w:rPr>
              <w:t>需具备深厚的法律和财务专业知识[10]</w:t>
            </w:r>
          </w:p>
        </w:tc>
      </w:tr>
      <w:tr w14:paraId="57DAE1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50F0946">
            <w:pPr>
              <w:spacing w:before="120" w:after="120" w:line="288" w:lineRule="auto"/>
              <w:ind w:left="0"/>
              <w:jc w:val="left"/>
            </w:pPr>
            <w:r>
              <w:rPr>
                <w:rFonts w:ascii="Arial" w:hAnsi="Arial" w:eastAsia="等线" w:cs="Arial"/>
                <w:sz w:val="22"/>
              </w:rPr>
              <w:t>未关联托管方</w:t>
            </w:r>
          </w:p>
        </w:tc>
        <w:tc>
          <w:tcPr>
            <w:tcW w:w="2760" w:type="dxa"/>
            <w:tcMar>
              <w:top w:w="60" w:type="dxa"/>
              <w:left w:w="120" w:type="dxa"/>
              <w:bottom w:w="30" w:type="dxa"/>
              <w:right w:w="120" w:type="dxa"/>
            </w:tcMar>
          </w:tcPr>
          <w:p w14:paraId="09BA99D7">
            <w:pPr>
              <w:spacing w:before="120" w:after="120" w:line="288" w:lineRule="auto"/>
              <w:ind w:left="0"/>
              <w:jc w:val="left"/>
            </w:pPr>
            <w:r>
              <w:rPr>
                <w:rFonts w:ascii="Arial" w:hAnsi="Arial" w:eastAsia="等线" w:cs="Arial"/>
                <w:sz w:val="22"/>
              </w:rPr>
              <w:t>仅展示资料的模式</w:t>
            </w:r>
          </w:p>
        </w:tc>
        <w:tc>
          <w:tcPr>
            <w:tcW w:w="2760" w:type="dxa"/>
            <w:tcMar>
              <w:top w:w="60" w:type="dxa"/>
              <w:left w:w="120" w:type="dxa"/>
              <w:bottom w:w="30" w:type="dxa"/>
              <w:right w:w="120" w:type="dxa"/>
            </w:tcMar>
          </w:tcPr>
          <w:p w14:paraId="3E9E229E">
            <w:pPr>
              <w:spacing w:before="120" w:after="120" w:line="288" w:lineRule="auto"/>
              <w:ind w:left="0"/>
              <w:jc w:val="left"/>
            </w:pPr>
            <w:r>
              <w:rPr>
                <w:rFonts w:ascii="Arial" w:hAnsi="Arial" w:eastAsia="等线" w:cs="Arial"/>
                <w:sz w:val="22"/>
              </w:rPr>
              <w:t>无法接收或支出资金[10]</w:t>
            </w:r>
          </w:p>
        </w:tc>
      </w:tr>
    </w:tbl>
    <w:p w14:paraId="16D0BE08">
      <w:pPr>
        <w:spacing w:before="120" w:after="120" w:line="288" w:lineRule="auto"/>
        <w:ind w:left="0" w:firstLine="420"/>
        <w:jc w:val="left"/>
      </w:pPr>
      <w:r>
        <w:rPr>
          <w:rFonts w:ascii="Arial" w:hAnsi="Arial" w:eastAsia="等线" w:cs="Arial"/>
          <w:sz w:val="22"/>
        </w:rPr>
        <w:t>开源联合体（OSC）是典型案例，专门服务于软件项目，收取10%的费用以承担筹款和合规相关的运营工作[4,11]。若托管方收取此类费用，Open Collective 通常会从托管方收入中抽取15%作为平台分成[7]。这种结构化收费模式为开发者往往感到棘手的非工程类工作（如税务申报和跨境支付合规）提供了资金支持。</w:t>
      </w:r>
    </w:p>
    <w:p w14:paraId="1DD839F7">
      <w:pPr>
        <w:spacing w:before="300" w:after="120" w:line="288" w:lineRule="auto"/>
        <w:ind w:left="0"/>
        <w:jc w:val="left"/>
        <w:outlineLvl w:val="2"/>
      </w:pPr>
      <w:bookmarkStart w:id="2" w:name="heading_2"/>
      <w:r>
        <w:rPr>
          <w:rFonts w:ascii="Arial" w:hAnsi="Arial" w:eastAsia="等线" w:cs="Arial"/>
          <w:b/>
          <w:sz w:val="30"/>
        </w:rPr>
        <w:t>（二）GitHub Sponsors 的集成生态模式</w:t>
      </w:r>
      <w:bookmarkEnd w:id="2"/>
    </w:p>
    <w:p w14:paraId="253EA8C7">
      <w:pPr>
        <w:spacing w:before="120" w:after="120" w:line="288" w:lineRule="auto"/>
        <w:ind w:left="0" w:firstLine="420"/>
        <w:jc w:val="left"/>
      </w:pPr>
      <w:r>
        <w:rPr>
          <w:rFonts w:ascii="Arial" w:hAnsi="Arial" w:eastAsia="等线" w:cs="Arial"/>
          <w:sz w:val="22"/>
        </w:rPr>
        <w:t>GitHub Sponsors 于2019年推出，通过将资金支持直接集成到现有开发者工作流中，实现了不同维度的有效性[12,13]。其核心策略是降低“捐赠摩擦”——由于大多数开源开发在 GitHub 上进行，平台利用星标（stars）、分支（forks）和个人主页曝光度带来的社交网络效应推动捐款[13,14]。</w:t>
      </w:r>
    </w:p>
    <w:p w14:paraId="7A164406">
      <w:pPr>
        <w:spacing w:before="120" w:after="120" w:line="288" w:lineRule="auto"/>
        <w:ind w:left="0" w:firstLine="420"/>
        <w:jc w:val="left"/>
      </w:pPr>
      <w:r>
        <w:rPr>
          <w:rFonts w:ascii="Arial" w:hAnsi="Arial" w:eastAsia="等线" w:cs="Arial"/>
          <w:sz w:val="22"/>
        </w:rPr>
        <w:t>GitHub Sponsors 对个人维护者的有效性尤为突出：个人账户的赞助无需支付任何平台费用，确保除最低支付处理费外，100%的资金直接流向开发者[13,15]。针对企业捐赠者，GitHub 提供“发票结算”服务，允许微软等大型企业通过单一交易和合并发票为其依赖的开源项目提供资金[13,14]。这种专业化结算服务是降低企业投资依赖开源库的行政壁垒的关键[13]。</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B554F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3028F92">
            <w:pPr>
              <w:spacing w:before="120" w:after="120" w:line="288" w:lineRule="auto"/>
              <w:ind w:left="0"/>
              <w:jc w:val="left"/>
            </w:pPr>
            <w:r>
              <w:rPr>
                <w:rFonts w:ascii="Arial" w:hAnsi="Arial" w:eastAsia="等线" w:cs="Arial"/>
                <w:sz w:val="22"/>
              </w:rPr>
              <w:t>功能</w:t>
            </w:r>
          </w:p>
        </w:tc>
        <w:tc>
          <w:tcPr>
            <w:tcW w:w="2760" w:type="dxa"/>
            <w:tcMar>
              <w:top w:w="60" w:type="dxa"/>
              <w:left w:w="120" w:type="dxa"/>
              <w:bottom w:w="30" w:type="dxa"/>
              <w:right w:w="120" w:type="dxa"/>
            </w:tcMar>
          </w:tcPr>
          <w:p w14:paraId="6AEE476A">
            <w:pPr>
              <w:spacing w:before="120" w:after="120" w:line="288" w:lineRule="auto"/>
              <w:ind w:left="0"/>
              <w:jc w:val="left"/>
            </w:pPr>
            <w:r>
              <w:rPr>
                <w:rFonts w:ascii="Arial" w:hAnsi="Arial" w:eastAsia="等线" w:cs="Arial"/>
                <w:sz w:val="22"/>
              </w:rPr>
              <w:t>GitHub Sponsors 机制</w:t>
            </w:r>
          </w:p>
        </w:tc>
        <w:tc>
          <w:tcPr>
            <w:tcW w:w="2760" w:type="dxa"/>
            <w:tcMar>
              <w:top w:w="60" w:type="dxa"/>
              <w:left w:w="120" w:type="dxa"/>
              <w:bottom w:w="30" w:type="dxa"/>
              <w:right w:w="120" w:type="dxa"/>
            </w:tcMar>
          </w:tcPr>
          <w:p w14:paraId="70ADAAB1">
            <w:pPr>
              <w:spacing w:before="120" w:after="120" w:line="288" w:lineRule="auto"/>
              <w:ind w:left="0"/>
              <w:jc w:val="left"/>
            </w:pPr>
            <w:r>
              <w:rPr>
                <w:rFonts w:ascii="Arial" w:hAnsi="Arial" w:eastAsia="等线" w:cs="Arial"/>
                <w:sz w:val="22"/>
              </w:rPr>
              <w:t>对有效性的影响</w:t>
            </w:r>
          </w:p>
        </w:tc>
      </w:tr>
      <w:tr w14:paraId="76B27D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38BAC93">
            <w:pPr>
              <w:spacing w:before="120" w:after="120" w:line="288" w:lineRule="auto"/>
              <w:ind w:left="0"/>
              <w:jc w:val="left"/>
            </w:pPr>
            <w:r>
              <w:rPr>
                <w:rFonts w:ascii="Arial" w:hAnsi="Arial" w:eastAsia="等线" w:cs="Arial"/>
                <w:sz w:val="22"/>
              </w:rPr>
              <w:t>社交集成</w:t>
            </w:r>
          </w:p>
        </w:tc>
        <w:tc>
          <w:tcPr>
            <w:tcW w:w="2760" w:type="dxa"/>
            <w:tcMar>
              <w:top w:w="60" w:type="dxa"/>
              <w:left w:w="120" w:type="dxa"/>
              <w:bottom w:w="30" w:type="dxa"/>
              <w:right w:w="120" w:type="dxa"/>
            </w:tcMar>
          </w:tcPr>
          <w:p w14:paraId="6DC5D6A7">
            <w:pPr>
              <w:spacing w:before="120" w:after="120" w:line="288" w:lineRule="auto"/>
              <w:ind w:left="0"/>
              <w:jc w:val="left"/>
            </w:pPr>
            <w:r>
              <w:rPr>
                <w:rFonts w:ascii="Arial" w:hAnsi="Arial" w:eastAsia="等线" w:cs="Arial"/>
                <w:sz w:val="22"/>
              </w:rPr>
              <w:t>代码仓库和个人主页中的赞助按钮</w:t>
            </w:r>
          </w:p>
        </w:tc>
        <w:tc>
          <w:tcPr>
            <w:tcW w:w="2760" w:type="dxa"/>
            <w:tcMar>
              <w:top w:w="60" w:type="dxa"/>
              <w:left w:w="120" w:type="dxa"/>
              <w:bottom w:w="30" w:type="dxa"/>
              <w:right w:w="120" w:type="dxa"/>
            </w:tcMar>
          </w:tcPr>
          <w:p w14:paraId="09983FBF">
            <w:pPr>
              <w:spacing w:before="120" w:after="120" w:line="288" w:lineRule="auto"/>
              <w:ind w:left="0"/>
              <w:jc w:val="left"/>
            </w:pPr>
            <w:r>
              <w:rPr>
                <w:rFonts w:ascii="Arial" w:hAnsi="Arial" w:eastAsia="等线" w:cs="Arial"/>
                <w:sz w:val="22"/>
              </w:rPr>
              <w:t>在工作流内提高曝光度和转化效率[14]</w:t>
            </w:r>
          </w:p>
        </w:tc>
      </w:tr>
      <w:tr w14:paraId="53D3A8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DAE3237">
            <w:pPr>
              <w:spacing w:before="120" w:after="120" w:line="288" w:lineRule="auto"/>
              <w:ind w:left="0"/>
              <w:jc w:val="left"/>
            </w:pPr>
            <w:r>
              <w:rPr>
                <w:rFonts w:ascii="Arial" w:hAnsi="Arial" w:eastAsia="等线" w:cs="Arial"/>
                <w:sz w:val="22"/>
              </w:rPr>
              <w:t>批量赞助</w:t>
            </w:r>
          </w:p>
        </w:tc>
        <w:tc>
          <w:tcPr>
            <w:tcW w:w="2760" w:type="dxa"/>
            <w:tcMar>
              <w:top w:w="60" w:type="dxa"/>
              <w:left w:w="120" w:type="dxa"/>
              <w:bottom w:w="30" w:type="dxa"/>
              <w:right w:w="120" w:type="dxa"/>
            </w:tcMar>
          </w:tcPr>
          <w:p w14:paraId="67A9B4B9">
            <w:pPr>
              <w:spacing w:before="120" w:after="120" w:line="288" w:lineRule="auto"/>
              <w:ind w:left="0"/>
              <w:jc w:val="left"/>
            </w:pPr>
            <w:r>
              <w:rPr>
                <w:rFonts w:ascii="Arial" w:hAnsi="Arial" w:eastAsia="等线" w:cs="Arial"/>
                <w:sz w:val="22"/>
              </w:rPr>
              <w:t>支持通过CSV上传为多个依赖项目提供资金</w:t>
            </w:r>
          </w:p>
        </w:tc>
        <w:tc>
          <w:tcPr>
            <w:tcW w:w="2760" w:type="dxa"/>
            <w:tcMar>
              <w:top w:w="60" w:type="dxa"/>
              <w:left w:w="120" w:type="dxa"/>
              <w:bottom w:w="30" w:type="dxa"/>
              <w:right w:w="120" w:type="dxa"/>
            </w:tcMar>
          </w:tcPr>
          <w:p w14:paraId="375F86E9">
            <w:pPr>
              <w:spacing w:before="120" w:after="120" w:line="288" w:lineRule="auto"/>
              <w:ind w:left="0"/>
              <w:jc w:val="left"/>
            </w:pPr>
            <w:r>
              <w:rPr>
                <w:rFonts w:ascii="Arial" w:hAnsi="Arial" w:eastAsia="等线" w:cs="Arial"/>
                <w:sz w:val="22"/>
              </w:rPr>
              <w:t>减少企业采购的行政时间[13]</w:t>
            </w:r>
          </w:p>
        </w:tc>
      </w:tr>
      <w:tr w14:paraId="7763DE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BA23444">
            <w:pPr>
              <w:spacing w:before="120" w:after="120" w:line="288" w:lineRule="auto"/>
              <w:ind w:left="0"/>
              <w:jc w:val="left"/>
            </w:pPr>
            <w:r>
              <w:rPr>
                <w:rFonts w:ascii="Arial" w:hAnsi="Arial" w:eastAsia="等线" w:cs="Arial"/>
                <w:sz w:val="22"/>
              </w:rPr>
              <w:t>零平台费用</w:t>
            </w:r>
          </w:p>
        </w:tc>
        <w:tc>
          <w:tcPr>
            <w:tcW w:w="2760" w:type="dxa"/>
            <w:tcMar>
              <w:top w:w="60" w:type="dxa"/>
              <w:left w:w="120" w:type="dxa"/>
              <w:bottom w:w="30" w:type="dxa"/>
              <w:right w:w="120" w:type="dxa"/>
            </w:tcMar>
          </w:tcPr>
          <w:p w14:paraId="1871A586">
            <w:pPr>
              <w:spacing w:before="120" w:after="120" w:line="288" w:lineRule="auto"/>
              <w:ind w:left="0"/>
              <w:jc w:val="left"/>
            </w:pPr>
            <w:r>
              <w:rPr>
                <w:rFonts w:ascii="Arial" w:hAnsi="Arial" w:eastAsia="等线" w:cs="Arial"/>
                <w:sz w:val="22"/>
              </w:rPr>
              <w:t>个人账户赞助收取0%平台费</w:t>
            </w:r>
          </w:p>
        </w:tc>
        <w:tc>
          <w:tcPr>
            <w:tcW w:w="2760" w:type="dxa"/>
            <w:tcMar>
              <w:top w:w="60" w:type="dxa"/>
              <w:left w:w="120" w:type="dxa"/>
              <w:bottom w:w="30" w:type="dxa"/>
              <w:right w:w="120" w:type="dxa"/>
            </w:tcMar>
          </w:tcPr>
          <w:p w14:paraId="1C3CC8D2">
            <w:pPr>
              <w:spacing w:before="120" w:after="120" w:line="288" w:lineRule="auto"/>
              <w:ind w:left="0"/>
              <w:jc w:val="left"/>
            </w:pPr>
            <w:r>
              <w:rPr>
                <w:rFonts w:ascii="Arial" w:hAnsi="Arial" w:eastAsia="等线" w:cs="Arial"/>
                <w:sz w:val="22"/>
              </w:rPr>
              <w:t>最大化资金向维护者的转移[13]</w:t>
            </w:r>
          </w:p>
        </w:tc>
      </w:tr>
      <w:tr w14:paraId="0747A8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649CA6C">
            <w:pPr>
              <w:spacing w:before="120" w:after="120" w:line="288" w:lineRule="auto"/>
              <w:ind w:left="0"/>
              <w:jc w:val="left"/>
            </w:pPr>
            <w:r>
              <w:rPr>
                <w:rFonts w:ascii="Arial" w:hAnsi="Arial" w:eastAsia="等线" w:cs="Arial"/>
                <w:sz w:val="22"/>
              </w:rPr>
              <w:t>发票结算</w:t>
            </w:r>
          </w:p>
        </w:tc>
        <w:tc>
          <w:tcPr>
            <w:tcW w:w="2760" w:type="dxa"/>
            <w:tcMar>
              <w:top w:w="60" w:type="dxa"/>
              <w:left w:w="120" w:type="dxa"/>
              <w:bottom w:w="30" w:type="dxa"/>
              <w:right w:w="120" w:type="dxa"/>
            </w:tcMar>
          </w:tcPr>
          <w:p w14:paraId="17C21F24">
            <w:pPr>
              <w:spacing w:before="120" w:after="120" w:line="288" w:lineRule="auto"/>
              <w:ind w:left="0"/>
              <w:jc w:val="left"/>
            </w:pPr>
            <w:r>
              <w:rPr>
                <w:rFonts w:ascii="Arial" w:hAnsi="Arial" w:eastAsia="等线" w:cs="Arial"/>
                <w:sz w:val="22"/>
              </w:rPr>
              <w:t>为组织提供合并结算（最低5000美元）</w:t>
            </w:r>
          </w:p>
        </w:tc>
        <w:tc>
          <w:tcPr>
            <w:tcW w:w="2760" w:type="dxa"/>
            <w:tcMar>
              <w:top w:w="60" w:type="dxa"/>
              <w:left w:w="120" w:type="dxa"/>
              <w:bottom w:w="30" w:type="dxa"/>
              <w:right w:w="120" w:type="dxa"/>
            </w:tcMar>
          </w:tcPr>
          <w:p w14:paraId="20821D49">
            <w:pPr>
              <w:spacing w:before="120" w:after="120" w:line="288" w:lineRule="auto"/>
              <w:ind w:left="0"/>
              <w:jc w:val="left"/>
            </w:pPr>
            <w:r>
              <w:rPr>
                <w:rFonts w:ascii="Arial" w:hAnsi="Arial" w:eastAsia="等线" w:cs="Arial"/>
                <w:sz w:val="22"/>
              </w:rPr>
              <w:t>与企业会计周期对齐[13]</w:t>
            </w:r>
          </w:p>
        </w:tc>
      </w:tr>
    </w:tbl>
    <w:p w14:paraId="1B1B59B6">
      <w:pPr>
        <w:spacing w:before="320" w:after="120" w:line="288" w:lineRule="auto"/>
        <w:ind w:left="0"/>
        <w:jc w:val="left"/>
        <w:outlineLvl w:val="1"/>
      </w:pPr>
      <w:bookmarkStart w:id="3" w:name="heading_3"/>
      <w:r>
        <w:rPr>
          <w:rFonts w:ascii="Arial" w:hAnsi="Arial" w:eastAsia="等线" w:cs="Arial"/>
          <w:b/>
          <w:sz w:val="32"/>
        </w:rPr>
        <w:t>二、捐赠者动态与项目指标的定量评估</w:t>
      </w:r>
      <w:bookmarkEnd w:id="3"/>
    </w:p>
    <w:p w14:paraId="11941C01">
      <w:pPr>
        <w:spacing w:before="120" w:after="120" w:line="288" w:lineRule="auto"/>
        <w:ind w:left="0" w:firstLine="420"/>
        <w:jc w:val="left"/>
      </w:pPr>
      <w:r>
        <w:rPr>
          <w:rFonts w:ascii="Arial" w:hAnsi="Arial" w:eastAsia="等线" w:cs="Arial"/>
          <w:sz w:val="22"/>
        </w:rPr>
        <w:t>平台的有效性通常取决于其吸引资金的稳定性和“粘性”。对 Open Collective 项目的实证研究揭示了不同类型捐赠者与开源项目互动的复杂图景[16]。</w:t>
      </w:r>
    </w:p>
    <w:p w14:paraId="4F2D08E4">
      <w:pPr>
        <w:spacing w:before="300" w:after="120" w:line="288" w:lineRule="auto"/>
        <w:ind w:left="0"/>
        <w:jc w:val="left"/>
        <w:outlineLvl w:val="2"/>
      </w:pPr>
      <w:bookmarkStart w:id="4" w:name="heading_4"/>
      <w:r>
        <w:rPr>
          <w:rFonts w:ascii="Arial" w:hAnsi="Arial" w:eastAsia="等线" w:cs="Arial"/>
          <w:b/>
          <w:sz w:val="30"/>
        </w:rPr>
        <w:t>（一）企业与个人捐赠者行为对比</w:t>
      </w:r>
      <w:bookmarkEnd w:id="4"/>
    </w:p>
    <w:p w14:paraId="0D902DD0">
      <w:pPr>
        <w:spacing w:before="120" w:after="120" w:line="288" w:lineRule="auto"/>
        <w:ind w:left="0" w:firstLine="420"/>
        <w:jc w:val="left"/>
      </w:pPr>
      <w:r>
        <w:rPr>
          <w:rFonts w:ascii="Arial" w:hAnsi="Arial" w:eastAsia="等线" w:cs="Arial"/>
          <w:sz w:val="22"/>
        </w:rPr>
        <w:t>研究表明，企业与个人捐赠者的捐赠模式和留存率存在显著差异：企业单次捐赠金额更高（中位数25美元，个人为5美元）[16]，但捐赠总额往往由个人捐赠者主导。在许多联合体中，个人捐赠者的总捐赠额（中位数833美元）超过企业捐赠者（中位数550美元），这主要是因为个人捐赠者数量远超企业（每个项目中位数14名个人捐赠者，企业仅3家）[16]。</w:t>
      </w:r>
    </w:p>
    <w:p w14:paraId="2848E224">
      <w:pPr>
        <w:spacing w:before="120" w:after="120" w:line="288" w:lineRule="auto"/>
        <w:ind w:left="0" w:firstLine="420"/>
        <w:jc w:val="left"/>
      </w:pPr>
      <w:r>
        <w:rPr>
          <w:rFonts w:ascii="Arial" w:hAnsi="Arial" w:eastAsia="等线" w:cs="Arial"/>
          <w:sz w:val="22"/>
        </w:rPr>
        <w:t>关键在于，个人捐赠者表现出更高的“粘性”，即更倾向于长期重复捐赠同一项目。个人捐赠者的中位数粘性值为0.60，而企业仅为0.33[16]。这表明，尽管企业资金能为重大里程碑提供大额注入，但项目的长期可持续性往往依赖于广泛且稳定的个人支持者基础。</w:t>
      </w:r>
    </w:p>
    <w:p w14:paraId="2EB8F0B0">
      <w:pPr>
        <w:spacing w:before="300" w:after="120" w:line="288" w:lineRule="auto"/>
        <w:ind w:left="0"/>
        <w:jc w:val="left"/>
        <w:outlineLvl w:val="2"/>
      </w:pPr>
      <w:bookmarkStart w:id="5" w:name="heading_5"/>
      <w:r>
        <w:rPr>
          <w:rFonts w:ascii="Arial" w:hAnsi="Arial" w:eastAsia="等线" w:cs="Arial"/>
          <w:b/>
          <w:sz w:val="30"/>
        </w:rPr>
        <w:t>（二）活动水平与财务激励</w:t>
      </w:r>
      <w:bookmarkEnd w:id="5"/>
    </w:p>
    <w:p w14:paraId="2E68E5B3">
      <w:pPr>
        <w:spacing w:before="120" w:after="120" w:line="288" w:lineRule="auto"/>
        <w:ind w:left="0" w:firstLine="420"/>
        <w:jc w:val="left"/>
      </w:pPr>
      <w:r>
        <w:rPr>
          <w:rFonts w:ascii="Arial" w:hAnsi="Arial" w:eastAsia="等线" w:cs="Arial"/>
          <w:sz w:val="22"/>
        </w:rPr>
        <w:t>资金与开发者活动之间的关系是衡量平台有效性的关键指标。研究发现，获得赞助的开发者通常比未获得赞助的同行更活跃[17,18]。在 Open Collective 上，月捐赠金额与社区活跃度和维护活动水平呈正相关，尤其是在主要由企业支持的项目中[16]。</w:t>
      </w:r>
    </w:p>
    <w:p w14:paraId="7750CD94">
      <w:pPr>
        <w:spacing w:before="120" w:after="120" w:line="288" w:lineRule="auto"/>
        <w:ind w:left="0" w:firstLine="420"/>
        <w:jc w:val="left"/>
      </w:pPr>
      <w:r>
        <w:rPr>
          <w:rFonts w:ascii="Arial" w:hAnsi="Arial" w:eastAsia="等线" w:cs="Arial"/>
          <w:sz w:val="22"/>
        </w:rPr>
        <w:t>然而，获得大量资金需要一定的知名度门槛：项目通常需具备极高人气（如拥有超过9000条问题报告或强大的企业支持），才能获得超过1万美元的大额资金[16]。这凸显了一个核心矛盾：尽管平台旨在维持生态系统，但捐赠的市场驱动性质往往更青睐已成名的“明星”项目。</w:t>
      </w:r>
    </w:p>
    <w:p w14:paraId="022A56C3">
      <w:pPr>
        <w:spacing w:before="320" w:after="120" w:line="288" w:lineRule="auto"/>
        <w:ind w:left="0"/>
        <w:jc w:val="left"/>
        <w:outlineLvl w:val="1"/>
      </w:pPr>
      <w:bookmarkStart w:id="6" w:name="heading_6"/>
      <w:r>
        <w:rPr>
          <w:rFonts w:ascii="Arial" w:hAnsi="Arial" w:eastAsia="等线" w:cs="Arial"/>
          <w:b/>
          <w:sz w:val="32"/>
        </w:rPr>
        <w:t>三、马太效应与结构性不平等</w:t>
      </w:r>
      <w:bookmarkEnd w:id="6"/>
    </w:p>
    <w:p w14:paraId="0FB106AF">
      <w:pPr>
        <w:spacing w:before="120" w:after="120" w:line="288" w:lineRule="auto"/>
        <w:ind w:left="0" w:firstLine="420"/>
        <w:jc w:val="left"/>
      </w:pPr>
      <w:r>
        <w:rPr>
          <w:rFonts w:ascii="Arial" w:hAnsi="Arial" w:eastAsia="等线" w:cs="Arial"/>
          <w:sz w:val="22"/>
        </w:rPr>
        <w:t>评估传统平台有效性的一大显著挑战是“马太效应”（累积优势）——即“富者愈富”的趋势[19,20]。在开源资金领域，这指早期成功会增加未来成功概率的自我强化机制[20,21]。</w:t>
      </w:r>
    </w:p>
    <w:p w14:paraId="28D9E061">
      <w:pPr>
        <w:spacing w:before="300" w:after="120" w:line="288" w:lineRule="auto"/>
        <w:ind w:left="0"/>
        <w:jc w:val="left"/>
        <w:outlineLvl w:val="2"/>
      </w:pPr>
      <w:bookmarkStart w:id="7" w:name="heading_7"/>
      <w:r>
        <w:rPr>
          <w:rFonts w:ascii="Arial" w:hAnsi="Arial" w:eastAsia="等线" w:cs="Arial"/>
          <w:b/>
          <w:sz w:val="30"/>
        </w:rPr>
        <w:t>（一）优先连接与网络幂律分布</w:t>
      </w:r>
      <w:bookmarkEnd w:id="7"/>
    </w:p>
    <w:p w14:paraId="2E2F07E2">
      <w:pPr>
        <w:spacing w:before="120" w:after="120" w:line="288" w:lineRule="auto"/>
        <w:ind w:left="0" w:firstLine="420"/>
        <w:jc w:val="left"/>
      </w:pPr>
      <w:r>
        <w:rPr>
          <w:rFonts w:ascii="Arial" w:hAnsi="Arial" w:eastAsia="等线" w:cs="Arial"/>
          <w:sz w:val="22"/>
        </w:rPr>
        <w:t>马太效应与网络科学中的“优先连接”概念密切相关：已拥有大量连接（星标、追随者或现有赞助者）的节点（项目），比连接较少的节点更有可能以更快速度获得新连接[19,20]。这导致了幂律分布——少数项目吸引了绝大多数资金[20]。</w:t>
      </w:r>
    </w:p>
    <w:p w14:paraId="14EF5792">
      <w:pPr>
        <w:spacing w:before="120" w:after="120" w:line="288" w:lineRule="auto"/>
        <w:ind w:left="0" w:firstLine="420"/>
        <w:jc w:val="left"/>
      </w:pPr>
      <w:r>
        <w:rPr>
          <w:rFonts w:ascii="Arial" w:hAnsi="Arial" w:eastAsia="等线" w:cs="Arial"/>
          <w:sz w:val="22"/>
        </w:rPr>
        <w:t>在对学术资金（与开源资助具有相似动态的领域）的研究中发现，刚好达到资助门槛的获胜者，在后续几年获得的资金是刚好未达门槛的失败者的两倍多，尽管两者的评审分数几乎相同[20,21]。这种“日益扩大的鸿沟”表明，获得资助或赞助本身就是一种资产，向未来支持者传递质量信号，而无论实际技术产出如何[21]。</w:t>
      </w:r>
    </w:p>
    <w:p w14:paraId="3E44DCC1">
      <w:pPr>
        <w:spacing w:before="300" w:after="120" w:line="288" w:lineRule="auto"/>
        <w:ind w:left="0"/>
        <w:jc w:val="left"/>
        <w:outlineLvl w:val="2"/>
      </w:pPr>
      <w:bookmarkStart w:id="8" w:name="heading_8"/>
      <w:r>
        <w:rPr>
          <w:rFonts w:ascii="Arial" w:hAnsi="Arial" w:eastAsia="等线" w:cs="Arial"/>
          <w:b/>
          <w:sz w:val="30"/>
        </w:rPr>
        <w:t>（二）衡量不平等的基尼系数</w:t>
      </w:r>
      <w:bookmarkEnd w:id="8"/>
    </w:p>
    <w:p w14:paraId="760437D5">
      <w:pPr>
        <w:spacing w:before="120" w:after="120" w:line="288" w:lineRule="auto"/>
        <w:ind w:left="0" w:firstLine="420"/>
        <w:jc w:val="left"/>
      </w:pPr>
      <w:r>
        <w:rPr>
          <w:rFonts w:ascii="Arial" w:hAnsi="Arial" w:eastAsia="等线" w:cs="Arial"/>
          <w:sz w:val="22"/>
        </w:rPr>
        <w:t>为量化这种差异，研究人员采用基尼系数（取值范围0-1，0代表完全平等，1代表完全不平等）[22]。许多数字平台的研究资金和收入基尼系数往往超过0.4，反映出极端集中的分布[23]。对于开源项目，捐赠分布的高基尼系数表明，尽管 GitHub Sponsors 等平台“民主化”了筹款渠道，但并未真正实现社区内的财富平等分配[22,24]。</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A8E52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F211557">
            <w:pPr>
              <w:spacing w:before="120" w:after="120" w:line="288" w:lineRule="auto"/>
              <w:ind w:left="0"/>
              <w:jc w:val="left"/>
            </w:pPr>
            <w:r>
              <w:rPr>
                <w:rFonts w:ascii="Arial" w:hAnsi="Arial" w:eastAsia="等线" w:cs="Arial"/>
                <w:sz w:val="22"/>
              </w:rPr>
              <w:t>不平等维度</w:t>
            </w:r>
          </w:p>
        </w:tc>
        <w:tc>
          <w:tcPr>
            <w:tcW w:w="2760" w:type="dxa"/>
            <w:tcMar>
              <w:top w:w="60" w:type="dxa"/>
              <w:left w:w="120" w:type="dxa"/>
              <w:bottom w:w="30" w:type="dxa"/>
              <w:right w:w="120" w:type="dxa"/>
            </w:tcMar>
          </w:tcPr>
          <w:p w14:paraId="005CDD50">
            <w:pPr>
              <w:spacing w:before="120" w:after="120" w:line="288" w:lineRule="auto"/>
              <w:ind w:left="0"/>
              <w:jc w:val="left"/>
            </w:pPr>
            <w:r>
              <w:rPr>
                <w:rFonts w:ascii="Arial" w:hAnsi="Arial" w:eastAsia="等线" w:cs="Arial"/>
                <w:sz w:val="22"/>
              </w:rPr>
              <w:t>机制</w:t>
            </w:r>
          </w:p>
        </w:tc>
        <w:tc>
          <w:tcPr>
            <w:tcW w:w="2760" w:type="dxa"/>
            <w:tcMar>
              <w:top w:w="60" w:type="dxa"/>
              <w:left w:w="120" w:type="dxa"/>
              <w:bottom w:w="30" w:type="dxa"/>
              <w:right w:w="120" w:type="dxa"/>
            </w:tcMar>
          </w:tcPr>
          <w:p w14:paraId="55EB7003">
            <w:pPr>
              <w:spacing w:before="120" w:after="120" w:line="288" w:lineRule="auto"/>
              <w:ind w:left="0"/>
              <w:jc w:val="left"/>
            </w:pPr>
            <w:r>
              <w:rPr>
                <w:rFonts w:ascii="Arial" w:hAnsi="Arial" w:eastAsia="等线" w:cs="Arial"/>
                <w:sz w:val="22"/>
              </w:rPr>
              <w:t>对可持续性的影响</w:t>
            </w:r>
          </w:p>
        </w:tc>
      </w:tr>
      <w:tr w14:paraId="15B801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0ECBBA4">
            <w:pPr>
              <w:spacing w:before="120" w:after="120" w:line="288" w:lineRule="auto"/>
              <w:ind w:left="0"/>
              <w:jc w:val="left"/>
            </w:pPr>
            <w:r>
              <w:rPr>
                <w:rFonts w:ascii="Arial" w:hAnsi="Arial" w:eastAsia="等线" w:cs="Arial"/>
                <w:sz w:val="22"/>
              </w:rPr>
              <w:t>声誉导向</w:t>
            </w:r>
          </w:p>
        </w:tc>
        <w:tc>
          <w:tcPr>
            <w:tcW w:w="2760" w:type="dxa"/>
            <w:tcMar>
              <w:top w:w="60" w:type="dxa"/>
              <w:left w:w="120" w:type="dxa"/>
              <w:bottom w:w="30" w:type="dxa"/>
              <w:right w:w="120" w:type="dxa"/>
            </w:tcMar>
          </w:tcPr>
          <w:p w14:paraId="21A23A8D">
            <w:pPr>
              <w:spacing w:before="120" w:after="120" w:line="288" w:lineRule="auto"/>
              <w:ind w:left="0"/>
              <w:jc w:val="left"/>
            </w:pPr>
            <w:r>
              <w:rPr>
                <w:rFonts w:ascii="Arial" w:hAnsi="Arial" w:eastAsia="等线" w:cs="Arial"/>
                <w:sz w:val="22"/>
              </w:rPr>
              <w:t>知名创作者吸引更多支持者</w:t>
            </w:r>
          </w:p>
        </w:tc>
        <w:tc>
          <w:tcPr>
            <w:tcW w:w="2760" w:type="dxa"/>
            <w:tcMar>
              <w:top w:w="60" w:type="dxa"/>
              <w:left w:w="120" w:type="dxa"/>
              <w:bottom w:w="30" w:type="dxa"/>
              <w:right w:w="120" w:type="dxa"/>
            </w:tcMar>
          </w:tcPr>
          <w:p w14:paraId="1D6A3DE4">
            <w:pPr>
              <w:spacing w:before="120" w:after="120" w:line="288" w:lineRule="auto"/>
              <w:ind w:left="0"/>
              <w:jc w:val="left"/>
            </w:pPr>
            <w:r>
              <w:rPr>
                <w:rFonts w:ascii="Arial" w:hAnsi="Arial" w:eastAsia="等线" w:cs="Arial"/>
                <w:sz w:val="22"/>
              </w:rPr>
              <w:t>知名度低但至关重要的开发者仍资金不足[25]</w:t>
            </w:r>
          </w:p>
        </w:tc>
      </w:tr>
      <w:tr w14:paraId="3A561C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ADC5F7F">
            <w:pPr>
              <w:spacing w:before="120" w:after="120" w:line="288" w:lineRule="auto"/>
              <w:ind w:left="0"/>
              <w:jc w:val="left"/>
            </w:pPr>
            <w:r>
              <w:rPr>
                <w:rFonts w:ascii="Arial" w:hAnsi="Arial" w:eastAsia="等线" w:cs="Arial"/>
                <w:sz w:val="22"/>
              </w:rPr>
              <w:t>地理因素</w:t>
            </w:r>
          </w:p>
        </w:tc>
        <w:tc>
          <w:tcPr>
            <w:tcW w:w="2760" w:type="dxa"/>
            <w:tcMar>
              <w:top w:w="60" w:type="dxa"/>
              <w:left w:w="120" w:type="dxa"/>
              <w:bottom w:w="30" w:type="dxa"/>
              <w:right w:w="120" w:type="dxa"/>
            </w:tcMar>
          </w:tcPr>
          <w:p w14:paraId="28F5E725">
            <w:pPr>
              <w:spacing w:before="120" w:after="120" w:line="288" w:lineRule="auto"/>
              <w:ind w:left="0"/>
              <w:jc w:val="left"/>
            </w:pPr>
            <w:r>
              <w:rPr>
                <w:rFonts w:ascii="Arial" w:hAnsi="Arial" w:eastAsia="等线" w:cs="Arial"/>
                <w:sz w:val="22"/>
              </w:rPr>
              <w:t>城市/发达地区受益更多</w:t>
            </w:r>
          </w:p>
        </w:tc>
        <w:tc>
          <w:tcPr>
            <w:tcW w:w="2760" w:type="dxa"/>
            <w:tcMar>
              <w:top w:w="60" w:type="dxa"/>
              <w:left w:w="120" w:type="dxa"/>
              <w:bottom w:w="30" w:type="dxa"/>
              <w:right w:w="120" w:type="dxa"/>
            </w:tcMar>
          </w:tcPr>
          <w:p w14:paraId="5CE47F67">
            <w:pPr>
              <w:spacing w:before="120" w:after="120" w:line="288" w:lineRule="auto"/>
              <w:ind w:left="0"/>
              <w:jc w:val="left"/>
            </w:pPr>
            <w:r>
              <w:rPr>
                <w:rFonts w:ascii="Arial" w:hAnsi="Arial" w:eastAsia="等线" w:cs="Arial"/>
                <w:sz w:val="22"/>
              </w:rPr>
              <w:t>农村或发展中地区的开发者面临结构性障碍[25,26]</w:t>
            </w:r>
          </w:p>
        </w:tc>
      </w:tr>
      <w:tr w14:paraId="2892A3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3110FB5">
            <w:pPr>
              <w:spacing w:before="120" w:after="120" w:line="288" w:lineRule="auto"/>
              <w:ind w:left="0"/>
              <w:jc w:val="left"/>
            </w:pPr>
            <w:r>
              <w:rPr>
                <w:rFonts w:ascii="Arial" w:hAnsi="Arial" w:eastAsia="等线" w:cs="Arial"/>
                <w:sz w:val="22"/>
              </w:rPr>
              <w:t>机构关联</w:t>
            </w:r>
          </w:p>
        </w:tc>
        <w:tc>
          <w:tcPr>
            <w:tcW w:w="2760" w:type="dxa"/>
            <w:tcMar>
              <w:top w:w="60" w:type="dxa"/>
              <w:left w:w="120" w:type="dxa"/>
              <w:bottom w:w="30" w:type="dxa"/>
              <w:right w:w="120" w:type="dxa"/>
            </w:tcMar>
          </w:tcPr>
          <w:p w14:paraId="459C41B9">
            <w:pPr>
              <w:spacing w:before="120" w:after="120" w:line="288" w:lineRule="auto"/>
              <w:ind w:left="0"/>
              <w:jc w:val="left"/>
            </w:pPr>
            <w:r>
              <w:rPr>
                <w:rFonts w:ascii="Arial" w:hAnsi="Arial" w:eastAsia="等线" w:cs="Arial"/>
                <w:sz w:val="22"/>
              </w:rPr>
              <w:t>与大型基金会关联可提升信任度</w:t>
            </w:r>
          </w:p>
        </w:tc>
        <w:tc>
          <w:tcPr>
            <w:tcW w:w="2760" w:type="dxa"/>
            <w:tcMar>
              <w:top w:w="60" w:type="dxa"/>
              <w:left w:w="120" w:type="dxa"/>
              <w:bottom w:w="30" w:type="dxa"/>
              <w:right w:w="120" w:type="dxa"/>
            </w:tcMar>
          </w:tcPr>
          <w:p w14:paraId="785E68F2">
            <w:pPr>
              <w:spacing w:before="120" w:after="120" w:line="288" w:lineRule="auto"/>
              <w:ind w:left="0"/>
              <w:jc w:val="left"/>
            </w:pPr>
            <w:r>
              <w:rPr>
                <w:rFonts w:ascii="Arial" w:hAnsi="Arial" w:eastAsia="等线" w:cs="Arial"/>
                <w:sz w:val="22"/>
              </w:rPr>
              <w:t>独立或“单人”维护者难以获得企业资金[25,27]</w:t>
            </w:r>
          </w:p>
        </w:tc>
      </w:tr>
      <w:tr w14:paraId="3C4AEC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73619A3">
            <w:pPr>
              <w:spacing w:before="120" w:after="120" w:line="288" w:lineRule="auto"/>
              <w:ind w:left="0"/>
              <w:jc w:val="left"/>
            </w:pPr>
            <w:r>
              <w:rPr>
                <w:rFonts w:ascii="Arial" w:hAnsi="Arial" w:eastAsia="等线" w:cs="Arial"/>
                <w:sz w:val="22"/>
              </w:rPr>
              <w:t>参与度</w:t>
            </w:r>
          </w:p>
        </w:tc>
        <w:tc>
          <w:tcPr>
            <w:tcW w:w="2760" w:type="dxa"/>
            <w:tcMar>
              <w:top w:w="60" w:type="dxa"/>
              <w:left w:w="120" w:type="dxa"/>
              <w:bottom w:w="30" w:type="dxa"/>
              <w:right w:w="120" w:type="dxa"/>
            </w:tcMar>
          </w:tcPr>
          <w:p w14:paraId="2C1FBB46">
            <w:pPr>
              <w:spacing w:before="120" w:after="120" w:line="288" w:lineRule="auto"/>
              <w:ind w:left="0"/>
              <w:jc w:val="left"/>
            </w:pPr>
            <w:r>
              <w:rPr>
                <w:rFonts w:ascii="Arial" w:hAnsi="Arial" w:eastAsia="等线" w:cs="Arial"/>
                <w:sz w:val="22"/>
              </w:rPr>
              <w:t>未获资助者停止争取资金</w:t>
            </w:r>
          </w:p>
        </w:tc>
        <w:tc>
          <w:tcPr>
            <w:tcW w:w="2760" w:type="dxa"/>
            <w:tcMar>
              <w:top w:w="60" w:type="dxa"/>
              <w:left w:w="120" w:type="dxa"/>
              <w:bottom w:w="30" w:type="dxa"/>
              <w:right w:w="120" w:type="dxa"/>
            </w:tcMar>
          </w:tcPr>
          <w:p w14:paraId="77ADFD97">
            <w:pPr>
              <w:spacing w:before="120" w:after="120" w:line="288" w:lineRule="auto"/>
              <w:ind w:left="0"/>
              <w:jc w:val="left"/>
            </w:pPr>
            <w:r>
              <w:rPr>
                <w:rFonts w:ascii="Arial" w:hAnsi="Arial" w:eastAsia="等线" w:cs="Arial"/>
                <w:sz w:val="22"/>
              </w:rPr>
              <w:t>导致项目放弃，增加关键人物风险[21,28]</w:t>
            </w:r>
          </w:p>
        </w:tc>
      </w:tr>
    </w:tbl>
    <w:p w14:paraId="46DCA5E3">
      <w:pPr>
        <w:spacing w:before="320" w:after="120" w:line="288" w:lineRule="auto"/>
        <w:ind w:left="0"/>
        <w:jc w:val="left"/>
        <w:outlineLvl w:val="1"/>
      </w:pPr>
      <w:bookmarkStart w:id="9" w:name="heading_9"/>
      <w:r>
        <w:rPr>
          <w:rFonts w:ascii="Arial" w:hAnsi="Arial" w:eastAsia="等线" w:cs="Arial"/>
          <w:b/>
          <w:sz w:val="32"/>
        </w:rPr>
        <w:t>四、安全红利：有偿维护与生态系统健康</w:t>
      </w:r>
      <w:bookmarkEnd w:id="9"/>
    </w:p>
    <w:p w14:paraId="4273521B">
      <w:pPr>
        <w:spacing w:before="120" w:after="120" w:line="288" w:lineRule="auto"/>
        <w:ind w:left="0" w:firstLine="420"/>
        <w:jc w:val="left"/>
      </w:pPr>
      <w:r>
        <w:rPr>
          <w:rFonts w:ascii="Arial" w:hAnsi="Arial" w:eastAsia="等线" w:cs="Arial"/>
          <w:sz w:val="22"/>
        </w:rPr>
        <w:t>资金平台的有效性日益通过其改善软件供应链安全性的能力来衡量。有充分证据表明，向维护者支付报酬能为整个生态系统带来更好的安全成果[2,29]。</w:t>
      </w:r>
    </w:p>
    <w:p w14:paraId="49758931">
      <w:pPr>
        <w:spacing w:before="300" w:after="120" w:line="288" w:lineRule="auto"/>
        <w:ind w:left="0"/>
        <w:jc w:val="left"/>
        <w:outlineLvl w:val="2"/>
      </w:pPr>
      <w:bookmarkStart w:id="10" w:name="heading_10"/>
      <w:r>
        <w:rPr>
          <w:rFonts w:ascii="Arial" w:hAnsi="Arial" w:eastAsia="等线" w:cs="Arial"/>
          <w:b/>
          <w:sz w:val="30"/>
        </w:rPr>
        <w:t>（一）安全实践的实施情况</w:t>
      </w:r>
      <w:bookmarkEnd w:id="10"/>
    </w:p>
    <w:p w14:paraId="046D7C56">
      <w:pPr>
        <w:spacing w:before="120" w:after="120" w:line="288" w:lineRule="auto"/>
        <w:ind w:left="0"/>
        <w:jc w:val="left"/>
      </w:pPr>
      <w:r>
        <w:rPr>
          <w:rFonts w:ascii="Arial" w:hAnsi="Arial" w:eastAsia="等线" w:cs="Arial"/>
          <w:sz w:val="22"/>
        </w:rPr>
        <w:t>根据《2024年 Tidelift 开源维护者状态报告》，有偿维护者比无偿爱好者更有可能实施关键的安全和维护实践[2]。这种“安全缺口”在多个关键指标上可量化体现：</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B3D31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959FCED">
            <w:pPr>
              <w:spacing w:before="120" w:after="120" w:line="288" w:lineRule="auto"/>
              <w:ind w:left="0"/>
              <w:jc w:val="left"/>
            </w:pPr>
            <w:r>
              <w:rPr>
                <w:rFonts w:ascii="Arial" w:hAnsi="Arial" w:eastAsia="等线" w:cs="Arial"/>
                <w:sz w:val="22"/>
              </w:rPr>
              <w:t>安全实践</w:t>
            </w:r>
          </w:p>
        </w:tc>
        <w:tc>
          <w:tcPr>
            <w:tcW w:w="2760" w:type="dxa"/>
            <w:tcMar>
              <w:top w:w="60" w:type="dxa"/>
              <w:left w:w="120" w:type="dxa"/>
              <w:bottom w:w="30" w:type="dxa"/>
              <w:right w:w="120" w:type="dxa"/>
            </w:tcMar>
          </w:tcPr>
          <w:p w14:paraId="51FEF098">
            <w:pPr>
              <w:spacing w:before="120" w:after="120" w:line="288" w:lineRule="auto"/>
              <w:ind w:left="0"/>
              <w:jc w:val="left"/>
            </w:pPr>
            <w:r>
              <w:rPr>
                <w:rFonts w:ascii="Arial" w:hAnsi="Arial" w:eastAsia="等线" w:cs="Arial"/>
                <w:sz w:val="22"/>
              </w:rPr>
              <w:t>有偿维护者（%）</w:t>
            </w:r>
          </w:p>
        </w:tc>
        <w:tc>
          <w:tcPr>
            <w:tcW w:w="2760" w:type="dxa"/>
            <w:tcMar>
              <w:top w:w="60" w:type="dxa"/>
              <w:left w:w="120" w:type="dxa"/>
              <w:bottom w:w="30" w:type="dxa"/>
              <w:right w:w="120" w:type="dxa"/>
            </w:tcMar>
          </w:tcPr>
          <w:p w14:paraId="201D95AF">
            <w:pPr>
              <w:spacing w:before="120" w:after="120" w:line="288" w:lineRule="auto"/>
              <w:ind w:left="0"/>
              <w:jc w:val="left"/>
            </w:pPr>
            <w:r>
              <w:rPr>
                <w:rFonts w:ascii="Arial" w:hAnsi="Arial" w:eastAsia="等线" w:cs="Arial"/>
                <w:sz w:val="22"/>
              </w:rPr>
              <w:t>无偿维护者（%）</w:t>
            </w:r>
          </w:p>
        </w:tc>
      </w:tr>
      <w:tr w14:paraId="15122C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EC82BFC">
            <w:pPr>
              <w:spacing w:before="120" w:after="120" w:line="288" w:lineRule="auto"/>
              <w:ind w:left="0"/>
              <w:jc w:val="left"/>
            </w:pPr>
            <w:r>
              <w:rPr>
                <w:rFonts w:ascii="Arial" w:hAnsi="Arial" w:eastAsia="等线" w:cs="Arial"/>
                <w:sz w:val="22"/>
              </w:rPr>
              <w:t>双因素认证</w:t>
            </w:r>
          </w:p>
        </w:tc>
        <w:tc>
          <w:tcPr>
            <w:tcW w:w="2760" w:type="dxa"/>
            <w:tcMar>
              <w:top w:w="60" w:type="dxa"/>
              <w:left w:w="120" w:type="dxa"/>
              <w:bottom w:w="30" w:type="dxa"/>
              <w:right w:w="120" w:type="dxa"/>
            </w:tcMar>
          </w:tcPr>
          <w:p w14:paraId="0EDE4D0C">
            <w:pPr>
              <w:spacing w:before="120" w:after="120" w:line="288" w:lineRule="auto"/>
              <w:ind w:left="0"/>
              <w:jc w:val="left"/>
            </w:pPr>
            <w:r>
              <w:rPr>
                <w:rFonts w:ascii="Arial" w:hAnsi="Arial" w:eastAsia="等线" w:cs="Arial"/>
                <w:sz w:val="22"/>
              </w:rPr>
              <w:t>76</w:t>
            </w:r>
          </w:p>
        </w:tc>
        <w:tc>
          <w:tcPr>
            <w:tcW w:w="2760" w:type="dxa"/>
            <w:tcMar>
              <w:top w:w="60" w:type="dxa"/>
              <w:left w:w="120" w:type="dxa"/>
              <w:bottom w:w="30" w:type="dxa"/>
              <w:right w:w="120" w:type="dxa"/>
            </w:tcMar>
          </w:tcPr>
          <w:p w14:paraId="1FAE2886">
            <w:pPr>
              <w:spacing w:before="120" w:after="120" w:line="288" w:lineRule="auto"/>
              <w:ind w:left="0"/>
              <w:jc w:val="left"/>
            </w:pPr>
            <w:r>
              <w:rPr>
                <w:rFonts w:ascii="Arial" w:hAnsi="Arial" w:eastAsia="等线" w:cs="Arial"/>
                <w:sz w:val="22"/>
              </w:rPr>
              <w:t>68</w:t>
            </w:r>
          </w:p>
        </w:tc>
      </w:tr>
      <w:tr w14:paraId="1BD396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685876E">
            <w:pPr>
              <w:spacing w:before="120" w:after="120" w:line="288" w:lineRule="auto"/>
              <w:ind w:left="0"/>
              <w:jc w:val="left"/>
            </w:pPr>
            <w:r>
              <w:rPr>
                <w:rFonts w:ascii="Arial" w:hAnsi="Arial" w:eastAsia="等线" w:cs="Arial"/>
                <w:sz w:val="22"/>
              </w:rPr>
              <w:t>静态代码分析</w:t>
            </w:r>
          </w:p>
        </w:tc>
        <w:tc>
          <w:tcPr>
            <w:tcW w:w="2760" w:type="dxa"/>
            <w:tcMar>
              <w:top w:w="60" w:type="dxa"/>
              <w:left w:w="120" w:type="dxa"/>
              <w:bottom w:w="30" w:type="dxa"/>
              <w:right w:w="120" w:type="dxa"/>
            </w:tcMar>
          </w:tcPr>
          <w:p w14:paraId="0ADB5A58">
            <w:pPr>
              <w:spacing w:before="120" w:after="120" w:line="288" w:lineRule="auto"/>
              <w:ind w:left="0"/>
              <w:jc w:val="left"/>
            </w:pPr>
            <w:r>
              <w:rPr>
                <w:rFonts w:ascii="Arial" w:hAnsi="Arial" w:eastAsia="等线" w:cs="Arial"/>
                <w:sz w:val="22"/>
              </w:rPr>
              <w:t>75</w:t>
            </w:r>
          </w:p>
        </w:tc>
        <w:tc>
          <w:tcPr>
            <w:tcW w:w="2760" w:type="dxa"/>
            <w:tcMar>
              <w:top w:w="60" w:type="dxa"/>
              <w:left w:w="120" w:type="dxa"/>
              <w:bottom w:w="30" w:type="dxa"/>
              <w:right w:w="120" w:type="dxa"/>
            </w:tcMar>
          </w:tcPr>
          <w:p w14:paraId="6B90E906">
            <w:pPr>
              <w:spacing w:before="120" w:after="120" w:line="288" w:lineRule="auto"/>
              <w:ind w:left="0"/>
              <w:jc w:val="left"/>
            </w:pPr>
            <w:r>
              <w:rPr>
                <w:rFonts w:ascii="Arial" w:hAnsi="Arial" w:eastAsia="等线" w:cs="Arial"/>
                <w:sz w:val="22"/>
              </w:rPr>
              <w:t>59</w:t>
            </w:r>
          </w:p>
        </w:tc>
      </w:tr>
      <w:tr w14:paraId="69FA9A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2A8989E">
            <w:pPr>
              <w:spacing w:before="120" w:after="120" w:line="288" w:lineRule="auto"/>
              <w:ind w:left="0"/>
              <w:jc w:val="left"/>
            </w:pPr>
            <w:r>
              <w:rPr>
                <w:rFonts w:ascii="Arial" w:hAnsi="Arial" w:eastAsia="等线" w:cs="Arial"/>
                <w:sz w:val="22"/>
              </w:rPr>
              <w:t>漏洞修复</w:t>
            </w:r>
          </w:p>
        </w:tc>
        <w:tc>
          <w:tcPr>
            <w:tcW w:w="2760" w:type="dxa"/>
            <w:tcMar>
              <w:top w:w="60" w:type="dxa"/>
              <w:left w:w="120" w:type="dxa"/>
              <w:bottom w:w="30" w:type="dxa"/>
              <w:right w:w="120" w:type="dxa"/>
            </w:tcMar>
          </w:tcPr>
          <w:p w14:paraId="24EFC38D">
            <w:pPr>
              <w:spacing w:before="120" w:after="120" w:line="288" w:lineRule="auto"/>
              <w:ind w:left="0"/>
              <w:jc w:val="left"/>
            </w:pPr>
            <w:r>
              <w:rPr>
                <w:rFonts w:ascii="Arial" w:hAnsi="Arial" w:eastAsia="等线" w:cs="Arial"/>
                <w:sz w:val="22"/>
              </w:rPr>
              <w:t>70</w:t>
            </w:r>
          </w:p>
        </w:tc>
        <w:tc>
          <w:tcPr>
            <w:tcW w:w="2760" w:type="dxa"/>
            <w:tcMar>
              <w:top w:w="60" w:type="dxa"/>
              <w:left w:w="120" w:type="dxa"/>
              <w:bottom w:w="30" w:type="dxa"/>
              <w:right w:w="120" w:type="dxa"/>
            </w:tcMar>
          </w:tcPr>
          <w:p w14:paraId="6476D09E">
            <w:pPr>
              <w:spacing w:before="120" w:after="120" w:line="288" w:lineRule="auto"/>
              <w:ind w:left="0"/>
              <w:jc w:val="left"/>
            </w:pPr>
            <w:r>
              <w:rPr>
                <w:rFonts w:ascii="Arial" w:hAnsi="Arial" w:eastAsia="等线" w:cs="Arial"/>
                <w:sz w:val="22"/>
              </w:rPr>
              <w:t>54</w:t>
            </w:r>
          </w:p>
        </w:tc>
      </w:tr>
      <w:tr w14:paraId="60600A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57BE5F4">
            <w:pPr>
              <w:spacing w:before="120" w:after="120" w:line="288" w:lineRule="auto"/>
              <w:ind w:left="0"/>
              <w:jc w:val="left"/>
            </w:pPr>
            <w:r>
              <w:rPr>
                <w:rFonts w:ascii="Arial" w:hAnsi="Arial" w:eastAsia="等线" w:cs="Arial"/>
                <w:sz w:val="22"/>
              </w:rPr>
              <w:t>安全披露计划</w:t>
            </w:r>
          </w:p>
        </w:tc>
        <w:tc>
          <w:tcPr>
            <w:tcW w:w="2760" w:type="dxa"/>
            <w:tcMar>
              <w:top w:w="60" w:type="dxa"/>
              <w:left w:w="120" w:type="dxa"/>
              <w:bottom w:w="30" w:type="dxa"/>
              <w:right w:w="120" w:type="dxa"/>
            </w:tcMar>
          </w:tcPr>
          <w:p w14:paraId="599CB20A">
            <w:pPr>
              <w:spacing w:before="120" w:after="120" w:line="288" w:lineRule="auto"/>
              <w:ind w:left="0"/>
              <w:jc w:val="left"/>
            </w:pPr>
            <w:r>
              <w:rPr>
                <w:rFonts w:ascii="Arial" w:hAnsi="Arial" w:eastAsia="等线" w:cs="Arial"/>
                <w:sz w:val="22"/>
              </w:rPr>
              <w:t>66</w:t>
            </w:r>
          </w:p>
        </w:tc>
        <w:tc>
          <w:tcPr>
            <w:tcW w:w="2760" w:type="dxa"/>
            <w:tcMar>
              <w:top w:w="60" w:type="dxa"/>
              <w:left w:w="120" w:type="dxa"/>
              <w:bottom w:w="30" w:type="dxa"/>
              <w:right w:w="120" w:type="dxa"/>
            </w:tcMar>
          </w:tcPr>
          <w:p w14:paraId="58D56D65">
            <w:pPr>
              <w:spacing w:before="120" w:after="120" w:line="288" w:lineRule="auto"/>
              <w:ind w:left="0"/>
              <w:jc w:val="left"/>
            </w:pPr>
            <w:r>
              <w:rPr>
                <w:rFonts w:ascii="Arial" w:hAnsi="Arial" w:eastAsia="等线" w:cs="Arial"/>
                <w:sz w:val="22"/>
              </w:rPr>
              <w:t>43</w:t>
            </w:r>
          </w:p>
        </w:tc>
      </w:tr>
      <w:tr w14:paraId="0DE66D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1118254">
            <w:pPr>
              <w:spacing w:before="120" w:after="120" w:line="288" w:lineRule="auto"/>
              <w:ind w:left="0"/>
              <w:jc w:val="left"/>
            </w:pPr>
            <w:r>
              <w:rPr>
                <w:rFonts w:ascii="Arial" w:hAnsi="Arial" w:eastAsia="等线" w:cs="Arial"/>
                <w:sz w:val="22"/>
              </w:rPr>
              <w:t>密钥管理</w:t>
            </w:r>
          </w:p>
        </w:tc>
        <w:tc>
          <w:tcPr>
            <w:tcW w:w="2760" w:type="dxa"/>
            <w:tcMar>
              <w:top w:w="60" w:type="dxa"/>
              <w:left w:w="120" w:type="dxa"/>
              <w:bottom w:w="30" w:type="dxa"/>
              <w:right w:w="120" w:type="dxa"/>
            </w:tcMar>
          </w:tcPr>
          <w:p w14:paraId="6BF03664">
            <w:pPr>
              <w:spacing w:before="120" w:after="120" w:line="288" w:lineRule="auto"/>
              <w:ind w:left="0"/>
              <w:jc w:val="left"/>
            </w:pPr>
            <w:r>
              <w:rPr>
                <w:rFonts w:ascii="Arial" w:hAnsi="Arial" w:eastAsia="等线" w:cs="Arial"/>
                <w:sz w:val="22"/>
              </w:rPr>
              <w:t>58</w:t>
            </w:r>
          </w:p>
        </w:tc>
        <w:tc>
          <w:tcPr>
            <w:tcW w:w="2760" w:type="dxa"/>
            <w:tcMar>
              <w:top w:w="60" w:type="dxa"/>
              <w:left w:w="120" w:type="dxa"/>
              <w:bottom w:w="30" w:type="dxa"/>
              <w:right w:w="120" w:type="dxa"/>
            </w:tcMar>
          </w:tcPr>
          <w:p w14:paraId="243AC446">
            <w:pPr>
              <w:spacing w:before="120" w:after="120" w:line="288" w:lineRule="auto"/>
              <w:ind w:left="0"/>
              <w:jc w:val="left"/>
            </w:pPr>
            <w:r>
              <w:rPr>
                <w:rFonts w:ascii="Arial" w:hAnsi="Arial" w:eastAsia="等线" w:cs="Arial"/>
                <w:sz w:val="22"/>
              </w:rPr>
              <w:t>39</w:t>
            </w:r>
          </w:p>
        </w:tc>
      </w:tr>
      <w:tr w14:paraId="68EFCD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655A8CB">
            <w:pPr>
              <w:spacing w:before="120" w:after="120" w:line="288" w:lineRule="auto"/>
              <w:ind w:left="0"/>
              <w:jc w:val="left"/>
            </w:pPr>
            <w:r>
              <w:rPr>
                <w:rFonts w:ascii="Arial" w:hAnsi="Arial" w:eastAsia="等线" w:cs="Arial"/>
                <w:sz w:val="22"/>
              </w:rPr>
              <w:t>签名发布/溯源</w:t>
            </w:r>
          </w:p>
        </w:tc>
        <w:tc>
          <w:tcPr>
            <w:tcW w:w="2760" w:type="dxa"/>
            <w:tcMar>
              <w:top w:w="60" w:type="dxa"/>
              <w:left w:w="120" w:type="dxa"/>
              <w:bottom w:w="30" w:type="dxa"/>
              <w:right w:w="120" w:type="dxa"/>
            </w:tcMar>
          </w:tcPr>
          <w:p w14:paraId="041EF807">
            <w:pPr>
              <w:spacing w:before="120" w:after="120" w:line="288" w:lineRule="auto"/>
              <w:ind w:left="0"/>
              <w:jc w:val="left"/>
            </w:pPr>
            <w:r>
              <w:rPr>
                <w:rFonts w:ascii="Arial" w:hAnsi="Arial" w:eastAsia="等线" w:cs="Arial"/>
                <w:sz w:val="22"/>
              </w:rPr>
              <w:t>50</w:t>
            </w:r>
          </w:p>
        </w:tc>
        <w:tc>
          <w:tcPr>
            <w:tcW w:w="2760" w:type="dxa"/>
            <w:tcMar>
              <w:top w:w="60" w:type="dxa"/>
              <w:left w:w="120" w:type="dxa"/>
              <w:bottom w:w="30" w:type="dxa"/>
              <w:right w:w="120" w:type="dxa"/>
            </w:tcMar>
          </w:tcPr>
          <w:p w14:paraId="0B9C1E77">
            <w:pPr>
              <w:spacing w:before="120" w:after="120" w:line="288" w:lineRule="auto"/>
              <w:ind w:left="0"/>
              <w:jc w:val="left"/>
            </w:pPr>
            <w:r>
              <w:rPr>
                <w:rFonts w:ascii="Arial" w:hAnsi="Arial" w:eastAsia="等线" w:cs="Arial"/>
                <w:sz w:val="22"/>
              </w:rPr>
              <w:t>28</w:t>
            </w:r>
          </w:p>
        </w:tc>
      </w:tr>
    </w:tbl>
    <w:p w14:paraId="6074DD29">
      <w:pPr>
        <w:spacing w:before="120" w:after="120" w:line="288" w:lineRule="auto"/>
        <w:ind w:left="0"/>
        <w:jc w:val="left"/>
      </w:pPr>
      <w:r>
        <w:rPr>
          <w:rFonts w:ascii="Arial" w:hAnsi="Arial" w:eastAsia="等线" w:cs="Arial"/>
          <w:sz w:val="22"/>
        </w:rPr>
        <w:t>数据来源：Tidelift 2024年对437名维护者的调查[2,3]</w:t>
      </w:r>
    </w:p>
    <w:p w14:paraId="2CD82BEA">
      <w:pPr>
        <w:spacing w:before="120" w:after="120" w:line="288" w:lineRule="auto"/>
        <w:ind w:left="0" w:firstLine="420"/>
        <w:jc w:val="left"/>
      </w:pPr>
      <w:r>
        <w:rPr>
          <w:rFonts w:ascii="Arial" w:hAnsi="Arial" w:eastAsia="等线" w:cs="Arial"/>
          <w:sz w:val="22"/>
        </w:rPr>
        <w:t>研究结果表明，当维护者获得报酬时，他们能够从“创造性工作”转向繁琐但必要的维护和安全工作[30]。对企业而言，这意味着风险降低和运营效率提升：一项案例研究显示，向维护者支付报酬可为客户节省110万美元的组织时间，这些时间原本需用于需求研究和工程实施[29]。</w:t>
      </w:r>
    </w:p>
    <w:p w14:paraId="235F317C">
      <w:pPr>
        <w:spacing w:before="300" w:after="120" w:line="288" w:lineRule="auto"/>
        <w:ind w:left="0"/>
        <w:jc w:val="left"/>
        <w:outlineLvl w:val="2"/>
      </w:pPr>
      <w:bookmarkStart w:id="11" w:name="heading_11"/>
      <w:r>
        <w:rPr>
          <w:rFonts w:ascii="Arial" w:hAnsi="Arial" w:eastAsia="等线" w:cs="Arial"/>
          <w:b/>
          <w:sz w:val="30"/>
        </w:rPr>
        <w:t>（二）Burnout 与留存问题</w:t>
      </w:r>
      <w:bookmarkEnd w:id="11"/>
    </w:p>
    <w:p w14:paraId="64A1F4E1">
      <w:pPr>
        <w:spacing w:before="120" w:after="120" w:line="288" w:lineRule="auto"/>
        <w:ind w:left="0" w:firstLine="420"/>
        <w:jc w:val="left"/>
      </w:pPr>
      <w:r>
        <w:rPr>
          <w:rFonts w:ascii="Arial" w:hAnsi="Arial" w:eastAsia="等线" w:cs="Arial"/>
          <w:sz w:val="22"/>
        </w:rPr>
        <w:t>尽管存在这些优势，维护者 burnout 仍是重大威胁：58%的维护者曾考虑退出，22%已实际放弃某个项目[28,30]。缺乏经济回报是主要驱动因素——56%的维护者表示，为维护工作获得更多收入是防止他们退出的最有效方式[28]。在这一背景下，平台的有效性体现为能否提供足够稳定的收入流，将“爱好者驱动”的项目转变为专业维护的基础设施。</w:t>
      </w:r>
    </w:p>
    <w:p w14:paraId="4AC6A6A0">
      <w:pPr>
        <w:spacing w:before="320" w:after="120" w:line="288" w:lineRule="auto"/>
        <w:ind w:left="0"/>
        <w:jc w:val="left"/>
        <w:outlineLvl w:val="1"/>
      </w:pPr>
      <w:bookmarkStart w:id="12" w:name="heading_12"/>
      <w:r>
        <w:rPr>
          <w:rFonts w:ascii="Arial" w:hAnsi="Arial" w:eastAsia="等线" w:cs="Arial"/>
          <w:b/>
          <w:sz w:val="32"/>
        </w:rPr>
        <w:t>五、比较优势：维护者的平台选择</w:t>
      </w:r>
      <w:bookmarkEnd w:id="12"/>
    </w:p>
    <w:p w14:paraId="31B79C15">
      <w:pPr>
        <w:spacing w:before="120" w:after="120" w:line="288" w:lineRule="auto"/>
        <w:ind w:left="0" w:firstLine="420"/>
        <w:jc w:val="left"/>
      </w:pPr>
      <w:r>
        <w:rPr>
          <w:rFonts w:ascii="Arial" w:hAnsi="Arial" w:eastAsia="等线" w:cs="Arial"/>
          <w:sz w:val="22"/>
        </w:rPr>
        <w:t>对于研究这些平台的研究生而言，选择 Open Collective、GitHub Sponsors 还是新兴替代方案（如 Polar.sh），取决于项目的治理结构和财务需求。</w:t>
      </w:r>
    </w:p>
    <w:p w14:paraId="7C4C0DF0">
      <w:pPr>
        <w:spacing w:before="300" w:after="120" w:line="288" w:lineRule="auto"/>
        <w:ind w:left="0"/>
        <w:jc w:val="left"/>
        <w:outlineLvl w:val="2"/>
      </w:pPr>
      <w:bookmarkStart w:id="13" w:name="heading_13"/>
      <w:r>
        <w:rPr>
          <w:rFonts w:ascii="Arial" w:hAnsi="Arial" w:eastAsia="等线" w:cs="Arial"/>
          <w:b/>
          <w:sz w:val="30"/>
        </w:rPr>
        <w:t>（一）透明度与摩擦成本的权衡</w:t>
      </w:r>
      <w:bookmarkEnd w:id="13"/>
    </w:p>
    <w:p w14:paraId="1C79C5A1">
      <w:pPr>
        <w:spacing w:before="120" w:after="120" w:line="288" w:lineRule="auto"/>
        <w:ind w:left="0" w:firstLine="420"/>
        <w:jc w:val="left"/>
      </w:pPr>
      <w:r>
        <w:rPr>
          <w:rFonts w:ascii="Arial" w:hAnsi="Arial" w:eastAsia="等线" w:cs="Arial"/>
          <w:sz w:val="22"/>
        </w:rPr>
        <w:t>Open Collective 的突出优势是彻底的透明度和对协作资金的支持[31]，非常适合涉及多名贡献者、需要通过公共账簿向支持者展示资金流向的项目[9,32]。相反，GitHub Sponsors 因其与开发者现有个人主页的无缝集成及个人账户的零费用结构而备受青睐[15,31]。</w:t>
      </w:r>
    </w:p>
    <w:p w14:paraId="334953A6">
      <w:pPr>
        <w:spacing w:before="300" w:after="120" w:line="288" w:lineRule="auto"/>
        <w:ind w:left="0"/>
        <w:jc w:val="left"/>
        <w:outlineLvl w:val="2"/>
      </w:pPr>
      <w:bookmarkStart w:id="14" w:name="heading_14"/>
      <w:r>
        <w:rPr>
          <w:rFonts w:ascii="Arial" w:hAnsi="Arial" w:eastAsia="等线" w:cs="Arial"/>
          <w:b/>
          <w:sz w:val="30"/>
        </w:rPr>
        <w:t>（二）“记录商户”模式的兴起</w:t>
      </w:r>
      <w:bookmarkEnd w:id="14"/>
    </w:p>
    <w:p w14:paraId="57DB1570">
      <w:pPr>
        <w:spacing w:before="120" w:after="120" w:line="288" w:lineRule="auto"/>
        <w:ind w:left="0" w:firstLine="420"/>
        <w:jc w:val="left"/>
      </w:pPr>
      <w:r>
        <w:rPr>
          <w:rFonts w:ascii="Arial" w:hAnsi="Arial" w:eastAsia="等线" w:cs="Arial"/>
          <w:sz w:val="22"/>
        </w:rPr>
        <w:t>以 Polar.sh 为代表的新一代平台正转向“记录商户”（MoR）模式，以解决“税务难题”[33]。与仅提供工具而将税务合规责任留给开发者的 Stripe 不同，Polar.sh 开箱即支持欧盟增值税（VAT）合规和合规发票开具[33]。这种模式对希望销售“福利”或“赞助软件”（如付费下载或私有代码仓库访问权限）的“独立开发者”特别有吸引力，可避免陷入“法律困境”[33,34]。</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03E4C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4346B58">
            <w:pPr>
              <w:spacing w:before="120" w:after="120" w:line="288" w:lineRule="auto"/>
              <w:ind w:left="0"/>
              <w:jc w:val="left"/>
            </w:pPr>
            <w:r>
              <w:rPr>
                <w:rFonts w:ascii="Arial" w:hAnsi="Arial" w:eastAsia="等线" w:cs="Arial"/>
                <w:sz w:val="22"/>
              </w:rPr>
              <w:t>平台</w:t>
            </w:r>
          </w:p>
        </w:tc>
        <w:tc>
          <w:tcPr>
            <w:tcW w:w="2760" w:type="dxa"/>
            <w:tcMar>
              <w:top w:w="60" w:type="dxa"/>
              <w:left w:w="120" w:type="dxa"/>
              <w:bottom w:w="30" w:type="dxa"/>
              <w:right w:w="120" w:type="dxa"/>
            </w:tcMar>
          </w:tcPr>
          <w:p w14:paraId="65262CC1">
            <w:pPr>
              <w:spacing w:before="120" w:after="120" w:line="288" w:lineRule="auto"/>
              <w:ind w:left="0"/>
              <w:jc w:val="left"/>
            </w:pPr>
            <w:r>
              <w:rPr>
                <w:rFonts w:ascii="Arial" w:hAnsi="Arial" w:eastAsia="等线" w:cs="Arial"/>
                <w:sz w:val="22"/>
              </w:rPr>
              <w:t>核心理念</w:t>
            </w:r>
          </w:p>
        </w:tc>
        <w:tc>
          <w:tcPr>
            <w:tcW w:w="2760" w:type="dxa"/>
            <w:tcMar>
              <w:top w:w="60" w:type="dxa"/>
              <w:left w:w="120" w:type="dxa"/>
              <w:bottom w:w="30" w:type="dxa"/>
              <w:right w:w="120" w:type="dxa"/>
            </w:tcMar>
          </w:tcPr>
          <w:p w14:paraId="1E9B49B3">
            <w:pPr>
              <w:spacing w:before="120" w:after="120" w:line="288" w:lineRule="auto"/>
              <w:ind w:left="0"/>
              <w:jc w:val="left"/>
            </w:pPr>
            <w:r>
              <w:rPr>
                <w:rFonts w:ascii="Arial" w:hAnsi="Arial" w:eastAsia="等线" w:cs="Arial"/>
                <w:sz w:val="22"/>
              </w:rPr>
              <w:t>最适用场景</w:t>
            </w:r>
          </w:p>
        </w:tc>
      </w:tr>
      <w:tr w14:paraId="345627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D02EB61">
            <w:pPr>
              <w:spacing w:before="120" w:after="120" w:line="288" w:lineRule="auto"/>
              <w:ind w:left="0"/>
              <w:jc w:val="left"/>
            </w:pPr>
            <w:r>
              <w:rPr>
                <w:rFonts w:ascii="Arial" w:hAnsi="Arial" w:eastAsia="等线" w:cs="Arial"/>
                <w:sz w:val="22"/>
              </w:rPr>
              <w:t>Open Collective</w:t>
            </w:r>
          </w:p>
        </w:tc>
        <w:tc>
          <w:tcPr>
            <w:tcW w:w="2760" w:type="dxa"/>
            <w:tcMar>
              <w:top w:w="60" w:type="dxa"/>
              <w:left w:w="120" w:type="dxa"/>
              <w:bottom w:w="30" w:type="dxa"/>
              <w:right w:w="120" w:type="dxa"/>
            </w:tcMar>
          </w:tcPr>
          <w:p w14:paraId="7BC8FA14">
            <w:pPr>
              <w:spacing w:before="120" w:after="120" w:line="288" w:lineRule="auto"/>
              <w:ind w:left="0"/>
              <w:jc w:val="left"/>
            </w:pPr>
            <w:r>
              <w:rPr>
                <w:rFonts w:ascii="Arial" w:hAnsi="Arial" w:eastAsia="等线" w:cs="Arial"/>
                <w:sz w:val="22"/>
              </w:rPr>
              <w:t>社区/治理导向</w:t>
            </w:r>
          </w:p>
        </w:tc>
        <w:tc>
          <w:tcPr>
            <w:tcW w:w="2760" w:type="dxa"/>
            <w:tcMar>
              <w:top w:w="60" w:type="dxa"/>
              <w:left w:w="120" w:type="dxa"/>
              <w:bottom w:w="30" w:type="dxa"/>
              <w:right w:w="120" w:type="dxa"/>
            </w:tcMar>
          </w:tcPr>
          <w:p w14:paraId="48535E07">
            <w:pPr>
              <w:spacing w:before="120" w:after="120" w:line="288" w:lineRule="auto"/>
              <w:ind w:left="0"/>
              <w:jc w:val="left"/>
            </w:pPr>
            <w:r>
              <w:rPr>
                <w:rFonts w:ascii="Arial" w:hAnsi="Arial" w:eastAsia="等线" w:cs="Arial"/>
                <w:sz w:val="22"/>
              </w:rPr>
              <w:t>多贡献者项目；基金会[9]</w:t>
            </w:r>
          </w:p>
        </w:tc>
      </w:tr>
      <w:tr w14:paraId="43562B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AD4A8D9">
            <w:pPr>
              <w:spacing w:before="120" w:after="120" w:line="288" w:lineRule="auto"/>
              <w:ind w:left="0"/>
              <w:jc w:val="left"/>
            </w:pPr>
            <w:r>
              <w:rPr>
                <w:rFonts w:ascii="Arial" w:hAnsi="Arial" w:eastAsia="等线" w:cs="Arial"/>
                <w:sz w:val="22"/>
              </w:rPr>
              <w:t>GitHub Sponsors</w:t>
            </w:r>
          </w:p>
        </w:tc>
        <w:tc>
          <w:tcPr>
            <w:tcW w:w="2760" w:type="dxa"/>
            <w:tcMar>
              <w:top w:w="60" w:type="dxa"/>
              <w:left w:w="120" w:type="dxa"/>
              <w:bottom w:w="30" w:type="dxa"/>
              <w:right w:w="120" w:type="dxa"/>
            </w:tcMar>
          </w:tcPr>
          <w:p w14:paraId="575CD7A3">
            <w:pPr>
              <w:spacing w:before="120" w:after="120" w:line="288" w:lineRule="auto"/>
              <w:ind w:left="0"/>
              <w:jc w:val="left"/>
            </w:pPr>
            <w:r>
              <w:rPr>
                <w:rFonts w:ascii="Arial" w:hAnsi="Arial" w:eastAsia="等线" w:cs="Arial"/>
                <w:sz w:val="22"/>
              </w:rPr>
              <w:t>工作流/低摩擦</w:t>
            </w:r>
          </w:p>
        </w:tc>
        <w:tc>
          <w:tcPr>
            <w:tcW w:w="2760" w:type="dxa"/>
            <w:tcMar>
              <w:top w:w="60" w:type="dxa"/>
              <w:left w:w="120" w:type="dxa"/>
              <w:bottom w:w="30" w:type="dxa"/>
              <w:right w:w="120" w:type="dxa"/>
            </w:tcMar>
          </w:tcPr>
          <w:p w14:paraId="329F1E54">
            <w:pPr>
              <w:spacing w:before="120" w:after="120" w:line="288" w:lineRule="auto"/>
              <w:ind w:left="0"/>
              <w:jc w:val="left"/>
            </w:pPr>
            <w:r>
              <w:rPr>
                <w:rFonts w:ascii="Arial" w:hAnsi="Arial" w:eastAsia="等线" w:cs="Arial"/>
                <w:sz w:val="22"/>
              </w:rPr>
              <w:t>个人维护者；企业依赖的项目[13]</w:t>
            </w:r>
          </w:p>
        </w:tc>
      </w:tr>
      <w:tr w14:paraId="33FA8F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1FD5548">
            <w:pPr>
              <w:spacing w:before="120" w:after="120" w:line="288" w:lineRule="auto"/>
              <w:ind w:left="0"/>
              <w:jc w:val="left"/>
            </w:pPr>
            <w:r>
              <w:rPr>
                <w:rFonts w:ascii="Arial" w:hAnsi="Arial" w:eastAsia="等线" w:cs="Arial"/>
                <w:sz w:val="22"/>
              </w:rPr>
              <w:t>Polar.sh</w:t>
            </w:r>
          </w:p>
        </w:tc>
        <w:tc>
          <w:tcPr>
            <w:tcW w:w="2760" w:type="dxa"/>
            <w:tcMar>
              <w:top w:w="60" w:type="dxa"/>
              <w:left w:w="120" w:type="dxa"/>
              <w:bottom w:w="30" w:type="dxa"/>
              <w:right w:w="120" w:type="dxa"/>
            </w:tcMar>
          </w:tcPr>
          <w:p w14:paraId="1AC1A7D7">
            <w:pPr>
              <w:spacing w:before="120" w:after="120" w:line="288" w:lineRule="auto"/>
              <w:ind w:left="0"/>
              <w:jc w:val="left"/>
            </w:pPr>
            <w:r>
              <w:rPr>
                <w:rFonts w:ascii="Arial" w:hAnsi="Arial" w:eastAsia="等线" w:cs="Arial"/>
                <w:sz w:val="22"/>
              </w:rPr>
              <w:t>福利驱动/MoR模式</w:t>
            </w:r>
          </w:p>
        </w:tc>
        <w:tc>
          <w:tcPr>
            <w:tcW w:w="2760" w:type="dxa"/>
            <w:tcMar>
              <w:top w:w="60" w:type="dxa"/>
              <w:left w:w="120" w:type="dxa"/>
              <w:bottom w:w="30" w:type="dxa"/>
              <w:right w:w="120" w:type="dxa"/>
            </w:tcMar>
          </w:tcPr>
          <w:p w14:paraId="3A85B93B">
            <w:pPr>
              <w:spacing w:before="120" w:after="120" w:line="288" w:lineRule="auto"/>
              <w:ind w:left="0"/>
              <w:jc w:val="left"/>
            </w:pPr>
            <w:r>
              <w:rPr>
                <w:rFonts w:ascii="Arial" w:hAnsi="Arial" w:eastAsia="等线" w:cs="Arial"/>
                <w:sz w:val="22"/>
              </w:rPr>
              <w:t>销售数字产品或额外福利的独立开发者[33]</w:t>
            </w:r>
          </w:p>
        </w:tc>
      </w:tr>
      <w:tr w14:paraId="41629D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8E50852">
            <w:pPr>
              <w:spacing w:before="120" w:after="120" w:line="288" w:lineRule="auto"/>
              <w:ind w:left="0"/>
              <w:jc w:val="left"/>
            </w:pPr>
            <w:r>
              <w:rPr>
                <w:rFonts w:ascii="Arial" w:hAnsi="Arial" w:eastAsia="等线" w:cs="Arial"/>
                <w:sz w:val="22"/>
              </w:rPr>
              <w:t>Gitcoin</w:t>
            </w:r>
          </w:p>
        </w:tc>
        <w:tc>
          <w:tcPr>
            <w:tcW w:w="2760" w:type="dxa"/>
            <w:tcMar>
              <w:top w:w="60" w:type="dxa"/>
              <w:left w:w="120" w:type="dxa"/>
              <w:bottom w:w="30" w:type="dxa"/>
              <w:right w:w="120" w:type="dxa"/>
            </w:tcMar>
          </w:tcPr>
          <w:p w14:paraId="4F955961">
            <w:pPr>
              <w:spacing w:before="120" w:after="120" w:line="288" w:lineRule="auto"/>
              <w:ind w:left="0"/>
              <w:jc w:val="left"/>
            </w:pPr>
            <w:r>
              <w:rPr>
                <w:rFonts w:ascii="Arial" w:hAnsi="Arial" w:eastAsia="等线" w:cs="Arial"/>
                <w:sz w:val="22"/>
              </w:rPr>
              <w:t>二次方资助</w:t>
            </w:r>
          </w:p>
        </w:tc>
        <w:tc>
          <w:tcPr>
            <w:tcW w:w="2760" w:type="dxa"/>
            <w:tcMar>
              <w:top w:w="60" w:type="dxa"/>
              <w:left w:w="120" w:type="dxa"/>
              <w:bottom w:w="30" w:type="dxa"/>
              <w:right w:w="120" w:type="dxa"/>
            </w:tcMar>
          </w:tcPr>
          <w:p w14:paraId="4B3BCE19">
            <w:pPr>
              <w:spacing w:before="120" w:after="120" w:line="288" w:lineRule="auto"/>
              <w:ind w:left="0"/>
              <w:jc w:val="left"/>
            </w:pPr>
            <w:r>
              <w:rPr>
                <w:rFonts w:ascii="Arial" w:hAnsi="Arial" w:eastAsia="等线" w:cs="Arial"/>
                <w:sz w:val="22"/>
              </w:rPr>
              <w:t>生态系统级公共产品[32]</w:t>
            </w:r>
          </w:p>
        </w:tc>
      </w:tr>
    </w:tbl>
    <w:p w14:paraId="63203D20">
      <w:pPr>
        <w:spacing w:before="320" w:after="120" w:line="288" w:lineRule="auto"/>
        <w:ind w:left="0"/>
        <w:jc w:val="left"/>
        <w:outlineLvl w:val="1"/>
      </w:pPr>
      <w:bookmarkStart w:id="15" w:name="heading_15"/>
      <w:r>
        <w:rPr>
          <w:rFonts w:ascii="Arial" w:hAnsi="Arial" w:eastAsia="等线" w:cs="Arial"/>
          <w:b/>
          <w:sz w:val="32"/>
        </w:rPr>
        <w:t>六、经济影响与未来展望</w:t>
      </w:r>
      <w:bookmarkEnd w:id="15"/>
    </w:p>
    <w:p w14:paraId="15AC4C4F">
      <w:pPr>
        <w:spacing w:before="120" w:after="120" w:line="288" w:lineRule="auto"/>
        <w:ind w:left="0" w:firstLine="420"/>
        <w:jc w:val="left"/>
      </w:pPr>
      <w:r>
        <w:rPr>
          <w:rFonts w:ascii="Arial" w:hAnsi="Arial" w:eastAsia="等线" w:cs="Arial"/>
          <w:sz w:val="22"/>
        </w:rPr>
        <w:t>开源资金的更广泛经济背景是投资相对于价值的极端不足：若不存在开源软件，企业在软件上的支出将是当前的3.5倍[1,29]。这表明，开源资金并非“慈善行为”，而是对全球经济数字基础设施的战略投资[32]。</w:t>
      </w:r>
    </w:p>
    <w:p w14:paraId="1DC5E01A">
      <w:pPr>
        <w:spacing w:before="120" w:after="120" w:line="288" w:lineRule="auto"/>
        <w:ind w:left="0" w:firstLine="420"/>
        <w:jc w:val="left"/>
      </w:pPr>
      <w:r>
        <w:rPr>
          <w:rFonts w:ascii="Arial" w:hAnsi="Arial" w:eastAsia="等线" w:cs="Arial"/>
          <w:sz w:val="22"/>
        </w:rPr>
        <w:t>由于缺乏集中的使用跟踪机制，难以通过GDP等标准经济指标衡量开源软件的影响[1]。但利用 GitHub 行政数据的框架化衡量方法已开始提供估算结果：例如，2021年美国联邦政府对开源软件的投资估计为4.07亿美元[35]。此类数据对政策制定者至关重要，他们正日益将资金作为支持软件供应链安全和数字主权的杠杆[36]。</w:t>
      </w:r>
    </w:p>
    <w:p w14:paraId="431BFB2D">
      <w:pPr>
        <w:spacing w:before="320" w:after="120" w:line="288" w:lineRule="auto"/>
        <w:ind w:left="0"/>
        <w:jc w:val="left"/>
        <w:outlineLvl w:val="1"/>
      </w:pPr>
      <w:bookmarkStart w:id="16" w:name="heading_16"/>
      <w:r>
        <w:rPr>
          <w:rFonts w:ascii="Arial" w:hAnsi="Arial" w:eastAsia="等线" w:cs="Arial"/>
          <w:b/>
          <w:sz w:val="32"/>
        </w:rPr>
        <w:t>七、结论与建议</w:t>
      </w:r>
      <w:bookmarkEnd w:id="16"/>
    </w:p>
    <w:p w14:paraId="6795A53B">
      <w:pPr>
        <w:spacing w:before="120" w:after="120" w:line="288" w:lineRule="auto"/>
        <w:ind w:left="0" w:firstLine="420"/>
        <w:jc w:val="left"/>
      </w:pPr>
      <w:r>
        <w:rPr>
          <w:rFonts w:ascii="Arial" w:hAnsi="Arial" w:eastAsia="等线" w:cs="Arial"/>
          <w:sz w:val="22"/>
        </w:rPr>
        <w:t>对传统捐赠平台的评估表明，“有效性”是一个多维度概念，涵盖经济可持续性、技术安全性和社会治理等方面。</w:t>
      </w:r>
    </w:p>
    <w:p w14:paraId="5DE651C9">
      <w:pPr>
        <w:spacing w:before="120" w:after="120" w:line="288" w:lineRule="auto"/>
        <w:ind w:left="0"/>
        <w:jc w:val="left"/>
      </w:pPr>
      <w:r>
        <w:rPr>
          <w:rFonts w:ascii="Arial" w:hAnsi="Arial" w:eastAsia="等线" w:cs="Arial"/>
          <w:sz w:val="22"/>
        </w:rPr>
        <w:t>分析得出以下几点结论：</w:t>
      </w:r>
    </w:p>
    <w:p w14:paraId="2E48E88D">
      <w:pPr>
        <w:numPr>
          <w:ilvl w:val="0"/>
          <w:numId w:val="1"/>
        </w:numPr>
        <w:spacing w:before="120" w:after="120" w:line="288" w:lineRule="auto"/>
        <w:ind w:left="0"/>
        <w:jc w:val="left"/>
      </w:pPr>
      <w:r>
        <w:rPr>
          <w:rFonts w:ascii="Arial" w:hAnsi="Arial" w:eastAsia="等线" w:cs="Arial"/>
          <w:b/>
          <w:sz w:val="22"/>
        </w:rPr>
        <w:t>组织适配性</w:t>
      </w:r>
      <w:r>
        <w:rPr>
          <w:rFonts w:ascii="Arial" w:hAnsi="Arial" w:eastAsia="等线" w:cs="Arial"/>
          <w:sz w:val="22"/>
        </w:rPr>
        <w:t>：Open Collective 仍是寻求通过财政赞助实现社区治理制度化和预算透明化的项目的最有效平台[5,9]；GitHub Sponsors 则在捕获个人捐赠和简化开发者工作流中的企业采购流程方面表现最佳[13]。</w:t>
      </w:r>
    </w:p>
    <w:p w14:paraId="6B341ED0">
      <w:pPr>
        <w:numPr>
          <w:ilvl w:val="0"/>
          <w:numId w:val="2"/>
        </w:numPr>
        <w:spacing w:before="120" w:after="120" w:line="288" w:lineRule="auto"/>
        <w:ind w:left="0"/>
        <w:jc w:val="left"/>
      </w:pPr>
      <w:r>
        <w:rPr>
          <w:rFonts w:ascii="Arial" w:hAnsi="Arial" w:eastAsia="等线" w:cs="Arial"/>
          <w:b/>
          <w:sz w:val="22"/>
        </w:rPr>
        <w:t>安全必要性</w:t>
      </w:r>
      <w:r>
        <w:rPr>
          <w:rFonts w:ascii="Arial" w:hAnsi="Arial" w:eastAsia="等线" w:cs="Arial"/>
          <w:sz w:val="22"/>
        </w:rPr>
        <w:t>：资金平台在全球安全中扮演关键角色。有偿维护者实施安全实践（双因素认证、静态分析等）的比例比无偿志愿者高10%-22%，有效降低了类似 xz utils 事件的供应链攻击风险[2,3,29]。</w:t>
      </w:r>
    </w:p>
    <w:p w14:paraId="21815503">
      <w:pPr>
        <w:numPr>
          <w:ilvl w:val="0"/>
          <w:numId w:val="3"/>
        </w:numPr>
        <w:spacing w:before="120" w:after="120" w:line="288" w:lineRule="auto"/>
        <w:ind w:left="0"/>
        <w:jc w:val="left"/>
      </w:pPr>
      <w:r>
        <w:rPr>
          <w:rFonts w:ascii="Arial" w:hAnsi="Arial" w:eastAsia="等线" w:cs="Arial"/>
          <w:b/>
          <w:sz w:val="22"/>
        </w:rPr>
        <w:t>分配挑战</w:t>
      </w:r>
      <w:r>
        <w:rPr>
          <w:rFonts w:ascii="Arial" w:hAnsi="Arial" w:eastAsia="等线" w:cs="Arial"/>
          <w:sz w:val="22"/>
        </w:rPr>
        <w:t>：马太效应仍是关键依赖项目“长尾”可持续性的普遍障碍。当前平台的算法和推荐系统往往强化现有知名度优势，需要二次方资助或定向公共拨款等更具包容性的资金机制[21,25,26]。</w:t>
      </w:r>
    </w:p>
    <w:p w14:paraId="10D237AD">
      <w:pPr>
        <w:numPr>
          <w:ilvl w:val="0"/>
          <w:numId w:val="4"/>
        </w:numPr>
        <w:spacing w:before="120" w:after="120" w:line="288" w:lineRule="auto"/>
        <w:ind w:left="0"/>
        <w:jc w:val="left"/>
      </w:pPr>
      <w:r>
        <w:rPr>
          <w:rFonts w:ascii="Arial" w:hAnsi="Arial" w:eastAsia="等线" w:cs="Arial"/>
          <w:b/>
          <w:sz w:val="22"/>
        </w:rPr>
        <w:t>行政负担</w:t>
      </w:r>
      <w:r>
        <w:rPr>
          <w:rFonts w:ascii="Arial" w:hAnsi="Arial" w:eastAsia="等线" w:cs="Arial"/>
          <w:sz w:val="22"/>
        </w:rPr>
        <w:t>：从“捐赠”向“专业服务”的转型要求平台解决税务和合规相关的行政摩擦。记录商户模式的兴起表明，平台正朝着更复杂的财务中介方向发展，以保护开发者免受法律责任影响[33]。</w:t>
      </w:r>
    </w:p>
    <w:p w14:paraId="1DBC9043">
      <w:pPr>
        <w:spacing w:before="120" w:after="120" w:line="288" w:lineRule="auto"/>
        <w:ind w:left="0" w:firstLine="420"/>
        <w:jc w:val="left"/>
      </w:pPr>
      <w:r>
        <w:rPr>
          <w:rFonts w:ascii="Arial" w:hAnsi="Arial" w:eastAsia="等线" w:cs="Arial"/>
          <w:sz w:val="22"/>
        </w:rPr>
        <w:t>研究聚焦于这些平台如何超越简单的支付处理，成为真正的“可持续性引擎”，缓解 burnout 问题，确保共享数字基础设施的长期韧性[28,39,40]。平台的有效性最终取决于其能否将开源软件8.8万亿美元的需求端价值，转化为构建和维护它的开发者的可持续生计[1,29,41]。</w:t>
      </w:r>
    </w:p>
    <w:p w14:paraId="03FC56E3">
      <w:pPr>
        <w:spacing w:before="120" w:after="120" w:line="288" w:lineRule="auto"/>
        <w:ind w:left="0"/>
        <w:jc w:val="left"/>
      </w:pPr>
    </w:p>
    <w:p w14:paraId="42A45866">
      <w:pPr>
        <w:pBdr>
          <w:bottom w:val="single" w:color="DEE0E3" w:sz="2" w:space="0"/>
          <w:between w:val="single" w:color="DEE0E3" w:sz="2" w:space="0"/>
        </w:pBdr>
        <w:spacing w:before="120" w:after="120" w:line="288" w:lineRule="auto"/>
        <w:ind w:left="0"/>
      </w:pPr>
    </w:p>
    <w:p w14:paraId="3F9F8688">
      <w:pPr>
        <w:spacing w:before="300" w:after="120" w:line="288" w:lineRule="auto"/>
        <w:ind w:left="0"/>
        <w:jc w:val="left"/>
        <w:outlineLvl w:val="2"/>
      </w:pPr>
      <w:bookmarkStart w:id="17" w:name="heading_17"/>
      <w:r>
        <w:rPr>
          <w:rFonts w:ascii="Arial" w:hAnsi="Arial" w:eastAsia="等线" w:cs="Arial"/>
          <w:b/>
          <w:sz w:val="30"/>
        </w:rPr>
        <w:t>参考文献</w:t>
      </w:r>
      <w:bookmarkEnd w:id="17"/>
    </w:p>
    <w:p w14:paraId="4332826D">
      <w:pPr>
        <w:numPr>
          <w:ilvl w:val="0"/>
          <w:numId w:val="5"/>
        </w:numPr>
        <w:spacing w:before="120" w:after="120" w:line="288" w:lineRule="auto"/>
        <w:ind w:left="0"/>
        <w:jc w:val="left"/>
      </w:pPr>
      <w:r>
        <w:rPr>
          <w:rFonts w:ascii="Arial" w:hAnsi="Arial" w:eastAsia="等线" w:cs="Arial"/>
          <w:sz w:val="22"/>
        </w:rPr>
        <w:t>《开源软件的价值》- 哈佛商学院，https://www.hbs.edu/ris/Publication%20Files/24-038_51f8444f-502c-4139-8bf2-56eb4b65c58a.pdf</w:t>
      </w:r>
    </w:p>
    <w:p w14:paraId="408EA3C8">
      <w:pPr>
        <w:numPr>
          <w:ilvl w:val="0"/>
          <w:numId w:val="6"/>
        </w:numPr>
        <w:spacing w:before="120" w:after="120" w:line="288" w:lineRule="auto"/>
        <w:ind w:left="0"/>
        <w:jc w:val="left"/>
      </w:pPr>
      <w:r>
        <w:rPr>
          <w:rFonts w:ascii="Arial" w:hAnsi="Arial" w:eastAsia="等线" w:cs="Arial"/>
          <w:sz w:val="22"/>
        </w:rPr>
        <w:t>《开源：调查显示有偿维护者让代码更安全》- The New Stack，https://thenewstack.io/open-source-paid-maintainers-keep-code-safer-survey-says/</w:t>
      </w:r>
    </w:p>
    <w:p w14:paraId="6CE98191">
      <w:pPr>
        <w:numPr>
          <w:ilvl w:val="0"/>
          <w:numId w:val="7"/>
        </w:numPr>
        <w:spacing w:before="120" w:after="120" w:line="288" w:lineRule="auto"/>
        <w:ind w:left="0"/>
        <w:jc w:val="left"/>
      </w:pPr>
      <w:r>
        <w:rPr>
          <w:rFonts w:ascii="Arial" w:hAnsi="Arial" w:eastAsia="等线" w:cs="Arial"/>
          <w:sz w:val="22"/>
        </w:rPr>
        <w:t>《2024年 Tidelift 开源维护者状态报告》，https://assets-eu-01.kc-usercontent.com/ef593040-b591-0198-9506-ed88b30bc023/d325a56f-05be-4379-bfd1-ee4776fcad41/2024-tidelift-state-of-the-open-source-maintainer-report-.pdf</w:t>
      </w:r>
    </w:p>
    <w:p w14:paraId="3C2E732B">
      <w:pPr>
        <w:numPr>
          <w:ilvl w:val="0"/>
          <w:numId w:val="8"/>
        </w:numPr>
        <w:spacing w:before="120" w:after="120" w:line="288" w:lineRule="auto"/>
        <w:ind w:left="0"/>
        <w:jc w:val="left"/>
      </w:pPr>
      <w:r>
        <w:rPr>
          <w:rFonts w:ascii="Arial" w:hAnsi="Arial" w:eastAsia="等线" w:cs="Arial"/>
          <w:sz w:val="22"/>
        </w:rPr>
        <w:t>财政托管方 | Open Collective 文档，https://documentation.opencollective.com/fiscal-hosts/fiscal-hosts</w:t>
      </w:r>
    </w:p>
    <w:p w14:paraId="141DDD5A">
      <w:pPr>
        <w:numPr>
          <w:ilvl w:val="0"/>
          <w:numId w:val="9"/>
        </w:numPr>
        <w:spacing w:before="120" w:after="120" w:line="288" w:lineRule="auto"/>
        <w:ind w:left="0"/>
        <w:jc w:val="left"/>
      </w:pPr>
      <w:r>
        <w:rPr>
          <w:rFonts w:ascii="Arial" w:hAnsi="Arial" w:eastAsia="等线" w:cs="Arial"/>
          <w:sz w:val="22"/>
        </w:rPr>
        <w:t>企业适用 GitHub Sponsors，社区适用 Open Source Collective，https://blog.opencollective.com/github-sponsors-for-companies-open-source-collective-for-people/</w:t>
      </w:r>
    </w:p>
    <w:p w14:paraId="718768FD">
      <w:pPr>
        <w:numPr>
          <w:ilvl w:val="0"/>
          <w:numId w:val="10"/>
        </w:numPr>
        <w:spacing w:before="120" w:after="120" w:line="288" w:lineRule="auto"/>
        <w:ind w:left="0"/>
        <w:jc w:val="left"/>
      </w:pPr>
      <w:r>
        <w:rPr>
          <w:rFonts w:ascii="Arial" w:hAnsi="Arial" w:eastAsia="等线" w:cs="Arial"/>
          <w:sz w:val="22"/>
        </w:rPr>
        <w:t>关于我们 - Open Collective 文档，https://documentation.opencollective.com/our-organization/about</w:t>
      </w:r>
    </w:p>
    <w:p w14:paraId="19F8E6B1">
      <w:pPr>
        <w:numPr>
          <w:ilvl w:val="0"/>
          <w:numId w:val="11"/>
        </w:numPr>
        <w:spacing w:before="120" w:after="120" w:line="288" w:lineRule="auto"/>
        <w:ind w:left="0"/>
        <w:jc w:val="left"/>
      </w:pPr>
      <w:r>
        <w:rPr>
          <w:rFonts w:ascii="Arial" w:hAnsi="Arial" w:eastAsia="等线" w:cs="Arial"/>
          <w:sz w:val="22"/>
        </w:rPr>
        <w:t>为何成为财政托管方？- Open Collective 文档，https://documentation.opencollective.com/fiscal-hosts/why-become-a-fiscal-host</w:t>
      </w:r>
    </w:p>
    <w:p w14:paraId="32AF7491">
      <w:pPr>
        <w:numPr>
          <w:ilvl w:val="0"/>
          <w:numId w:val="12"/>
        </w:numPr>
        <w:spacing w:before="120" w:after="120" w:line="288" w:lineRule="auto"/>
        <w:ind w:left="0"/>
        <w:jc w:val="left"/>
      </w:pPr>
      <w:r>
        <w:rPr>
          <w:rFonts w:ascii="Arial" w:hAnsi="Arial" w:eastAsia="等线" w:cs="Arial"/>
          <w:sz w:val="22"/>
        </w:rPr>
        <w:t>Open Collective 文档：欢迎页，https://documentation.opencollective.com/</w:t>
      </w:r>
    </w:p>
    <w:p w14:paraId="6AB2907C">
      <w:pPr>
        <w:numPr>
          <w:ilvl w:val="0"/>
          <w:numId w:val="13"/>
        </w:numPr>
        <w:spacing w:before="120" w:after="120" w:line="288" w:lineRule="auto"/>
        <w:ind w:left="0"/>
        <w:jc w:val="left"/>
      </w:pPr>
      <w:r>
        <w:rPr>
          <w:rFonts w:ascii="Arial" w:hAnsi="Arial" w:eastAsia="等线" w:cs="Arial"/>
          <w:sz w:val="22"/>
        </w:rPr>
        <w:t>关于 GitHub Sponsors - Open Collective，https://blog.opencollective.com/on-github-sponsors/</w:t>
      </w:r>
    </w:p>
    <w:p w14:paraId="20E40EE0">
      <w:pPr>
        <w:numPr>
          <w:ilvl w:val="0"/>
          <w:numId w:val="14"/>
        </w:numPr>
        <w:spacing w:before="120" w:after="120" w:line="288" w:lineRule="auto"/>
        <w:ind w:left="0"/>
        <w:jc w:val="left"/>
      </w:pPr>
      <w:r>
        <w:rPr>
          <w:rFonts w:ascii="Arial" w:hAnsi="Arial" w:eastAsia="等线" w:cs="Arial"/>
          <w:sz w:val="22"/>
        </w:rPr>
        <w:t>选择财政托管方 - Open Collective 文档，https://documentation.opencollective.com/collectives/choosing-a-fiscal-host</w:t>
      </w:r>
    </w:p>
    <w:p w14:paraId="0B326CD6">
      <w:pPr>
        <w:numPr>
          <w:ilvl w:val="0"/>
          <w:numId w:val="15"/>
        </w:numPr>
        <w:spacing w:before="120" w:after="120" w:line="288" w:lineRule="auto"/>
        <w:ind w:left="0"/>
        <w:jc w:val="left"/>
      </w:pPr>
      <w:r>
        <w:rPr>
          <w:rFonts w:ascii="Arial" w:hAnsi="Arial" w:eastAsia="等线" w:cs="Arial"/>
          <w:sz w:val="22"/>
        </w:rPr>
        <w:t>GitHub Sponsors - Open Source Collective 文档，https://docs.oscollective.org/campaigns-and-partnerships/github-sponsors</w:t>
      </w:r>
    </w:p>
    <w:p w14:paraId="6959D332">
      <w:pPr>
        <w:numPr>
          <w:ilvl w:val="0"/>
          <w:numId w:val="16"/>
        </w:numPr>
        <w:spacing w:before="120" w:after="120" w:line="288" w:lineRule="auto"/>
        <w:ind w:left="0"/>
        <w:jc w:val="left"/>
      </w:pPr>
      <w:r>
        <w:rPr>
          <w:rFonts w:ascii="Arial" w:hAnsi="Arial" w:eastAsia="等线" w:cs="Arial"/>
          <w:sz w:val="22"/>
        </w:rPr>
        <w:t>GitHub Sponsors 文档，https://docs.github.com/en/sponsors</w:t>
      </w:r>
    </w:p>
    <w:p w14:paraId="6A3697A8">
      <w:pPr>
        <w:numPr>
          <w:ilvl w:val="0"/>
          <w:numId w:val="17"/>
        </w:numPr>
        <w:spacing w:before="120" w:after="120" w:line="288" w:lineRule="auto"/>
        <w:ind w:left="0"/>
        <w:jc w:val="left"/>
      </w:pPr>
      <w:r>
        <w:rPr>
          <w:rFonts w:ascii="Arial" w:hAnsi="Arial" w:eastAsia="等线" w:cs="Arial"/>
          <w:sz w:val="22"/>
        </w:rPr>
        <w:t>关于 GitHub Sponsors - GitHub 文档，https://docs.github.com/en/sponsors/getting-started-with-github-sponsors/about-github-sponsors</w:t>
      </w:r>
    </w:p>
    <w:p w14:paraId="6D1E893E">
      <w:pPr>
        <w:numPr>
          <w:ilvl w:val="0"/>
          <w:numId w:val="18"/>
        </w:numPr>
        <w:spacing w:before="120" w:after="120" w:line="288" w:lineRule="auto"/>
        <w:ind w:left="0"/>
        <w:jc w:val="left"/>
      </w:pPr>
      <w:r>
        <w:rPr>
          <w:rFonts w:ascii="Arial" w:hAnsi="Arial" w:eastAsia="等线" w:cs="Arial"/>
          <w:sz w:val="22"/>
        </w:rPr>
        <w:t>GitHub Sponsors，https://github.com/open-source/sponsors</w:t>
      </w:r>
    </w:p>
    <w:p w14:paraId="1965863A">
      <w:pPr>
        <w:numPr>
          <w:ilvl w:val="0"/>
          <w:numId w:val="19"/>
        </w:numPr>
        <w:spacing w:before="120" w:after="120" w:line="288" w:lineRule="auto"/>
        <w:ind w:left="0"/>
        <w:jc w:val="left"/>
      </w:pPr>
      <w:r>
        <w:rPr>
          <w:rFonts w:ascii="Arial" w:hAnsi="Arial" w:eastAsia="等线" w:cs="Arial"/>
          <w:sz w:val="22"/>
        </w:rPr>
        <w:t>理解 GitHub Sponsors：费用、影响与开源资金的未来，https://kitemetric.com/blogs/understanding-github-sponsors-fees-impact-and-future-of-open-source-funding</w:t>
      </w:r>
    </w:p>
    <w:p w14:paraId="77EFB96A">
      <w:pPr>
        <w:numPr>
          <w:ilvl w:val="0"/>
          <w:numId w:val="20"/>
        </w:numPr>
        <w:spacing w:before="120" w:after="120" w:line="288" w:lineRule="auto"/>
        <w:ind w:left="0"/>
        <w:jc w:val="left"/>
      </w:pPr>
      <w:r>
        <w:rPr>
          <w:rFonts w:ascii="Arial" w:hAnsi="Arial" w:eastAsia="等线" w:cs="Arial"/>
          <w:sz w:val="22"/>
        </w:rPr>
        <w:t>基于 Open Collective 筹集捐赠的 GitHub 项目案例研究，https://posl.ait.kyushu-u.ac.jp/~kamei/publications/Zhou_EMSE2021.pdf</w:t>
      </w:r>
    </w:p>
    <w:p w14:paraId="2717C446">
      <w:pPr>
        <w:numPr>
          <w:ilvl w:val="0"/>
          <w:numId w:val="21"/>
        </w:numPr>
        <w:spacing w:before="120" w:after="120" w:line="288" w:lineRule="auto"/>
        <w:ind w:left="0"/>
        <w:jc w:val="left"/>
      </w:pPr>
      <w:r>
        <w:rPr>
          <w:rFonts w:ascii="Arial" w:hAnsi="Arial" w:eastAsia="等线" w:cs="Arial"/>
          <w:sz w:val="22"/>
        </w:rPr>
        <w:t>GitHub Sponsors：探索开源贡献的新方式 - Semantic Scholar，https://www.semanticscholar.org/paper/39408ef47288f6ab34f644d3b6d8dca48fe3b77b</w:t>
      </w:r>
    </w:p>
    <w:p w14:paraId="3212B01D">
      <w:pPr>
        <w:numPr>
          <w:ilvl w:val="0"/>
          <w:numId w:val="22"/>
        </w:numPr>
        <w:spacing w:before="120" w:after="120" w:line="288" w:lineRule="auto"/>
        <w:ind w:left="0"/>
        <w:jc w:val="left"/>
      </w:pPr>
      <w:r>
        <w:rPr>
          <w:rFonts w:ascii="Arial" w:hAnsi="Arial" w:eastAsia="等线" w:cs="Arial"/>
          <w:sz w:val="22"/>
        </w:rPr>
        <w:t>GitHub Sponsors：探索开源贡献的新方式 - ResearchGate，https://www.researchgate.net/publication/362968062_GitHub_sponsors_exploring_a_new_way_to_contribute_to_open_source</w:t>
      </w:r>
    </w:p>
    <w:p w14:paraId="04FE2313">
      <w:pPr>
        <w:numPr>
          <w:ilvl w:val="0"/>
          <w:numId w:val="23"/>
        </w:numPr>
        <w:spacing w:before="120" w:after="120" w:line="288" w:lineRule="auto"/>
        <w:ind w:left="0"/>
        <w:jc w:val="left"/>
      </w:pPr>
      <w:r>
        <w:rPr>
          <w:rFonts w:ascii="Arial" w:hAnsi="Arial" w:eastAsia="等线" w:cs="Arial"/>
          <w:sz w:val="22"/>
        </w:rPr>
        <w:t>实证数据中的马太效应 - PMC - NIH，https://pmc.ncbi.nlm.nih.gov/articles/PMC4233686/</w:t>
      </w:r>
    </w:p>
    <w:p w14:paraId="2E590E6B">
      <w:pPr>
        <w:numPr>
          <w:ilvl w:val="0"/>
          <w:numId w:val="24"/>
        </w:numPr>
        <w:spacing w:before="120" w:after="120" w:line="288" w:lineRule="auto"/>
        <w:ind w:left="0"/>
        <w:jc w:val="left"/>
      </w:pPr>
      <w:r>
        <w:rPr>
          <w:rFonts w:ascii="Arial" w:hAnsi="Arial" w:eastAsia="等线" w:cs="Arial"/>
          <w:sz w:val="22"/>
        </w:rPr>
        <w:t>马太效应 - 维基百科，https://en.wikipedia.org/wiki/Matthew_effect</w:t>
      </w:r>
    </w:p>
    <w:p w14:paraId="11D1703C">
      <w:pPr>
        <w:numPr>
          <w:ilvl w:val="0"/>
          <w:numId w:val="25"/>
        </w:numPr>
        <w:spacing w:before="120" w:after="120" w:line="288" w:lineRule="auto"/>
        <w:ind w:left="0"/>
        <w:jc w:val="left"/>
      </w:pPr>
      <w:r>
        <w:rPr>
          <w:rFonts w:ascii="Arial" w:hAnsi="Arial" w:eastAsia="等线" w:cs="Arial"/>
          <w:sz w:val="22"/>
        </w:rPr>
        <w:t>科研资金中的马太效应 - PMC，https://pmc.ncbi.nlm.nih.gov/articles/PMC5948972/</w:t>
      </w:r>
    </w:p>
    <w:p w14:paraId="3FA4DBAA">
      <w:pPr>
        <w:numPr>
          <w:ilvl w:val="0"/>
          <w:numId w:val="26"/>
        </w:numPr>
        <w:spacing w:before="120" w:after="120" w:line="288" w:lineRule="auto"/>
        <w:ind w:left="0"/>
        <w:jc w:val="left"/>
      </w:pPr>
      <w:r>
        <w:rPr>
          <w:rFonts w:ascii="Arial" w:hAnsi="Arial" w:eastAsia="等线" w:cs="Arial"/>
          <w:sz w:val="22"/>
        </w:rPr>
        <w:t>科研资金的基尼系数 - The Journal of Brief Ideas，https://beta.briefideas.org/ideas/a554c1582f45e9e985f8d0c0d91334ac.html</w:t>
      </w:r>
    </w:p>
    <w:p w14:paraId="7D02B80A">
      <w:pPr>
        <w:numPr>
          <w:ilvl w:val="0"/>
          <w:numId w:val="27"/>
        </w:numPr>
        <w:spacing w:before="120" w:after="120" w:line="288" w:lineRule="auto"/>
        <w:ind w:left="0"/>
        <w:jc w:val="left"/>
      </w:pPr>
      <w:r>
        <w:rPr>
          <w:rFonts w:ascii="Arial" w:hAnsi="Arial" w:eastAsia="等线" w:cs="Arial"/>
          <w:sz w:val="22"/>
        </w:rPr>
        <w:t>收入的全球再分配与家庭能源足迹：一项计算性思想实验 - 剑桥大学出版社，https://www.cambridge.org/core/journals/global-sustainability/article/global-redistribution-of-income-and-household-energy-footprints-a-computational-thought-experiment/34886E1B95AC092C9E0A86BE68C215A5</w:t>
      </w:r>
    </w:p>
    <w:p w14:paraId="7BD92BCA">
      <w:pPr>
        <w:numPr>
          <w:ilvl w:val="0"/>
          <w:numId w:val="28"/>
        </w:numPr>
        <w:spacing w:before="120" w:after="120" w:line="288" w:lineRule="auto"/>
        <w:ind w:left="0"/>
        <w:jc w:val="left"/>
      </w:pPr>
      <w:r>
        <w:rPr>
          <w:rFonts w:ascii="Arial" w:hAnsi="Arial" w:eastAsia="等线" w:cs="Arial"/>
          <w:sz w:val="22"/>
        </w:rPr>
        <w:t>区块链开源开发社区的（去）中心化 - ScholarSpace，https://scholarspace.manoa.hawaii.edu/bitstreams/514b60e3-ae77-49d8-9270-5798e441be0e/download</w:t>
      </w:r>
    </w:p>
    <w:p w14:paraId="3198273A">
      <w:pPr>
        <w:numPr>
          <w:ilvl w:val="0"/>
          <w:numId w:val="29"/>
        </w:numPr>
        <w:spacing w:before="120" w:after="120" w:line="288" w:lineRule="auto"/>
        <w:ind w:left="0"/>
        <w:jc w:val="left"/>
      </w:pPr>
      <w:r>
        <w:rPr>
          <w:rFonts w:ascii="Arial" w:hAnsi="Arial" w:eastAsia="等线" w:cs="Arial"/>
          <w:sz w:val="22"/>
        </w:rPr>
        <w:t>众筹与马太效应：通过系统评价审视结构性不平等 - Scirp.org，https://www.scirp.org/journal/paperinformation?paperid=145663</w:t>
      </w:r>
    </w:p>
    <w:p w14:paraId="22C6B874">
      <w:pPr>
        <w:numPr>
          <w:ilvl w:val="0"/>
          <w:numId w:val="30"/>
        </w:numPr>
        <w:spacing w:before="120" w:after="120" w:line="288" w:lineRule="auto"/>
        <w:ind w:left="0"/>
        <w:jc w:val="left"/>
      </w:pPr>
      <w:r>
        <w:rPr>
          <w:rFonts w:ascii="Arial" w:hAnsi="Arial" w:eastAsia="等线" w:cs="Arial"/>
          <w:sz w:val="22"/>
        </w:rPr>
        <w:t>众筹与马太效应：通过系统评价审视结构性不平等 - ResearchGate，https://www.researchgate.net/publication/395714843_Crowdfunding_and_the_Matthew_Effect_Examining_Structural_Inequalities_through_a_Systematic_Review</w:t>
      </w:r>
    </w:p>
    <w:p w14:paraId="1D31759C">
      <w:pPr>
        <w:numPr>
          <w:ilvl w:val="0"/>
          <w:numId w:val="31"/>
        </w:numPr>
        <w:spacing w:before="120" w:after="120" w:line="288" w:lineRule="auto"/>
        <w:ind w:left="0"/>
        <w:jc w:val="left"/>
      </w:pPr>
      <w:r>
        <w:rPr>
          <w:rFonts w:ascii="Arial" w:hAnsi="Arial" w:eastAsia="等线" w:cs="Arial"/>
          <w:sz w:val="22"/>
        </w:rPr>
        <w:t>polar.sh - 特定问题资助 · collective icalendar · 讨论 #697 - GitHub，https://github.com/collective/icalendar/discussions/697</w:t>
      </w:r>
    </w:p>
    <w:p w14:paraId="2CE434DE">
      <w:pPr>
        <w:numPr>
          <w:ilvl w:val="0"/>
          <w:numId w:val="32"/>
        </w:numPr>
        <w:spacing w:before="120" w:after="120" w:line="288" w:lineRule="auto"/>
        <w:ind w:left="0"/>
        <w:jc w:val="left"/>
      </w:pPr>
      <w:r>
        <w:rPr>
          <w:rFonts w:ascii="Arial" w:hAnsi="Arial" w:eastAsia="等线" w:cs="Arial"/>
          <w:sz w:val="22"/>
        </w:rPr>
        <w:t>fosdem 2024，https://archive.fosdem.org/2024/events/attachments/fosdem-2024-2751-the-state-of-funding-free-open-source-software/slides/22659/State_of_FOSS_Funding_FOSDEM_2024_IQwHRvb.pdf</w:t>
      </w:r>
    </w:p>
    <w:p w14:paraId="31248C95">
      <w:pPr>
        <w:numPr>
          <w:ilvl w:val="0"/>
          <w:numId w:val="33"/>
        </w:numPr>
        <w:spacing w:before="120" w:after="120" w:line="288" w:lineRule="auto"/>
        <w:ind w:left="0"/>
        <w:jc w:val="left"/>
      </w:pPr>
      <w:r>
        <w:rPr>
          <w:rFonts w:ascii="Arial" w:hAnsi="Arial" w:eastAsia="等线" w:cs="Arial"/>
          <w:sz w:val="22"/>
        </w:rPr>
        <w:t>《2024年 Tidelift 维护者影响报告》- Sonar，https://www.sonarsource.com/the-2024-tidelift-maintainer-impact-report.pdf</w:t>
      </w:r>
    </w:p>
    <w:p w14:paraId="09356AE3">
      <w:pPr>
        <w:numPr>
          <w:ilvl w:val="0"/>
          <w:numId w:val="34"/>
        </w:numPr>
        <w:spacing w:before="120" w:after="120" w:line="288" w:lineRule="auto"/>
        <w:ind w:left="0"/>
        <w:jc w:val="left"/>
      </w:pPr>
      <w:r>
        <w:rPr>
          <w:rFonts w:ascii="Arial" w:hAnsi="Arial" w:eastAsia="等线" w:cs="Arial"/>
          <w:sz w:val="22"/>
        </w:rPr>
        <w:t>《2023年 Tidelift 开源维护者状态报告》- Sonar，https://www.sonarsource.com/open-source-maintainer-survey-2023.pdf</w:t>
      </w:r>
    </w:p>
    <w:p w14:paraId="48905F0E">
      <w:pPr>
        <w:numPr>
          <w:ilvl w:val="0"/>
          <w:numId w:val="35"/>
        </w:numPr>
        <w:spacing w:before="120" w:after="120" w:line="288" w:lineRule="auto"/>
        <w:ind w:left="0"/>
        <w:jc w:val="left"/>
      </w:pPr>
      <w:r>
        <w:rPr>
          <w:rFonts w:ascii="Arial" w:hAnsi="Arial" w:eastAsia="等线" w:cs="Arial"/>
          <w:sz w:val="22"/>
        </w:rPr>
        <w:t>2024/2025年开源项目变现的最佳平台 - Stackademic，https://blog.stackademic.com/the-best-platforms-for-monetizing-your-open-source-projects-in-2024-2025-1b7803ea5bc9</w:t>
      </w:r>
    </w:p>
    <w:p w14:paraId="79E93186">
      <w:pPr>
        <w:numPr>
          <w:ilvl w:val="0"/>
          <w:numId w:val="36"/>
        </w:numPr>
        <w:spacing w:before="120" w:after="120" w:line="288" w:lineRule="auto"/>
        <w:ind w:left="0"/>
        <w:jc w:val="left"/>
      </w:pPr>
      <w:r>
        <w:rPr>
          <w:rFonts w:ascii="Arial" w:hAnsi="Arial" w:eastAsia="等线" w:cs="Arial"/>
          <w:sz w:val="22"/>
        </w:rPr>
        <w:t>开源项目资助终极指南 | Sealos 博客，https://sealos.io/blog/funding-open-source</w:t>
      </w:r>
    </w:p>
    <w:p w14:paraId="1E445650">
      <w:pPr>
        <w:numPr>
          <w:ilvl w:val="0"/>
          <w:numId w:val="37"/>
        </w:numPr>
        <w:spacing w:before="120" w:after="120" w:line="288" w:lineRule="auto"/>
        <w:ind w:left="0"/>
        <w:jc w:val="left"/>
      </w:pPr>
      <w:r>
        <w:rPr>
          <w:rFonts w:ascii="Arial" w:hAnsi="Arial" w:eastAsia="等线" w:cs="Arial"/>
          <w:sz w:val="22"/>
        </w:rPr>
        <w:t>Polar：比 Stripe 更优的替代方案 | Raul Carini，https://www.raulcarini.dev/blog/polar-better-stripe-alternative</w:t>
      </w:r>
    </w:p>
    <w:p w14:paraId="1594EDE4">
      <w:pPr>
        <w:numPr>
          <w:ilvl w:val="0"/>
          <w:numId w:val="38"/>
        </w:numPr>
        <w:spacing w:before="120" w:after="120" w:line="288" w:lineRule="auto"/>
        <w:ind w:left="0"/>
        <w:jc w:val="left"/>
      </w:pPr>
      <w:r>
        <w:rPr>
          <w:rFonts w:ascii="Arial" w:hAnsi="Arial" w:eastAsia="等线" w:cs="Arial"/>
          <w:sz w:val="22"/>
        </w:rPr>
        <w:t>资金：Polar.sh 不再专注于开源问题资助——有哪些优质替代方案？，https://www.reddit.com/r/opensource/comments/1jqq7mb/funding_with_polarsh_pivoting_away_from_oss_issue/</w:t>
      </w:r>
    </w:p>
    <w:p w14:paraId="40C1AED0">
      <w:pPr>
        <w:numPr>
          <w:ilvl w:val="0"/>
          <w:numId w:val="39"/>
        </w:numPr>
        <w:spacing w:before="120" w:after="120" w:line="288" w:lineRule="auto"/>
        <w:ind w:left="0"/>
        <w:jc w:val="left"/>
      </w:pPr>
      <w:r>
        <w:rPr>
          <w:rFonts w:ascii="Arial" w:hAnsi="Arial" w:eastAsia="等线" w:cs="Arial"/>
          <w:sz w:val="22"/>
        </w:rPr>
        <w:t>从 GitHub 到 GDP：衡量开源软件创新的框架，https://www.researchgate.net/publication/379463899_From_GitHub_to_GDP_A_framework_for_measuring_open_source_software_innovation</w:t>
      </w:r>
    </w:p>
    <w:p w14:paraId="1B1A73CB">
      <w:pPr>
        <w:numPr>
          <w:ilvl w:val="0"/>
          <w:numId w:val="40"/>
        </w:numPr>
        <w:spacing w:before="120" w:after="120" w:line="288" w:lineRule="auto"/>
        <w:ind w:left="0"/>
        <w:jc w:val="left"/>
      </w:pPr>
      <w:r>
        <w:rPr>
          <w:rFonts w:ascii="Arial" w:hAnsi="Arial" w:eastAsia="等线" w:cs="Arial"/>
          <w:sz w:val="22"/>
        </w:rPr>
        <w:t>[2411.06027] 衡量公共资金对开源软件开发影响的工具包 - arXiv，https://arxiv.org/abs/2411.06027</w:t>
      </w:r>
    </w:p>
    <w:p w14:paraId="781345E6">
      <w:pPr>
        <w:numPr>
          <w:ilvl w:val="0"/>
          <w:numId w:val="41"/>
        </w:numPr>
        <w:spacing w:before="120" w:after="120" w:line="288" w:lineRule="auto"/>
        <w:ind w:left="0"/>
        <w:jc w:val="left"/>
      </w:pPr>
      <w:r>
        <w:rPr>
          <w:rFonts w:ascii="Arial" w:hAnsi="Arial" w:eastAsia="等线" w:cs="Arial"/>
          <w:sz w:val="22"/>
        </w:rPr>
        <w:t>Twitter/X 提及对 GitHub Sponsors 的影响研究，https://ink.library.smu.edu.sg/cgi/viewcontent.cgi?params=/context/sis_research/article/9922/&amp;path_info=x.pdf</w:t>
      </w:r>
    </w:p>
    <w:p w14:paraId="2D208180">
      <w:pPr>
        <w:numPr>
          <w:ilvl w:val="0"/>
          <w:numId w:val="42"/>
        </w:numPr>
        <w:spacing w:before="120" w:after="120" w:line="288" w:lineRule="auto"/>
        <w:ind w:left="0"/>
        <w:jc w:val="left"/>
      </w:pPr>
      <w:r>
        <w:rPr>
          <w:rFonts w:ascii="Arial" w:hAnsi="Arial" w:eastAsia="等线" w:cs="Arial"/>
          <w:sz w:val="22"/>
        </w:rPr>
        <w:t>“我的 GitHub Sponsors 主页已上线！”：Twitter/X 提及对 GitHub Sponsors 的影响研究 - arXiv，https://arxiv.org/html/2401.02755v1</w:t>
      </w:r>
    </w:p>
    <w:p w14:paraId="77F4C234">
      <w:pPr>
        <w:numPr>
          <w:ilvl w:val="0"/>
          <w:numId w:val="43"/>
        </w:numPr>
        <w:spacing w:before="120" w:after="120" w:line="288" w:lineRule="auto"/>
        <w:ind w:left="0"/>
        <w:jc w:val="left"/>
      </w:pPr>
      <w:r>
        <w:rPr>
          <w:rFonts w:ascii="Arial" w:hAnsi="Arial" w:eastAsia="等线" w:cs="Arial"/>
          <w:sz w:val="22"/>
        </w:rPr>
        <w:t>衡量公共资金对开源软件开发影响的工具包 - arXiv，https://arxiv.org/html/2411.06027v1</w:t>
      </w:r>
    </w:p>
    <w:p w14:paraId="7854F557">
      <w:pPr>
        <w:numPr>
          <w:ilvl w:val="0"/>
          <w:numId w:val="44"/>
        </w:numPr>
        <w:spacing w:before="120" w:after="120" w:line="288" w:lineRule="auto"/>
        <w:ind w:left="0"/>
        <w:jc w:val="left"/>
      </w:pPr>
      <w:r>
        <w:rPr>
          <w:rFonts w:ascii="Arial" w:hAnsi="Arial" w:eastAsia="等线" w:cs="Arial"/>
          <w:sz w:val="22"/>
        </w:rPr>
        <w:t>（PDF）衡量公共资金对开源软件开发影响的工具包，https://www.researchgate.net/publication/385721621_A_Toolkit_for_Measuring_the_Impacts_of_Public_Funding_on_Open_Source_Software_Development</w:t>
      </w:r>
    </w:p>
    <w:p w14:paraId="1C7F29D7">
      <w:pPr>
        <w:numPr>
          <w:ilvl w:val="0"/>
          <w:numId w:val="45"/>
        </w:numPr>
        <w:spacing w:before="120" w:after="120" w:line="288" w:lineRule="auto"/>
        <w:ind w:left="0"/>
        <w:jc w:val="left"/>
      </w:pPr>
      <w:r>
        <w:rPr>
          <w:rFonts w:ascii="Arial" w:hAnsi="Arial" w:eastAsia="等线" w:cs="Arial"/>
          <w:sz w:val="22"/>
        </w:rPr>
        <w:t>资助欧洲的开放式数字基础设施，https://openforumeurope.org/wp-content/uploads/2025/10/EU-STF-Feasibility-Study_final.pdf</w:t>
      </w:r>
    </w:p>
    <w:p w14:paraId="22295A42">
      <w:pPr>
        <w:pBdr>
          <w:bottom w:val="single" w:color="DEE0E3" w:sz="2" w:space="0"/>
          <w:between w:val="single" w:color="DEE0E3" w:sz="2" w:space="0"/>
        </w:pBdr>
        <w:spacing w:before="120" w:after="120" w:line="288" w:lineRule="auto"/>
        <w:ind w:left="0"/>
      </w:pPr>
    </w:p>
    <w:p w14:paraId="5AA9973A">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800F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6934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30"/>
      <w:numFmt w:val="decimal"/>
      <w:lvlText w:val="%1."/>
      <w:lvlJc w:val="left"/>
      <w:rPr>
        <w:color w:val="3370FF"/>
      </w:rPr>
    </w:lvl>
  </w:abstractNum>
  <w:abstractNum w:abstractNumId="1">
    <w:nsid w:val="845B5372"/>
    <w:multiLevelType w:val="singleLevel"/>
    <w:tmpl w:val="845B5372"/>
    <w:lvl w:ilvl="0" w:tentative="0">
      <w:start w:val="41"/>
      <w:numFmt w:val="decimal"/>
      <w:lvlText w:val="%1."/>
      <w:lvlJc w:val="left"/>
      <w:rPr>
        <w:color w:val="3370FF"/>
      </w:rPr>
    </w:lvl>
  </w:abstractNum>
  <w:abstractNum w:abstractNumId="2">
    <w:nsid w:val="8461FADE"/>
    <w:multiLevelType w:val="singleLevel"/>
    <w:tmpl w:val="8461FADE"/>
    <w:lvl w:ilvl="0" w:tentative="0">
      <w:start w:val="27"/>
      <w:numFmt w:val="decimal"/>
      <w:lvlText w:val="%1."/>
      <w:lvlJc w:val="left"/>
      <w:rPr>
        <w:color w:val="3370FF"/>
      </w:rPr>
    </w:lvl>
  </w:abstractNum>
  <w:abstractNum w:abstractNumId="3">
    <w:nsid w:val="91995D4F"/>
    <w:multiLevelType w:val="singleLevel"/>
    <w:tmpl w:val="91995D4F"/>
    <w:lvl w:ilvl="0" w:tentative="0">
      <w:start w:val="38"/>
      <w:numFmt w:val="decimal"/>
      <w:lvlText w:val="%1."/>
      <w:lvlJc w:val="left"/>
      <w:rPr>
        <w:color w:val="3370FF"/>
      </w:rPr>
    </w:lvl>
  </w:abstractNum>
  <w:abstractNum w:abstractNumId="4">
    <w:nsid w:val="9239341B"/>
    <w:multiLevelType w:val="singleLevel"/>
    <w:tmpl w:val="9239341B"/>
    <w:lvl w:ilvl="0" w:tentative="0">
      <w:start w:val="6"/>
      <w:numFmt w:val="decimal"/>
      <w:lvlText w:val="%1."/>
      <w:lvlJc w:val="left"/>
      <w:rPr>
        <w:color w:val="3370FF"/>
      </w:rPr>
    </w:lvl>
  </w:abstractNum>
  <w:abstractNum w:abstractNumId="5">
    <w:nsid w:val="9288B902"/>
    <w:multiLevelType w:val="singleLevel"/>
    <w:tmpl w:val="9288B902"/>
    <w:lvl w:ilvl="0" w:tentative="0">
      <w:start w:val="25"/>
      <w:numFmt w:val="decimal"/>
      <w:lvlText w:val="%1."/>
      <w:lvlJc w:val="left"/>
      <w:rPr>
        <w:color w:val="3370FF"/>
      </w:rPr>
    </w:lvl>
  </w:abstractNum>
  <w:abstractNum w:abstractNumId="6">
    <w:nsid w:val="9C8AC8EF"/>
    <w:multiLevelType w:val="singleLevel"/>
    <w:tmpl w:val="9C8AC8EF"/>
    <w:lvl w:ilvl="0" w:tentative="0">
      <w:start w:val="15"/>
      <w:numFmt w:val="decimal"/>
      <w:lvlText w:val="%1."/>
      <w:lvlJc w:val="left"/>
      <w:rPr>
        <w:color w:val="3370FF"/>
      </w:rPr>
    </w:lvl>
  </w:abstractNum>
  <w:abstractNum w:abstractNumId="7">
    <w:nsid w:val="B0F1ACD9"/>
    <w:multiLevelType w:val="singleLevel"/>
    <w:tmpl w:val="B0F1ACD9"/>
    <w:lvl w:ilvl="0" w:tentative="0">
      <w:start w:val="20"/>
      <w:numFmt w:val="decimal"/>
      <w:lvlText w:val="%1."/>
      <w:lvlJc w:val="left"/>
      <w:rPr>
        <w:color w:val="3370FF"/>
      </w:rPr>
    </w:lvl>
  </w:abstractNum>
  <w:abstractNum w:abstractNumId="8">
    <w:nsid w:val="B5E306ED"/>
    <w:multiLevelType w:val="singleLevel"/>
    <w:tmpl w:val="B5E306ED"/>
    <w:lvl w:ilvl="0" w:tentative="0">
      <w:start w:val="1"/>
      <w:numFmt w:val="decimal"/>
      <w:lvlText w:val="%1."/>
      <w:lvlJc w:val="left"/>
      <w:rPr>
        <w:color w:val="3370FF"/>
      </w:rPr>
    </w:lvl>
  </w:abstractNum>
  <w:abstractNum w:abstractNumId="9">
    <w:nsid w:val="B8CEF35B"/>
    <w:multiLevelType w:val="singleLevel"/>
    <w:tmpl w:val="B8CEF35B"/>
    <w:lvl w:ilvl="0" w:tentative="0">
      <w:start w:val="39"/>
      <w:numFmt w:val="decimal"/>
      <w:lvlText w:val="%1."/>
      <w:lvlJc w:val="left"/>
      <w:rPr>
        <w:color w:val="3370FF"/>
      </w:rPr>
    </w:lvl>
  </w:abstractNum>
  <w:abstractNum w:abstractNumId="10">
    <w:nsid w:val="BB64CFA9"/>
    <w:multiLevelType w:val="singleLevel"/>
    <w:tmpl w:val="BB64CFA9"/>
    <w:lvl w:ilvl="0" w:tentative="0">
      <w:start w:val="37"/>
      <w:numFmt w:val="decimal"/>
      <w:lvlText w:val="%1."/>
      <w:lvlJc w:val="left"/>
      <w:rPr>
        <w:color w:val="3370FF"/>
      </w:rPr>
    </w:lvl>
  </w:abstractNum>
  <w:abstractNum w:abstractNumId="11">
    <w:nsid w:val="BE923771"/>
    <w:multiLevelType w:val="singleLevel"/>
    <w:tmpl w:val="BE923771"/>
    <w:lvl w:ilvl="0" w:tentative="0">
      <w:start w:val="23"/>
      <w:numFmt w:val="decimal"/>
      <w:lvlText w:val="%1."/>
      <w:lvlJc w:val="left"/>
      <w:rPr>
        <w:color w:val="3370FF"/>
      </w:rPr>
    </w:lvl>
  </w:abstractNum>
  <w:abstractNum w:abstractNumId="12">
    <w:nsid w:val="BF205925"/>
    <w:multiLevelType w:val="singleLevel"/>
    <w:tmpl w:val="BF205925"/>
    <w:lvl w:ilvl="0" w:tentative="0">
      <w:start w:val="4"/>
      <w:numFmt w:val="decimal"/>
      <w:lvlText w:val="%1."/>
      <w:lvlJc w:val="left"/>
      <w:rPr>
        <w:color w:val="3370FF"/>
      </w:rPr>
    </w:lvl>
  </w:abstractNum>
  <w:abstractNum w:abstractNumId="13">
    <w:nsid w:val="C8879AEF"/>
    <w:multiLevelType w:val="singleLevel"/>
    <w:tmpl w:val="C8879AEF"/>
    <w:lvl w:ilvl="0" w:tentative="0">
      <w:start w:val="9"/>
      <w:numFmt w:val="decimal"/>
      <w:lvlText w:val="%1."/>
      <w:lvlJc w:val="left"/>
      <w:rPr>
        <w:color w:val="3370FF"/>
      </w:rPr>
    </w:lvl>
  </w:abstractNum>
  <w:abstractNum w:abstractNumId="14">
    <w:nsid w:val="CF092B84"/>
    <w:multiLevelType w:val="singleLevel"/>
    <w:tmpl w:val="CF092B84"/>
    <w:lvl w:ilvl="0" w:tentative="0">
      <w:start w:val="2"/>
      <w:numFmt w:val="decimal"/>
      <w:lvlText w:val="%1."/>
      <w:lvlJc w:val="left"/>
      <w:rPr>
        <w:color w:val="3370FF"/>
      </w:rPr>
    </w:lvl>
  </w:abstractNum>
  <w:abstractNum w:abstractNumId="15">
    <w:nsid w:val="D7F9FE59"/>
    <w:multiLevelType w:val="singleLevel"/>
    <w:tmpl w:val="D7F9FE59"/>
    <w:lvl w:ilvl="0" w:tentative="0">
      <w:start w:val="14"/>
      <w:numFmt w:val="decimal"/>
      <w:lvlText w:val="%1."/>
      <w:lvlJc w:val="left"/>
      <w:rPr>
        <w:color w:val="3370FF"/>
      </w:rPr>
    </w:lvl>
  </w:abstractNum>
  <w:abstractNum w:abstractNumId="16">
    <w:nsid w:val="DCBA6B53"/>
    <w:multiLevelType w:val="singleLevel"/>
    <w:tmpl w:val="DCBA6B53"/>
    <w:lvl w:ilvl="0" w:tentative="0">
      <w:start w:val="13"/>
      <w:numFmt w:val="decimal"/>
      <w:lvlText w:val="%1."/>
      <w:lvlJc w:val="left"/>
      <w:rPr>
        <w:color w:val="3370FF"/>
      </w:rPr>
    </w:lvl>
  </w:abstractNum>
  <w:abstractNum w:abstractNumId="17">
    <w:nsid w:val="E093A4B0"/>
    <w:multiLevelType w:val="singleLevel"/>
    <w:tmpl w:val="E093A4B0"/>
    <w:lvl w:ilvl="0" w:tentative="0">
      <w:start w:val="34"/>
      <w:numFmt w:val="decimal"/>
      <w:lvlText w:val="%1."/>
      <w:lvlJc w:val="left"/>
      <w:rPr>
        <w:color w:val="3370FF"/>
      </w:rPr>
    </w:lvl>
  </w:abstractNum>
  <w:abstractNum w:abstractNumId="18">
    <w:nsid w:val="F4B5D9F5"/>
    <w:multiLevelType w:val="singleLevel"/>
    <w:tmpl w:val="F4B5D9F5"/>
    <w:lvl w:ilvl="0" w:tentative="0">
      <w:start w:val="11"/>
      <w:numFmt w:val="decimal"/>
      <w:lvlText w:val="%1."/>
      <w:lvlJc w:val="left"/>
      <w:rPr>
        <w:color w:val="3370FF"/>
      </w:rPr>
    </w:lvl>
  </w:abstractNum>
  <w:abstractNum w:abstractNumId="19">
    <w:nsid w:val="F7735DC9"/>
    <w:multiLevelType w:val="singleLevel"/>
    <w:tmpl w:val="F7735DC9"/>
    <w:lvl w:ilvl="0" w:tentative="0">
      <w:start w:val="33"/>
      <w:numFmt w:val="decimal"/>
      <w:lvlText w:val="%1."/>
      <w:lvlJc w:val="left"/>
      <w:rPr>
        <w:color w:val="3370FF"/>
      </w:rPr>
    </w:lvl>
  </w:abstractNum>
  <w:abstractNum w:abstractNumId="20">
    <w:nsid w:val="0053208E"/>
    <w:multiLevelType w:val="singleLevel"/>
    <w:tmpl w:val="0053208E"/>
    <w:lvl w:ilvl="0" w:tentative="0">
      <w:start w:val="1"/>
      <w:numFmt w:val="decimal"/>
      <w:lvlText w:val="%1."/>
      <w:lvlJc w:val="left"/>
      <w:rPr>
        <w:color w:val="3370FF"/>
      </w:rPr>
    </w:lvl>
  </w:abstractNum>
  <w:abstractNum w:abstractNumId="21">
    <w:nsid w:val="0248C179"/>
    <w:multiLevelType w:val="singleLevel"/>
    <w:tmpl w:val="0248C179"/>
    <w:lvl w:ilvl="0" w:tentative="0">
      <w:start w:val="5"/>
      <w:numFmt w:val="decimal"/>
      <w:lvlText w:val="%1."/>
      <w:lvlJc w:val="left"/>
      <w:rPr>
        <w:color w:val="3370FF"/>
      </w:rPr>
    </w:lvl>
  </w:abstractNum>
  <w:abstractNum w:abstractNumId="22">
    <w:nsid w:val="03D62ECE"/>
    <w:multiLevelType w:val="singleLevel"/>
    <w:tmpl w:val="03D62ECE"/>
    <w:lvl w:ilvl="0" w:tentative="0">
      <w:start w:val="2"/>
      <w:numFmt w:val="decimal"/>
      <w:lvlText w:val="%1."/>
      <w:lvlJc w:val="left"/>
      <w:rPr>
        <w:color w:val="3370FF"/>
      </w:rPr>
    </w:lvl>
  </w:abstractNum>
  <w:abstractNum w:abstractNumId="23">
    <w:nsid w:val="0E640482"/>
    <w:multiLevelType w:val="singleLevel"/>
    <w:tmpl w:val="0E640482"/>
    <w:lvl w:ilvl="0" w:tentative="0">
      <w:start w:val="18"/>
      <w:numFmt w:val="decimal"/>
      <w:lvlText w:val="%1."/>
      <w:lvlJc w:val="left"/>
      <w:rPr>
        <w:color w:val="3370FF"/>
      </w:rPr>
    </w:lvl>
  </w:abstractNum>
  <w:abstractNum w:abstractNumId="24">
    <w:nsid w:val="243FCF68"/>
    <w:multiLevelType w:val="singleLevel"/>
    <w:tmpl w:val="243FCF68"/>
    <w:lvl w:ilvl="0" w:tentative="0">
      <w:start w:val="31"/>
      <w:numFmt w:val="decimal"/>
      <w:lvlText w:val="%1."/>
      <w:lvlJc w:val="left"/>
      <w:rPr>
        <w:color w:val="3370FF"/>
      </w:rPr>
    </w:lvl>
  </w:abstractNum>
  <w:abstractNum w:abstractNumId="25">
    <w:nsid w:val="2470EC97"/>
    <w:multiLevelType w:val="singleLevel"/>
    <w:tmpl w:val="2470EC97"/>
    <w:lvl w:ilvl="0" w:tentative="0">
      <w:start w:val="12"/>
      <w:numFmt w:val="decimal"/>
      <w:lvlText w:val="%1."/>
      <w:lvlJc w:val="left"/>
      <w:rPr>
        <w:color w:val="3370FF"/>
      </w:rPr>
    </w:lvl>
  </w:abstractNum>
  <w:abstractNum w:abstractNumId="26">
    <w:nsid w:val="25B654F3"/>
    <w:multiLevelType w:val="singleLevel"/>
    <w:tmpl w:val="25B654F3"/>
    <w:lvl w:ilvl="0" w:tentative="0">
      <w:start w:val="3"/>
      <w:numFmt w:val="decimal"/>
      <w:lvlText w:val="%1."/>
      <w:lvlJc w:val="left"/>
      <w:rPr>
        <w:color w:val="3370FF"/>
      </w:rPr>
    </w:lvl>
  </w:abstractNum>
  <w:abstractNum w:abstractNumId="27">
    <w:nsid w:val="2A8F537B"/>
    <w:multiLevelType w:val="singleLevel"/>
    <w:tmpl w:val="2A8F537B"/>
    <w:lvl w:ilvl="0" w:tentative="0">
      <w:start w:val="7"/>
      <w:numFmt w:val="decimal"/>
      <w:lvlText w:val="%1."/>
      <w:lvlJc w:val="left"/>
      <w:rPr>
        <w:color w:val="3370FF"/>
      </w:rPr>
    </w:lvl>
  </w:abstractNum>
  <w:abstractNum w:abstractNumId="28">
    <w:nsid w:val="30FC5B15"/>
    <w:multiLevelType w:val="singleLevel"/>
    <w:tmpl w:val="30FC5B15"/>
    <w:lvl w:ilvl="0" w:tentative="0">
      <w:start w:val="35"/>
      <w:numFmt w:val="decimal"/>
      <w:lvlText w:val="%1."/>
      <w:lvlJc w:val="left"/>
      <w:rPr>
        <w:color w:val="3370FF"/>
      </w:rPr>
    </w:lvl>
  </w:abstractNum>
  <w:abstractNum w:abstractNumId="29">
    <w:nsid w:val="39A0D9AC"/>
    <w:multiLevelType w:val="singleLevel"/>
    <w:tmpl w:val="39A0D9AC"/>
    <w:lvl w:ilvl="0" w:tentative="0">
      <w:start w:val="26"/>
      <w:numFmt w:val="decimal"/>
      <w:lvlText w:val="%1."/>
      <w:lvlJc w:val="left"/>
      <w:rPr>
        <w:color w:val="3370FF"/>
      </w:rPr>
    </w:lvl>
  </w:abstractNum>
  <w:abstractNum w:abstractNumId="30">
    <w:nsid w:val="46A08BB8"/>
    <w:multiLevelType w:val="singleLevel"/>
    <w:tmpl w:val="46A08BB8"/>
    <w:lvl w:ilvl="0" w:tentative="0">
      <w:start w:val="19"/>
      <w:numFmt w:val="decimal"/>
      <w:lvlText w:val="%1."/>
      <w:lvlJc w:val="left"/>
      <w:rPr>
        <w:color w:val="3370FF"/>
      </w:rPr>
    </w:lvl>
  </w:abstractNum>
  <w:abstractNum w:abstractNumId="31">
    <w:nsid w:val="4C1BAE26"/>
    <w:multiLevelType w:val="singleLevel"/>
    <w:tmpl w:val="4C1BAE26"/>
    <w:lvl w:ilvl="0" w:tentative="0">
      <w:start w:val="16"/>
      <w:numFmt w:val="decimal"/>
      <w:lvlText w:val="%1."/>
      <w:lvlJc w:val="left"/>
      <w:rPr>
        <w:color w:val="3370FF"/>
      </w:rPr>
    </w:lvl>
  </w:abstractNum>
  <w:abstractNum w:abstractNumId="32">
    <w:nsid w:val="4D4DC07F"/>
    <w:multiLevelType w:val="singleLevel"/>
    <w:tmpl w:val="4D4DC07F"/>
    <w:lvl w:ilvl="0" w:tentative="0">
      <w:start w:val="10"/>
      <w:numFmt w:val="decimal"/>
      <w:lvlText w:val="%1."/>
      <w:lvlJc w:val="left"/>
      <w:rPr>
        <w:color w:val="3370FF"/>
      </w:rPr>
    </w:lvl>
  </w:abstractNum>
  <w:abstractNum w:abstractNumId="33">
    <w:nsid w:val="4D94DA66"/>
    <w:multiLevelType w:val="singleLevel"/>
    <w:tmpl w:val="4D94DA66"/>
    <w:lvl w:ilvl="0" w:tentative="0">
      <w:start w:val="32"/>
      <w:numFmt w:val="decimal"/>
      <w:lvlText w:val="%1."/>
      <w:lvlJc w:val="left"/>
      <w:rPr>
        <w:color w:val="3370FF"/>
      </w:rPr>
    </w:lvl>
  </w:abstractNum>
  <w:abstractNum w:abstractNumId="34">
    <w:nsid w:val="58765686"/>
    <w:multiLevelType w:val="singleLevel"/>
    <w:tmpl w:val="58765686"/>
    <w:lvl w:ilvl="0" w:tentative="0">
      <w:start w:val="28"/>
      <w:numFmt w:val="decimal"/>
      <w:lvlText w:val="%1."/>
      <w:lvlJc w:val="left"/>
      <w:rPr>
        <w:color w:val="3370FF"/>
      </w:rPr>
    </w:lvl>
  </w:abstractNum>
  <w:abstractNum w:abstractNumId="35">
    <w:nsid w:val="59ADCABA"/>
    <w:multiLevelType w:val="singleLevel"/>
    <w:tmpl w:val="59ADCABA"/>
    <w:lvl w:ilvl="0" w:tentative="0">
      <w:start w:val="3"/>
      <w:numFmt w:val="decimal"/>
      <w:lvlText w:val="%1."/>
      <w:lvlJc w:val="left"/>
      <w:rPr>
        <w:color w:val="3370FF"/>
      </w:rPr>
    </w:lvl>
  </w:abstractNum>
  <w:abstractNum w:abstractNumId="36">
    <w:nsid w:val="5A241D34"/>
    <w:multiLevelType w:val="singleLevel"/>
    <w:tmpl w:val="5A241D34"/>
    <w:lvl w:ilvl="0" w:tentative="0">
      <w:start w:val="8"/>
      <w:numFmt w:val="decimal"/>
      <w:lvlText w:val="%1."/>
      <w:lvlJc w:val="left"/>
      <w:rPr>
        <w:color w:val="3370FF"/>
      </w:rPr>
    </w:lvl>
  </w:abstractNum>
  <w:abstractNum w:abstractNumId="37">
    <w:nsid w:val="5E29AB5A"/>
    <w:multiLevelType w:val="singleLevel"/>
    <w:tmpl w:val="5E29AB5A"/>
    <w:lvl w:ilvl="0" w:tentative="0">
      <w:start w:val="40"/>
      <w:numFmt w:val="decimal"/>
      <w:lvlText w:val="%1."/>
      <w:lvlJc w:val="left"/>
      <w:rPr>
        <w:color w:val="3370FF"/>
      </w:rPr>
    </w:lvl>
  </w:abstractNum>
  <w:abstractNum w:abstractNumId="38">
    <w:nsid w:val="60382F6E"/>
    <w:multiLevelType w:val="singleLevel"/>
    <w:tmpl w:val="60382F6E"/>
    <w:lvl w:ilvl="0" w:tentative="0">
      <w:start w:val="17"/>
      <w:numFmt w:val="decimal"/>
      <w:lvlText w:val="%1."/>
      <w:lvlJc w:val="left"/>
      <w:rPr>
        <w:color w:val="3370FF"/>
      </w:rPr>
    </w:lvl>
  </w:abstractNum>
  <w:abstractNum w:abstractNumId="39">
    <w:nsid w:val="629F7852"/>
    <w:multiLevelType w:val="singleLevel"/>
    <w:tmpl w:val="629F7852"/>
    <w:lvl w:ilvl="0" w:tentative="0">
      <w:start w:val="24"/>
      <w:numFmt w:val="decimal"/>
      <w:lvlText w:val="%1."/>
      <w:lvlJc w:val="left"/>
      <w:rPr>
        <w:color w:val="3370FF"/>
      </w:rPr>
    </w:lvl>
  </w:abstractNum>
  <w:abstractNum w:abstractNumId="40">
    <w:nsid w:val="72183CF9"/>
    <w:multiLevelType w:val="singleLevel"/>
    <w:tmpl w:val="72183CF9"/>
    <w:lvl w:ilvl="0" w:tentative="0">
      <w:start w:val="4"/>
      <w:numFmt w:val="decimal"/>
      <w:lvlText w:val="%1."/>
      <w:lvlJc w:val="left"/>
      <w:rPr>
        <w:color w:val="3370FF"/>
      </w:rPr>
    </w:lvl>
  </w:abstractNum>
  <w:abstractNum w:abstractNumId="41">
    <w:nsid w:val="77ECEA79"/>
    <w:multiLevelType w:val="singleLevel"/>
    <w:tmpl w:val="77ECEA79"/>
    <w:lvl w:ilvl="0" w:tentative="0">
      <w:start w:val="22"/>
      <w:numFmt w:val="decimal"/>
      <w:lvlText w:val="%1."/>
      <w:lvlJc w:val="left"/>
      <w:rPr>
        <w:color w:val="3370FF"/>
      </w:rPr>
    </w:lvl>
  </w:abstractNum>
  <w:abstractNum w:abstractNumId="42">
    <w:nsid w:val="79AA4FA4"/>
    <w:multiLevelType w:val="singleLevel"/>
    <w:tmpl w:val="79AA4FA4"/>
    <w:lvl w:ilvl="0" w:tentative="0">
      <w:start w:val="36"/>
      <w:numFmt w:val="decimal"/>
      <w:lvlText w:val="%1."/>
      <w:lvlJc w:val="left"/>
      <w:rPr>
        <w:color w:val="3370FF"/>
      </w:rPr>
    </w:lvl>
  </w:abstractNum>
  <w:abstractNum w:abstractNumId="43">
    <w:nsid w:val="7C246926"/>
    <w:multiLevelType w:val="singleLevel"/>
    <w:tmpl w:val="7C246926"/>
    <w:lvl w:ilvl="0" w:tentative="0">
      <w:start w:val="21"/>
      <w:numFmt w:val="decimal"/>
      <w:lvlText w:val="%1."/>
      <w:lvlJc w:val="left"/>
      <w:rPr>
        <w:color w:val="3370FF"/>
      </w:rPr>
    </w:lvl>
  </w:abstractNum>
  <w:abstractNum w:abstractNumId="44">
    <w:nsid w:val="7DEC2089"/>
    <w:multiLevelType w:val="singleLevel"/>
    <w:tmpl w:val="7DEC2089"/>
    <w:lvl w:ilvl="0" w:tentative="0">
      <w:start w:val="29"/>
      <w:numFmt w:val="decimal"/>
      <w:lvlText w:val="%1."/>
      <w:lvlJc w:val="left"/>
      <w:rPr>
        <w:color w:val="3370FF"/>
      </w:rPr>
    </w:lvl>
  </w:abstractNum>
  <w:num w:numId="1">
    <w:abstractNumId w:val="20"/>
  </w:num>
  <w:num w:numId="2">
    <w:abstractNumId w:val="14"/>
  </w:num>
  <w:num w:numId="3">
    <w:abstractNumId w:val="35"/>
  </w:num>
  <w:num w:numId="4">
    <w:abstractNumId w:val="12"/>
  </w:num>
  <w:num w:numId="5">
    <w:abstractNumId w:val="8"/>
  </w:num>
  <w:num w:numId="6">
    <w:abstractNumId w:val="22"/>
  </w:num>
  <w:num w:numId="7">
    <w:abstractNumId w:val="26"/>
  </w:num>
  <w:num w:numId="8">
    <w:abstractNumId w:val="40"/>
  </w:num>
  <w:num w:numId="9">
    <w:abstractNumId w:val="21"/>
  </w:num>
  <w:num w:numId="10">
    <w:abstractNumId w:val="4"/>
  </w:num>
  <w:num w:numId="11">
    <w:abstractNumId w:val="27"/>
  </w:num>
  <w:num w:numId="12">
    <w:abstractNumId w:val="36"/>
  </w:num>
  <w:num w:numId="13">
    <w:abstractNumId w:val="13"/>
  </w:num>
  <w:num w:numId="14">
    <w:abstractNumId w:val="32"/>
  </w:num>
  <w:num w:numId="15">
    <w:abstractNumId w:val="18"/>
  </w:num>
  <w:num w:numId="16">
    <w:abstractNumId w:val="25"/>
  </w:num>
  <w:num w:numId="17">
    <w:abstractNumId w:val="16"/>
  </w:num>
  <w:num w:numId="18">
    <w:abstractNumId w:val="15"/>
  </w:num>
  <w:num w:numId="19">
    <w:abstractNumId w:val="6"/>
  </w:num>
  <w:num w:numId="20">
    <w:abstractNumId w:val="31"/>
  </w:num>
  <w:num w:numId="21">
    <w:abstractNumId w:val="38"/>
  </w:num>
  <w:num w:numId="22">
    <w:abstractNumId w:val="23"/>
  </w:num>
  <w:num w:numId="23">
    <w:abstractNumId w:val="30"/>
  </w:num>
  <w:num w:numId="24">
    <w:abstractNumId w:val="7"/>
  </w:num>
  <w:num w:numId="25">
    <w:abstractNumId w:val="43"/>
  </w:num>
  <w:num w:numId="26">
    <w:abstractNumId w:val="41"/>
  </w:num>
  <w:num w:numId="27">
    <w:abstractNumId w:val="11"/>
  </w:num>
  <w:num w:numId="28">
    <w:abstractNumId w:val="39"/>
  </w:num>
  <w:num w:numId="29">
    <w:abstractNumId w:val="5"/>
  </w:num>
  <w:num w:numId="30">
    <w:abstractNumId w:val="29"/>
  </w:num>
  <w:num w:numId="31">
    <w:abstractNumId w:val="2"/>
  </w:num>
  <w:num w:numId="32">
    <w:abstractNumId w:val="34"/>
  </w:num>
  <w:num w:numId="33">
    <w:abstractNumId w:val="44"/>
  </w:num>
  <w:num w:numId="34">
    <w:abstractNumId w:val="0"/>
  </w:num>
  <w:num w:numId="35">
    <w:abstractNumId w:val="24"/>
  </w:num>
  <w:num w:numId="36">
    <w:abstractNumId w:val="33"/>
  </w:num>
  <w:num w:numId="37">
    <w:abstractNumId w:val="19"/>
  </w:num>
  <w:num w:numId="38">
    <w:abstractNumId w:val="17"/>
  </w:num>
  <w:num w:numId="39">
    <w:abstractNumId w:val="28"/>
  </w:num>
  <w:num w:numId="40">
    <w:abstractNumId w:val="42"/>
  </w:num>
  <w:num w:numId="41">
    <w:abstractNumId w:val="10"/>
  </w:num>
  <w:num w:numId="42">
    <w:abstractNumId w:val="3"/>
  </w:num>
  <w:num w:numId="43">
    <w:abstractNumId w:val="9"/>
  </w:num>
  <w:num w:numId="44">
    <w:abstractNumId w:val="37"/>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3312A8"/>
    <w:rsid w:val="7A9D13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5047</Words>
  <Characters>9747</Characters>
  <TotalTime>11</TotalTime>
  <ScaleCrop>false</ScaleCrop>
  <LinksUpToDate>false</LinksUpToDate>
  <CharactersWithSpaces>9956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2026-02-07T09:43:00Z</dcterms:created>
  <dc:creator>Apache POI</dc:creator>
  <cp:lastModifiedBy>WPS_1664351319</cp:lastModifiedBy>
  <dcterms:modified xsi:type="dcterms:W3CDTF">2026-02-07T09:55:27Z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0659729EC9EF404EB1F3916E1865E847_13</vt:lpwstr>
  </property>
</Properties>
</file>