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662A00" w:rsidRPr="00BC5A86" w14:paraId="67D957D7" w14:textId="77777777" w:rsidTr="00151CF6">
        <w:tc>
          <w:tcPr>
            <w:tcW w:w="9016" w:type="dxa"/>
            <w:shd w:val="clear" w:color="auto" w:fill="E7E6E6" w:themeFill="background2"/>
          </w:tcPr>
          <w:p w14:paraId="14EAFB0C" w14:textId="77777777" w:rsidR="00662A00" w:rsidRPr="009F172C" w:rsidRDefault="00662A00" w:rsidP="00151CF6">
            <w:pPr>
              <w:jc w:val="center"/>
              <w:rPr>
                <w:rFonts w:ascii="Aptos" w:hAnsi="Aptos"/>
                <w:b/>
                <w:bCs/>
                <w:lang w:val="en-US"/>
              </w:rPr>
            </w:pPr>
          </w:p>
          <w:p w14:paraId="15ADBA87" w14:textId="4982AC81" w:rsidR="00662A00" w:rsidRPr="009F172C" w:rsidRDefault="00662A00" w:rsidP="00151CF6">
            <w:pPr>
              <w:jc w:val="center"/>
              <w:rPr>
                <w:rFonts w:ascii="Aptos" w:hAnsi="Aptos"/>
                <w:b/>
                <w:bCs/>
                <w:sz w:val="24"/>
                <w:szCs w:val="24"/>
                <w:lang w:val="en-US"/>
              </w:rPr>
            </w:pPr>
            <w:r w:rsidRPr="009F172C">
              <w:rPr>
                <w:rFonts w:ascii="Aptos" w:hAnsi="Aptos"/>
                <w:b/>
                <w:bCs/>
                <w:sz w:val="24"/>
                <w:szCs w:val="24"/>
                <w:lang w:val="en-US"/>
              </w:rPr>
              <w:t xml:space="preserve">Moody’s : </w:t>
            </w:r>
            <w:r w:rsidR="009F172C" w:rsidRPr="009F172C">
              <w:rPr>
                <w:rFonts w:ascii="Aptos" w:hAnsi="Aptos"/>
                <w:b/>
                <w:bCs/>
                <w:sz w:val="24"/>
                <w:szCs w:val="24"/>
                <w:lang w:val="en-US"/>
              </w:rPr>
              <w:t>B2</w:t>
            </w:r>
            <w:r w:rsidR="00FB1B23" w:rsidRPr="009F172C">
              <w:rPr>
                <w:rFonts w:ascii="Aptos" w:hAnsi="Aptos"/>
                <w:b/>
                <w:bCs/>
                <w:sz w:val="24"/>
                <w:szCs w:val="24"/>
                <w:lang w:val="en-US"/>
              </w:rPr>
              <w:t xml:space="preserve">, </w:t>
            </w:r>
            <w:r w:rsidR="009F172C" w:rsidRPr="009F172C">
              <w:rPr>
                <w:rFonts w:ascii="Aptos" w:hAnsi="Aptos"/>
                <w:b/>
                <w:bCs/>
                <w:sz w:val="18"/>
                <w:szCs w:val="18"/>
                <w:lang w:val="en-US"/>
              </w:rPr>
              <w:t>Stable</w:t>
            </w:r>
            <w:r w:rsidR="00FB1B23" w:rsidRPr="009F172C">
              <w:rPr>
                <w:rFonts w:ascii="Aptos" w:hAnsi="Aptos"/>
                <w:b/>
                <w:bCs/>
                <w:sz w:val="24"/>
                <w:szCs w:val="24"/>
                <w:lang w:val="en-US"/>
              </w:rPr>
              <w:t xml:space="preserve"> |</w:t>
            </w:r>
            <w:r w:rsidRPr="009F172C">
              <w:rPr>
                <w:rFonts w:ascii="Aptos" w:hAnsi="Aptos"/>
                <w:b/>
                <w:bCs/>
                <w:sz w:val="24"/>
                <w:szCs w:val="24"/>
                <w:lang w:val="en-US"/>
              </w:rPr>
              <w:t xml:space="preserve"> Fitch : </w:t>
            </w:r>
            <w:r w:rsidR="009F172C">
              <w:rPr>
                <w:rFonts w:ascii="Aptos" w:hAnsi="Aptos"/>
                <w:b/>
                <w:bCs/>
                <w:sz w:val="24"/>
                <w:szCs w:val="24"/>
                <w:lang w:val="en-US"/>
              </w:rPr>
              <w:t>B+</w:t>
            </w:r>
            <w:r w:rsidR="00FB1B23" w:rsidRPr="009F172C">
              <w:rPr>
                <w:rFonts w:ascii="Aptos" w:hAnsi="Aptos"/>
                <w:b/>
                <w:bCs/>
                <w:sz w:val="24"/>
                <w:szCs w:val="24"/>
                <w:lang w:val="en-US"/>
              </w:rPr>
              <w:t xml:space="preserve">, </w:t>
            </w:r>
            <w:r w:rsidR="00FB1B23" w:rsidRPr="009F172C">
              <w:rPr>
                <w:rFonts w:ascii="Aptos" w:hAnsi="Aptos"/>
                <w:b/>
                <w:bCs/>
                <w:sz w:val="18"/>
                <w:szCs w:val="18"/>
                <w:lang w:val="en-US"/>
              </w:rPr>
              <w:t>Stable</w:t>
            </w:r>
            <w:r w:rsidRPr="009F172C">
              <w:rPr>
                <w:rFonts w:ascii="Aptos" w:hAnsi="Aptos"/>
                <w:b/>
                <w:bCs/>
                <w:lang w:val="en-US"/>
              </w:rPr>
              <w:t xml:space="preserve"> </w:t>
            </w:r>
            <w:r w:rsidR="007971CE" w:rsidRPr="009F172C">
              <w:rPr>
                <w:rFonts w:ascii="Aptos" w:hAnsi="Aptos"/>
                <w:b/>
                <w:bCs/>
                <w:sz w:val="24"/>
                <w:szCs w:val="24"/>
                <w:lang w:val="en-US"/>
              </w:rPr>
              <w:t xml:space="preserve">| </w:t>
            </w:r>
            <w:r w:rsidRPr="009F172C">
              <w:rPr>
                <w:rFonts w:ascii="Aptos" w:hAnsi="Aptos"/>
                <w:b/>
                <w:bCs/>
                <w:sz w:val="24"/>
                <w:szCs w:val="24"/>
                <w:lang w:val="en-US"/>
              </w:rPr>
              <w:t xml:space="preserve">S&amp;P : </w:t>
            </w:r>
            <w:r w:rsidR="009F172C">
              <w:rPr>
                <w:rFonts w:ascii="Aptos" w:hAnsi="Aptos"/>
                <w:b/>
                <w:bCs/>
                <w:sz w:val="24"/>
                <w:szCs w:val="24"/>
                <w:lang w:val="en-US"/>
              </w:rPr>
              <w:t>B+</w:t>
            </w:r>
            <w:r w:rsidR="008F7262" w:rsidRPr="009F172C">
              <w:rPr>
                <w:rFonts w:ascii="Aptos" w:hAnsi="Aptos"/>
                <w:b/>
                <w:bCs/>
                <w:sz w:val="24"/>
                <w:szCs w:val="24"/>
                <w:lang w:val="en-US"/>
              </w:rPr>
              <w:t xml:space="preserve">, </w:t>
            </w:r>
            <w:r w:rsidR="008F7262" w:rsidRPr="009F172C">
              <w:rPr>
                <w:rFonts w:ascii="Aptos" w:hAnsi="Aptos"/>
                <w:b/>
                <w:bCs/>
                <w:sz w:val="18"/>
                <w:szCs w:val="18"/>
                <w:lang w:val="en-US"/>
              </w:rPr>
              <w:t>Stable</w:t>
            </w:r>
          </w:p>
          <w:p w14:paraId="44D9853D" w14:textId="77777777" w:rsidR="00662A00" w:rsidRPr="009F172C" w:rsidRDefault="00662A00" w:rsidP="00151CF6">
            <w:pPr>
              <w:jc w:val="both"/>
              <w:rPr>
                <w:rFonts w:ascii="Aptos" w:hAnsi="Aptos"/>
                <w:lang w:val="en-US"/>
              </w:rPr>
            </w:pPr>
          </w:p>
        </w:tc>
      </w:tr>
    </w:tbl>
    <w:p w14:paraId="6496C5C3" w14:textId="77777777" w:rsidR="00C71EC2" w:rsidRPr="009F172C" w:rsidRDefault="00C71EC2">
      <w:pPr>
        <w:rPr>
          <w:rFonts w:ascii="Aptos" w:hAnsi="Aptos"/>
          <w:lang w:val="en-US"/>
        </w:rPr>
      </w:pPr>
    </w:p>
    <w:tbl>
      <w:tblPr>
        <w:tblStyle w:val="TableGrid"/>
        <w:tblW w:w="8995" w:type="dxa"/>
        <w:tblLook w:val="04A0" w:firstRow="1" w:lastRow="0" w:firstColumn="1" w:lastColumn="0" w:noHBand="0" w:noVBand="1"/>
      </w:tblPr>
      <w:tblGrid>
        <w:gridCol w:w="4495"/>
        <w:gridCol w:w="4500"/>
      </w:tblGrid>
      <w:tr w:rsidR="00A31D7D" w:rsidRPr="009F172C" w14:paraId="3D961700" w14:textId="77777777" w:rsidTr="009E07B2">
        <w:trPr>
          <w:trHeight w:val="2942"/>
        </w:trPr>
        <w:tc>
          <w:tcPr>
            <w:tcW w:w="4495" w:type="dxa"/>
          </w:tcPr>
          <w:p w14:paraId="384EDFB6" w14:textId="77777777" w:rsidR="00A31D7D" w:rsidRPr="009F172C" w:rsidRDefault="00A31D7D" w:rsidP="00BF1044">
            <w:pPr>
              <w:jc w:val="center"/>
              <w:rPr>
                <w:rFonts w:ascii="Aptos" w:hAnsi="Aptos"/>
                <w:b/>
                <w:bCs/>
                <w:color w:val="70AD47" w:themeColor="accent6"/>
                <w:u w:val="single"/>
                <w:lang w:val="fr-BE"/>
              </w:rPr>
            </w:pPr>
            <w:r w:rsidRPr="009F172C">
              <w:rPr>
                <w:rFonts w:ascii="Aptos" w:hAnsi="Aptos"/>
                <w:b/>
                <w:bCs/>
                <w:color w:val="70AD47" w:themeColor="accent6"/>
                <w:u w:val="single"/>
                <w:lang w:val="fr-BE"/>
              </w:rPr>
              <w:t>Points forts</w:t>
            </w:r>
          </w:p>
          <w:p w14:paraId="44E912C6" w14:textId="77777777" w:rsidR="00A31D7D" w:rsidRPr="009F172C" w:rsidRDefault="00A31D7D" w:rsidP="00BF1044">
            <w:pPr>
              <w:jc w:val="both"/>
              <w:rPr>
                <w:rFonts w:ascii="Aptos" w:hAnsi="Aptos"/>
                <w:b/>
                <w:bCs/>
                <w:lang w:val="fr-BE"/>
              </w:rPr>
            </w:pPr>
          </w:p>
          <w:p w14:paraId="394A7722" w14:textId="020A44D5" w:rsidR="00115362" w:rsidRDefault="002F2BBB" w:rsidP="00115362">
            <w:pPr>
              <w:pStyle w:val="ListParagraph"/>
              <w:numPr>
                <w:ilvl w:val="0"/>
                <w:numId w:val="1"/>
              </w:numPr>
              <w:jc w:val="both"/>
              <w:rPr>
                <w:rFonts w:ascii="Aptos" w:hAnsi="Aptos"/>
                <w:b/>
                <w:bCs/>
                <w:lang w:val="fr-BE"/>
              </w:rPr>
            </w:pPr>
            <w:r>
              <w:rPr>
                <w:rFonts w:ascii="Aptos" w:hAnsi="Aptos"/>
                <w:b/>
                <w:bCs/>
                <w:lang w:val="fr-BE"/>
              </w:rPr>
              <w:t>Bonnes relations avec ses voisins</w:t>
            </w:r>
            <w:r w:rsidR="007F2255">
              <w:rPr>
                <w:rFonts w:ascii="Aptos" w:hAnsi="Aptos"/>
                <w:b/>
                <w:bCs/>
                <w:lang w:val="fr-BE"/>
              </w:rPr>
              <w:t xml:space="preserve"> (en particulier l’Arabie Saoudite)</w:t>
            </w:r>
            <w:r>
              <w:rPr>
                <w:rFonts w:ascii="Aptos" w:hAnsi="Aptos"/>
                <w:b/>
                <w:bCs/>
                <w:lang w:val="fr-BE"/>
              </w:rPr>
              <w:t xml:space="preserve"> incarnées par un soutien important de la CCG </w:t>
            </w:r>
          </w:p>
          <w:p w14:paraId="55C88962" w14:textId="77777777" w:rsidR="002F2BBB" w:rsidRDefault="002F2BBB" w:rsidP="00115362">
            <w:pPr>
              <w:pStyle w:val="ListParagraph"/>
              <w:numPr>
                <w:ilvl w:val="0"/>
                <w:numId w:val="1"/>
              </w:numPr>
              <w:jc w:val="both"/>
              <w:rPr>
                <w:rFonts w:ascii="Aptos" w:hAnsi="Aptos"/>
                <w:b/>
                <w:bCs/>
                <w:lang w:val="fr-BE"/>
              </w:rPr>
            </w:pPr>
            <w:r>
              <w:rPr>
                <w:rFonts w:ascii="Aptos" w:hAnsi="Aptos"/>
                <w:b/>
                <w:bCs/>
                <w:lang w:val="fr-BE"/>
              </w:rPr>
              <w:t>Une économie plus diversifiée que celle des autres pays de la zone</w:t>
            </w:r>
          </w:p>
          <w:p w14:paraId="6924B403" w14:textId="0BB2DED6" w:rsidR="002F2BBB" w:rsidRPr="009F172C" w:rsidRDefault="002F2BBB" w:rsidP="00115362">
            <w:pPr>
              <w:pStyle w:val="ListParagraph"/>
              <w:numPr>
                <w:ilvl w:val="0"/>
                <w:numId w:val="1"/>
              </w:numPr>
              <w:jc w:val="both"/>
              <w:rPr>
                <w:rFonts w:ascii="Aptos" w:hAnsi="Aptos"/>
                <w:b/>
                <w:bCs/>
                <w:lang w:val="fr-BE"/>
              </w:rPr>
            </w:pPr>
            <w:r>
              <w:rPr>
                <w:rFonts w:ascii="Aptos" w:hAnsi="Aptos"/>
                <w:b/>
                <w:bCs/>
                <w:lang w:val="fr-BE"/>
              </w:rPr>
              <w:t>Pas d’instabilité politique et sociale majeure à court-terme</w:t>
            </w:r>
          </w:p>
        </w:tc>
        <w:tc>
          <w:tcPr>
            <w:tcW w:w="4500" w:type="dxa"/>
          </w:tcPr>
          <w:p w14:paraId="401ACA08" w14:textId="77777777" w:rsidR="00A31D7D" w:rsidRPr="009F172C" w:rsidRDefault="00A31D7D" w:rsidP="00BF1044">
            <w:pPr>
              <w:jc w:val="center"/>
              <w:rPr>
                <w:rFonts w:ascii="Aptos" w:hAnsi="Aptos"/>
                <w:b/>
                <w:bCs/>
                <w:color w:val="FF0000"/>
                <w:u w:val="single"/>
                <w:lang w:val="fr-BE"/>
              </w:rPr>
            </w:pPr>
            <w:r w:rsidRPr="009F172C">
              <w:rPr>
                <w:rFonts w:ascii="Aptos" w:hAnsi="Aptos"/>
                <w:b/>
                <w:bCs/>
                <w:color w:val="FF0000"/>
                <w:u w:val="single"/>
                <w:lang w:val="fr-BE"/>
              </w:rPr>
              <w:t>Points faibles</w:t>
            </w:r>
          </w:p>
          <w:p w14:paraId="5EC560CF" w14:textId="77777777" w:rsidR="00A31D7D" w:rsidRPr="009F172C" w:rsidRDefault="00A31D7D" w:rsidP="00BF1044">
            <w:pPr>
              <w:jc w:val="both"/>
              <w:rPr>
                <w:rFonts w:ascii="Aptos" w:hAnsi="Aptos"/>
                <w:b/>
                <w:bCs/>
                <w:lang w:val="fr-BE"/>
              </w:rPr>
            </w:pPr>
          </w:p>
          <w:p w14:paraId="0A9D1D6D" w14:textId="77777777" w:rsidR="00115362" w:rsidRDefault="002F2BBB" w:rsidP="001647E6">
            <w:pPr>
              <w:pStyle w:val="ListParagraph"/>
              <w:numPr>
                <w:ilvl w:val="0"/>
                <w:numId w:val="1"/>
              </w:numPr>
              <w:jc w:val="both"/>
              <w:rPr>
                <w:rFonts w:ascii="Aptos" w:hAnsi="Aptos"/>
                <w:b/>
                <w:bCs/>
                <w:lang w:val="fr-BE"/>
              </w:rPr>
            </w:pPr>
            <w:r>
              <w:rPr>
                <w:rFonts w:ascii="Aptos" w:hAnsi="Aptos"/>
                <w:b/>
                <w:bCs/>
                <w:lang w:val="fr-BE"/>
              </w:rPr>
              <w:t>Les cours actuels du pétrole actuels sont loin du niveau qui lui permettrait d’équilibrer ses comptes</w:t>
            </w:r>
          </w:p>
          <w:p w14:paraId="1770800F" w14:textId="77777777" w:rsidR="002F2BBB" w:rsidRDefault="002F2BBB" w:rsidP="001647E6">
            <w:pPr>
              <w:pStyle w:val="ListParagraph"/>
              <w:numPr>
                <w:ilvl w:val="0"/>
                <w:numId w:val="1"/>
              </w:numPr>
              <w:jc w:val="both"/>
              <w:rPr>
                <w:rFonts w:ascii="Aptos" w:hAnsi="Aptos"/>
                <w:b/>
                <w:bCs/>
                <w:lang w:val="fr-BE"/>
              </w:rPr>
            </w:pPr>
            <w:r>
              <w:rPr>
                <w:rFonts w:ascii="Aptos" w:hAnsi="Aptos"/>
                <w:b/>
                <w:bCs/>
                <w:lang w:val="fr-BE"/>
              </w:rPr>
              <w:t xml:space="preserve">Dette publique importante </w:t>
            </w:r>
          </w:p>
          <w:p w14:paraId="4488579E" w14:textId="38B5CDDF" w:rsidR="002F2BBB" w:rsidRPr="009F172C" w:rsidRDefault="007F2255" w:rsidP="001647E6">
            <w:pPr>
              <w:pStyle w:val="ListParagraph"/>
              <w:numPr>
                <w:ilvl w:val="0"/>
                <w:numId w:val="1"/>
              </w:numPr>
              <w:jc w:val="both"/>
              <w:rPr>
                <w:rFonts w:ascii="Aptos" w:hAnsi="Aptos"/>
                <w:b/>
                <w:bCs/>
                <w:lang w:val="fr-BE"/>
              </w:rPr>
            </w:pPr>
            <w:r>
              <w:rPr>
                <w:rFonts w:ascii="Aptos" w:hAnsi="Aptos"/>
                <w:b/>
                <w:bCs/>
                <w:lang w:val="fr-BE"/>
              </w:rPr>
              <w:t>Il y a une nécessité à ce que le gouvernement trouve de nouvelles sources de recettes</w:t>
            </w:r>
          </w:p>
        </w:tc>
      </w:tr>
    </w:tbl>
    <w:p w14:paraId="284790FA" w14:textId="77777777" w:rsidR="002D29A0" w:rsidRPr="009F172C" w:rsidRDefault="002D29A0" w:rsidP="00FE4A47">
      <w:pPr>
        <w:jc w:val="both"/>
        <w:rPr>
          <w:rFonts w:ascii="Aptos" w:hAnsi="Aptos"/>
          <w:b/>
          <w:bCs/>
          <w:highlight w:val="lightGray"/>
          <w:lang w:val="fr-BE"/>
        </w:rPr>
      </w:pPr>
    </w:p>
    <w:p w14:paraId="0C14897D" w14:textId="164DFEDC" w:rsidR="002D29A0" w:rsidRPr="0070755E" w:rsidRDefault="002D29A0" w:rsidP="00FE4A47">
      <w:pPr>
        <w:jc w:val="both"/>
        <w:rPr>
          <w:rFonts w:ascii="Aptos" w:hAnsi="Aptos"/>
          <w:b/>
          <w:bCs/>
          <w:highlight w:val="lightGray"/>
          <w:lang w:val="fr-BE"/>
        </w:rPr>
      </w:pPr>
      <w:r w:rsidRPr="0070755E">
        <w:rPr>
          <w:rFonts w:ascii="Aptos" w:hAnsi="Aptos"/>
          <w:b/>
          <w:bCs/>
          <w:highlight w:val="lightGray"/>
          <w:lang w:val="fr-BE"/>
        </w:rPr>
        <w:t xml:space="preserve">Résumé : </w:t>
      </w:r>
      <w:r w:rsidR="0070755E">
        <w:rPr>
          <w:rFonts w:ascii="Aptos" w:hAnsi="Aptos"/>
          <w:b/>
          <w:bCs/>
          <w:highlight w:val="lightGray"/>
          <w:lang w:val="fr-BE"/>
        </w:rPr>
        <w:t>L’année dernière</w:t>
      </w:r>
      <w:r w:rsidR="0070755E" w:rsidRPr="0070755E">
        <w:rPr>
          <w:rFonts w:ascii="Aptos" w:hAnsi="Aptos"/>
          <w:b/>
          <w:bCs/>
          <w:highlight w:val="lightGray"/>
          <w:lang w:val="fr-BE"/>
        </w:rPr>
        <w:t>, le PIB réel de Bahreïn a augmenté de 2,4 %</w:t>
      </w:r>
      <w:r w:rsidR="0070755E">
        <w:rPr>
          <w:rFonts w:ascii="Aptos" w:hAnsi="Aptos"/>
          <w:b/>
          <w:bCs/>
          <w:highlight w:val="lightGray"/>
          <w:lang w:val="fr-BE"/>
        </w:rPr>
        <w:t>. Cette croissance a été</w:t>
      </w:r>
      <w:r w:rsidR="0070755E" w:rsidRPr="0070755E">
        <w:rPr>
          <w:rFonts w:ascii="Aptos" w:hAnsi="Aptos"/>
          <w:b/>
          <w:bCs/>
          <w:highlight w:val="lightGray"/>
          <w:lang w:val="fr-BE"/>
        </w:rPr>
        <w:t xml:space="preserve"> soutenu par le tourisme, les transports et l'hôtellerie,</w:t>
      </w:r>
      <w:r w:rsidR="0070755E">
        <w:rPr>
          <w:rFonts w:ascii="Aptos" w:hAnsi="Aptos"/>
          <w:b/>
          <w:bCs/>
          <w:highlight w:val="lightGray"/>
          <w:lang w:val="fr-BE"/>
        </w:rPr>
        <w:t xml:space="preserve"> et a été possible </w:t>
      </w:r>
      <w:r w:rsidR="0070755E" w:rsidRPr="0070755E">
        <w:rPr>
          <w:rFonts w:ascii="Aptos" w:hAnsi="Aptos"/>
          <w:b/>
          <w:bCs/>
          <w:highlight w:val="lightGray"/>
          <w:lang w:val="fr-BE"/>
        </w:rPr>
        <w:t>malgré une contraction de 2,4 % du secteur pétrolier.</w:t>
      </w:r>
      <w:r w:rsidR="0070755E">
        <w:rPr>
          <w:rFonts w:ascii="Aptos" w:hAnsi="Aptos"/>
          <w:b/>
          <w:bCs/>
          <w:highlight w:val="lightGray"/>
          <w:lang w:val="fr-BE"/>
        </w:rPr>
        <w:t xml:space="preserve"> Aussi, le</w:t>
      </w:r>
      <w:r w:rsidR="0070755E" w:rsidRPr="0070755E">
        <w:rPr>
          <w:rFonts w:ascii="Aptos" w:hAnsi="Aptos"/>
          <w:b/>
          <w:bCs/>
          <w:highlight w:val="lightGray"/>
          <w:lang w:val="fr-BE"/>
        </w:rPr>
        <w:t xml:space="preserve"> Bahreïn bénéficie de bonnes relations avec ses voisins, notamment grâce au soutien du Conseil de Coopération du Golfe (CCG) qui facilite l'accès aux liquidités</w:t>
      </w:r>
      <w:r w:rsidR="004E26CF">
        <w:rPr>
          <w:rFonts w:ascii="Aptos" w:hAnsi="Aptos"/>
          <w:b/>
          <w:bCs/>
          <w:highlight w:val="lightGray"/>
          <w:lang w:val="fr-BE"/>
        </w:rPr>
        <w:t xml:space="preserve"> et lui fournit un soutien logistique pour la mise en place de projet d’envergures</w:t>
      </w:r>
      <w:r w:rsidR="0070755E" w:rsidRPr="0070755E">
        <w:rPr>
          <w:rFonts w:ascii="Aptos" w:hAnsi="Aptos"/>
          <w:b/>
          <w:bCs/>
          <w:highlight w:val="lightGray"/>
          <w:lang w:val="fr-BE"/>
        </w:rPr>
        <w:t>. L'économie bahreïnie est plus diversifiée que celle des autres pays de la région, et le pays est politiquement stable à court terme. Cependant, Bahreïn fait face à des défis majeurs : les prix actuels du pétrole sont bien inférieurs au niveau nécessaire pour équilibrer son budget, la dette publique est élevée, et de nouvelles sources de revenus sont nécessaires pour compenser la baisse des recettes pétrolières. La mise en œuvre des réformes clés</w:t>
      </w:r>
      <w:r w:rsidR="004E26CF">
        <w:rPr>
          <w:rFonts w:ascii="Aptos" w:hAnsi="Aptos"/>
          <w:b/>
          <w:bCs/>
          <w:highlight w:val="lightGray"/>
          <w:lang w:val="fr-BE"/>
        </w:rPr>
        <w:t xml:space="preserve"> annoncés par le gouvernement</w:t>
      </w:r>
      <w:r w:rsidR="0070755E" w:rsidRPr="0070755E">
        <w:rPr>
          <w:rFonts w:ascii="Aptos" w:hAnsi="Aptos"/>
          <w:b/>
          <w:bCs/>
          <w:highlight w:val="lightGray"/>
          <w:lang w:val="fr-BE"/>
        </w:rPr>
        <w:t xml:space="preserve">, </w:t>
      </w:r>
      <w:r w:rsidR="004E26CF">
        <w:rPr>
          <w:rFonts w:ascii="Aptos" w:hAnsi="Aptos"/>
          <w:b/>
          <w:bCs/>
          <w:highlight w:val="lightGray"/>
          <w:lang w:val="fr-BE"/>
        </w:rPr>
        <w:t>comme celle</w:t>
      </w:r>
      <w:r w:rsidR="0070755E" w:rsidRPr="0070755E">
        <w:rPr>
          <w:rFonts w:ascii="Aptos" w:hAnsi="Aptos"/>
          <w:b/>
          <w:bCs/>
          <w:highlight w:val="lightGray"/>
          <w:lang w:val="fr-BE"/>
        </w:rPr>
        <w:t xml:space="preserve"> concernant l'autorité de l'électricité et de l'eau, </w:t>
      </w:r>
      <w:r w:rsidR="004E26CF">
        <w:rPr>
          <w:rFonts w:ascii="Aptos" w:hAnsi="Aptos"/>
          <w:b/>
          <w:bCs/>
          <w:highlight w:val="lightGray"/>
          <w:lang w:val="fr-BE"/>
        </w:rPr>
        <w:t>sera</w:t>
      </w:r>
      <w:r w:rsidR="0070755E" w:rsidRPr="0070755E">
        <w:rPr>
          <w:rFonts w:ascii="Aptos" w:hAnsi="Aptos"/>
          <w:b/>
          <w:bCs/>
          <w:highlight w:val="lightGray"/>
          <w:lang w:val="fr-BE"/>
        </w:rPr>
        <w:t xml:space="preserve"> </w:t>
      </w:r>
      <w:r w:rsidR="004E26CF">
        <w:rPr>
          <w:rFonts w:ascii="Aptos" w:hAnsi="Aptos"/>
          <w:b/>
          <w:bCs/>
          <w:highlight w:val="lightGray"/>
          <w:lang w:val="fr-BE"/>
        </w:rPr>
        <w:t>décisive</w:t>
      </w:r>
      <w:r w:rsidR="0070755E" w:rsidRPr="0070755E">
        <w:rPr>
          <w:rFonts w:ascii="Aptos" w:hAnsi="Aptos"/>
          <w:b/>
          <w:bCs/>
          <w:highlight w:val="lightGray"/>
          <w:lang w:val="fr-BE"/>
        </w:rPr>
        <w:t xml:space="preserve"> pour </w:t>
      </w:r>
      <w:r w:rsidR="004E26CF">
        <w:rPr>
          <w:rFonts w:ascii="Aptos" w:hAnsi="Aptos"/>
          <w:b/>
          <w:bCs/>
          <w:highlight w:val="lightGray"/>
          <w:lang w:val="fr-BE"/>
        </w:rPr>
        <w:t>rendre possible une prospérité économique</w:t>
      </w:r>
      <w:r w:rsidR="0070755E" w:rsidRPr="0070755E">
        <w:rPr>
          <w:rFonts w:ascii="Aptos" w:hAnsi="Aptos"/>
          <w:b/>
          <w:bCs/>
          <w:highlight w:val="lightGray"/>
          <w:lang w:val="fr-BE"/>
        </w:rPr>
        <w:t>.</w:t>
      </w:r>
    </w:p>
    <w:p w14:paraId="4ECFB782" w14:textId="77777777" w:rsidR="00C91D01" w:rsidRPr="009F172C" w:rsidRDefault="00C91D01" w:rsidP="00FE4A47">
      <w:pPr>
        <w:jc w:val="both"/>
        <w:rPr>
          <w:rFonts w:ascii="Aptos" w:hAnsi="Aptos"/>
          <w:b/>
          <w:bCs/>
          <w:lang w:val="fr-BE"/>
        </w:rPr>
      </w:pPr>
    </w:p>
    <w:p w14:paraId="79425094" w14:textId="3432FAF3" w:rsidR="00C91D01" w:rsidRPr="009F172C" w:rsidRDefault="0007589E" w:rsidP="004E26CF">
      <w:pPr>
        <w:keepNext/>
        <w:jc w:val="center"/>
        <w:rPr>
          <w:rFonts w:ascii="Aptos" w:hAnsi="Aptos"/>
        </w:rPr>
      </w:pPr>
      <w:r>
        <w:rPr>
          <w:noProof/>
        </w:rPr>
        <w:drawing>
          <wp:inline distT="0" distB="0" distL="0" distR="0" wp14:anchorId="6B9C7E01" wp14:editId="41C0B22D">
            <wp:extent cx="5454318" cy="2988812"/>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68969" cy="2996840"/>
                    </a:xfrm>
                    <a:prstGeom prst="rect">
                      <a:avLst/>
                    </a:prstGeom>
                  </pic:spPr>
                </pic:pic>
              </a:graphicData>
            </a:graphic>
          </wp:inline>
        </w:drawing>
      </w:r>
    </w:p>
    <w:p w14:paraId="076CE48A" w14:textId="442E5D69" w:rsidR="00C91D01" w:rsidRPr="009F172C" w:rsidRDefault="00C91D01" w:rsidP="00C91D01">
      <w:pPr>
        <w:pStyle w:val="Caption"/>
        <w:jc w:val="center"/>
        <w:rPr>
          <w:rFonts w:ascii="Aptos" w:hAnsi="Aptos"/>
          <w:b/>
          <w:bCs/>
          <w:lang w:val="fr-BE"/>
        </w:rPr>
      </w:pPr>
      <w:r w:rsidRPr="009F172C">
        <w:rPr>
          <w:rFonts w:ascii="Aptos" w:hAnsi="Aptos"/>
        </w:rPr>
        <w:t xml:space="preserve">Le tableau et les données proviennent de </w:t>
      </w:r>
      <w:r w:rsidRPr="009F172C">
        <w:rPr>
          <w:rFonts w:ascii="Aptos" w:hAnsi="Aptos"/>
          <w:b/>
          <w:bCs/>
        </w:rPr>
        <w:t>Fitch Connect</w:t>
      </w:r>
    </w:p>
    <w:p w14:paraId="2A90EBE2" w14:textId="77777777" w:rsidR="002D29A0" w:rsidRPr="009F172C" w:rsidRDefault="002D29A0" w:rsidP="00FE4A47">
      <w:pPr>
        <w:jc w:val="both"/>
        <w:rPr>
          <w:rFonts w:ascii="Aptos" w:hAnsi="Aptos"/>
          <w:b/>
          <w:bCs/>
          <w:lang w:val="fr-BE"/>
        </w:rPr>
      </w:pPr>
    </w:p>
    <w:p w14:paraId="6925EF71" w14:textId="77777777" w:rsidR="001647E6" w:rsidRPr="009F172C" w:rsidRDefault="001647E6">
      <w:pPr>
        <w:rPr>
          <w:rFonts w:ascii="Aptos" w:hAnsi="Aptos"/>
          <w:u w:val="single"/>
        </w:rPr>
      </w:pPr>
      <w:r w:rsidRPr="009F172C">
        <w:rPr>
          <w:rFonts w:ascii="Aptos" w:hAnsi="Aptos"/>
          <w:u w:val="single"/>
        </w:rPr>
        <w:br w:type="page"/>
      </w:r>
    </w:p>
    <w:p w14:paraId="0B4F4BC6" w14:textId="34B399F4" w:rsidR="00662A00" w:rsidRDefault="00662A00" w:rsidP="00FE4A47">
      <w:pPr>
        <w:jc w:val="both"/>
        <w:rPr>
          <w:rFonts w:ascii="Aptos" w:hAnsi="Aptos"/>
          <w:u w:val="single"/>
        </w:rPr>
      </w:pPr>
      <w:r w:rsidRPr="009F172C">
        <w:rPr>
          <w:rFonts w:ascii="Aptos" w:hAnsi="Aptos"/>
          <w:u w:val="single"/>
        </w:rPr>
        <w:lastRenderedPageBreak/>
        <w:t>Rappels importants</w:t>
      </w:r>
    </w:p>
    <w:p w14:paraId="1D89EA0E" w14:textId="6501CD61" w:rsidR="00744CF6" w:rsidRPr="00744CF6" w:rsidRDefault="00744CF6" w:rsidP="00FE4A47">
      <w:pPr>
        <w:jc w:val="both"/>
        <w:rPr>
          <w:rFonts w:ascii="Aptos" w:hAnsi="Aptos"/>
        </w:rPr>
      </w:pPr>
      <w:r w:rsidRPr="00744CF6">
        <w:rPr>
          <w:rFonts w:ascii="Aptos" w:hAnsi="Aptos"/>
        </w:rPr>
        <w:t>Le Bahreïn</w:t>
      </w:r>
      <w:r>
        <w:rPr>
          <w:rFonts w:ascii="Aptos" w:hAnsi="Aptos"/>
        </w:rPr>
        <w:t xml:space="preserve"> est un pays de 1,472 millions d’habitants (dont la moitié est expatrié), d’une superficie de 765 km</w:t>
      </w:r>
      <w:r w:rsidRPr="00744CF6">
        <w:rPr>
          <w:rFonts w:ascii="Aptos" w:hAnsi="Aptos"/>
        </w:rPr>
        <w:t>² répartis sur 33 îles, dont certaines inhabitées</w:t>
      </w:r>
      <w:r>
        <w:rPr>
          <w:rFonts w:ascii="Aptos" w:hAnsi="Aptos"/>
        </w:rPr>
        <w:t xml:space="preserve">. </w:t>
      </w:r>
      <w:r w:rsidR="00F3116E">
        <w:rPr>
          <w:rFonts w:ascii="Aptos" w:hAnsi="Aptos"/>
        </w:rPr>
        <w:t>Le Bahreïn possède un PIB par habitant de 28 781</w:t>
      </w:r>
      <w:r w:rsidR="00F3116E" w:rsidRPr="00F3116E">
        <w:rPr>
          <w:rFonts w:ascii="Aptos" w:hAnsi="Aptos"/>
        </w:rPr>
        <w:t>$</w:t>
      </w:r>
      <w:r w:rsidR="00F3116E">
        <w:rPr>
          <w:rFonts w:ascii="Aptos" w:hAnsi="Aptos"/>
        </w:rPr>
        <w:t xml:space="preserve">, un taux de chômage de 3,80% et </w:t>
      </w:r>
      <w:r w:rsidR="00C1457A">
        <w:rPr>
          <w:rFonts w:ascii="Aptos" w:hAnsi="Aptos"/>
        </w:rPr>
        <w:t>un IDH de 0,875 ce qui le place à la 35</w:t>
      </w:r>
      <w:r w:rsidR="00C1457A" w:rsidRPr="00C1457A">
        <w:rPr>
          <w:rFonts w:ascii="Aptos" w:hAnsi="Aptos"/>
          <w:vertAlign w:val="superscript"/>
        </w:rPr>
        <w:t>e</w:t>
      </w:r>
      <w:r w:rsidR="00C1457A">
        <w:rPr>
          <w:rFonts w:ascii="Aptos" w:hAnsi="Aptos"/>
        </w:rPr>
        <w:t xml:space="preserve"> dans le classement.</w:t>
      </w:r>
    </w:p>
    <w:p w14:paraId="067A6B92" w14:textId="6C8CAB5D" w:rsidR="00391A75" w:rsidRDefault="00391A75" w:rsidP="00FE4A47">
      <w:pPr>
        <w:jc w:val="both"/>
        <w:rPr>
          <w:rFonts w:ascii="Aptos" w:hAnsi="Aptos"/>
        </w:rPr>
      </w:pPr>
      <w:r w:rsidRPr="009F172C">
        <w:rPr>
          <w:rFonts w:ascii="Aptos" w:hAnsi="Aptos"/>
        </w:rPr>
        <w:t>Après avoir été un protectorat britannique, le Bahreïn accède à l'indépendance de façon pacifique en 1971.</w:t>
      </w:r>
    </w:p>
    <w:p w14:paraId="7BF4015A" w14:textId="77777777" w:rsidR="00D72A21" w:rsidRDefault="00D72A21" w:rsidP="00FE4A47">
      <w:pPr>
        <w:jc w:val="both"/>
        <w:rPr>
          <w:rFonts w:ascii="Aptos" w:hAnsi="Aptos"/>
        </w:rPr>
      </w:pPr>
      <w:r w:rsidRPr="00D72A21">
        <w:rPr>
          <w:rFonts w:ascii="Aptos" w:hAnsi="Aptos"/>
        </w:rPr>
        <w:t xml:space="preserve">Bahreïn est une monarchie, dirigée par le roi Hamad ben Issa el-Khalifa. Le parlement est composé de deux chambres, Majlis an-Nouwwab (chambre des députés) et Majlis ach-Choura, de 40 sièges chacun, depuis la proclamation de la nouvelle Constitution par Hamad Al Khalifa le 14 février 2002. </w:t>
      </w:r>
    </w:p>
    <w:p w14:paraId="752CEFB4" w14:textId="3DA4F266" w:rsidR="00D72A21" w:rsidRDefault="00D72A21" w:rsidP="00FE4A47">
      <w:pPr>
        <w:jc w:val="both"/>
        <w:rPr>
          <w:rFonts w:ascii="Aptos" w:hAnsi="Aptos"/>
        </w:rPr>
      </w:pPr>
      <w:r w:rsidRPr="00D72A21">
        <w:rPr>
          <w:rFonts w:ascii="Aptos" w:hAnsi="Aptos"/>
        </w:rPr>
        <w:t>Selon cette constitution, le titre du souverain est passé d'émir (titre datant de 1971) à roi. Le Premier ministre est depuis l'indépendance en 1971 Khalifa ben Salmane Al Khalifa, oncle du roi.</w:t>
      </w:r>
    </w:p>
    <w:p w14:paraId="17770A84" w14:textId="4AC3FDA0" w:rsidR="00D72A21" w:rsidRPr="009F172C" w:rsidRDefault="00D72A21" w:rsidP="00FE4A47">
      <w:pPr>
        <w:jc w:val="both"/>
        <w:rPr>
          <w:rFonts w:ascii="Aptos" w:hAnsi="Aptos"/>
        </w:rPr>
      </w:pPr>
      <w:r w:rsidRPr="00D72A21">
        <w:rPr>
          <w:rFonts w:ascii="Aptos" w:hAnsi="Aptos"/>
        </w:rPr>
        <w:t xml:space="preserve">L'opposition légale était représentée par deux partis : le </w:t>
      </w:r>
      <w:proofErr w:type="spellStart"/>
      <w:r w:rsidRPr="00D72A21">
        <w:rPr>
          <w:rFonts w:ascii="Aptos" w:hAnsi="Aptos"/>
        </w:rPr>
        <w:t>Wefaq</w:t>
      </w:r>
      <w:proofErr w:type="spellEnd"/>
      <w:r w:rsidRPr="00D72A21">
        <w:rPr>
          <w:rFonts w:ascii="Aptos" w:hAnsi="Aptos"/>
        </w:rPr>
        <w:t xml:space="preserve">, chiite, et le </w:t>
      </w:r>
      <w:proofErr w:type="spellStart"/>
      <w:r w:rsidRPr="00D72A21">
        <w:rPr>
          <w:rFonts w:ascii="Aptos" w:hAnsi="Aptos"/>
        </w:rPr>
        <w:t>Waad</w:t>
      </w:r>
      <w:proofErr w:type="spellEnd"/>
      <w:r w:rsidRPr="00D72A21">
        <w:rPr>
          <w:rFonts w:ascii="Aptos" w:hAnsi="Aptos"/>
        </w:rPr>
        <w:t>, de gauche laïc. Ce dernier a toutefois toujours été privé du moindre siège au Parlement. Tous deux ont été interdits après le soulèvement de 2011</w:t>
      </w:r>
      <w:r>
        <w:rPr>
          <w:rFonts w:ascii="Aptos" w:hAnsi="Aptos"/>
        </w:rPr>
        <w:t xml:space="preserve"> qui s’inscrivait dans le mouvement du Printemps arabe. </w:t>
      </w:r>
    </w:p>
    <w:p w14:paraId="7CC55D52" w14:textId="77777777" w:rsidR="00B26765" w:rsidRPr="009F172C" w:rsidRDefault="00B26765" w:rsidP="00FE4A47">
      <w:pPr>
        <w:jc w:val="both"/>
        <w:rPr>
          <w:rFonts w:ascii="Aptos" w:hAnsi="Aptos"/>
        </w:rPr>
      </w:pPr>
    </w:p>
    <w:p w14:paraId="762BAB8D" w14:textId="77777777" w:rsidR="00593C5A" w:rsidRPr="009F172C" w:rsidRDefault="00593C5A" w:rsidP="00FE4A47">
      <w:pPr>
        <w:jc w:val="both"/>
        <w:rPr>
          <w:rFonts w:ascii="Aptos" w:hAnsi="Aptos"/>
          <w:u w:val="single"/>
          <w:lang w:val="fr-BE"/>
        </w:rPr>
      </w:pPr>
      <w:r w:rsidRPr="009F172C">
        <w:rPr>
          <w:rFonts w:ascii="Aptos" w:hAnsi="Aptos"/>
          <w:u w:val="single"/>
          <w:lang w:val="fr-BE"/>
        </w:rPr>
        <w:t>Contexte</w:t>
      </w:r>
    </w:p>
    <w:p w14:paraId="1657461C" w14:textId="77777777" w:rsidR="00E52296" w:rsidRDefault="00E52296" w:rsidP="00FE4A47">
      <w:pPr>
        <w:jc w:val="both"/>
        <w:rPr>
          <w:rFonts w:ascii="Aptos" w:hAnsi="Aptos"/>
          <w:lang w:val="fr-BE"/>
        </w:rPr>
      </w:pPr>
      <w:r w:rsidRPr="00E52296">
        <w:rPr>
          <w:rFonts w:ascii="Aptos" w:hAnsi="Aptos"/>
          <w:lang w:val="fr-BE"/>
        </w:rPr>
        <w:t xml:space="preserve">Le parlement de Bahreïn fonctionne et aucune tension politique majeure n'est attendue à court terme. La famille sunnite Al Khalifa règne depuis 1783. Hamad bin Isa bin Salman est roi depuis février 2002. La scène politique semble compliquée à long terme, en raison du sentiment de marginalisation politique et économique de la population chiite, qui représente environ 60 % de la population. </w:t>
      </w:r>
    </w:p>
    <w:p w14:paraId="1575A027" w14:textId="67656CF1" w:rsidR="0070755E" w:rsidRPr="00E52296" w:rsidRDefault="00BC5A86" w:rsidP="0070755E">
      <w:pPr>
        <w:jc w:val="both"/>
        <w:rPr>
          <w:rFonts w:ascii="Aptos" w:hAnsi="Aptos"/>
          <w:lang w:val="fr-BE"/>
        </w:rPr>
      </w:pPr>
      <w:r w:rsidRPr="00BC5A86">
        <w:rPr>
          <w:rFonts w:ascii="Aptos" w:hAnsi="Aptos"/>
          <w:lang w:val="fr-BE"/>
        </w:rPr>
        <w:t>Avec les États-Unis, la relation privilégiée est officiellement qualifiée de « stratégique ». Washington a d’ailleurs accordé en 2001 au Royaume de Bahreïn le statut d</w:t>
      </w:r>
      <w:r w:rsidRPr="00BC5A86">
        <w:rPr>
          <w:rFonts w:ascii="Aptos" w:hAnsi="Aptos"/>
          <w:lang w:val="fr-BE"/>
        </w:rPr>
        <w:t>’</w:t>
      </w:r>
      <w:r>
        <w:rPr>
          <w:rFonts w:ascii="Aptos" w:hAnsi="Aptos"/>
          <w:lang w:val="fr-BE"/>
        </w:rPr>
        <w:t> « </w:t>
      </w:r>
      <w:r w:rsidRPr="00BC5A86">
        <w:rPr>
          <w:rFonts w:ascii="Aptos" w:hAnsi="Aptos"/>
          <w:lang w:val="fr-BE"/>
        </w:rPr>
        <w:t>allié majeur hors OTAN ». Les États-Unis entretiennent avec Bahreïn une alliance militaire étroite, avec la signature en 1991, d’un accord de coopération de défense.</w:t>
      </w:r>
      <w:r w:rsidR="0070755E">
        <w:rPr>
          <w:rFonts w:ascii="Aptos" w:hAnsi="Aptos"/>
          <w:lang w:val="fr-BE"/>
        </w:rPr>
        <w:t xml:space="preserve"> Le </w:t>
      </w:r>
      <w:r w:rsidR="0070755E" w:rsidRPr="00E52296">
        <w:rPr>
          <w:rFonts w:ascii="Aptos" w:hAnsi="Aptos"/>
          <w:lang w:val="fr-BE"/>
        </w:rPr>
        <w:t>Bahreïn accueille la cinquième flotte américaine.</w:t>
      </w:r>
    </w:p>
    <w:p w14:paraId="7DFB8AF2" w14:textId="5C8DB36F" w:rsidR="00BC5A86" w:rsidRDefault="00BC5A86" w:rsidP="00FE4A47">
      <w:pPr>
        <w:jc w:val="both"/>
        <w:rPr>
          <w:rFonts w:ascii="Aptos" w:hAnsi="Aptos"/>
          <w:lang w:val="fr-BE"/>
        </w:rPr>
      </w:pPr>
    </w:p>
    <w:p w14:paraId="776674F1" w14:textId="49ADFF0C" w:rsidR="00E52296" w:rsidRDefault="00E52296" w:rsidP="00FE4A47">
      <w:pPr>
        <w:jc w:val="both"/>
        <w:rPr>
          <w:rFonts w:ascii="Aptos" w:hAnsi="Aptos"/>
          <w:lang w:val="fr-BE"/>
        </w:rPr>
      </w:pPr>
      <w:r w:rsidRPr="00E52296">
        <w:rPr>
          <w:rFonts w:ascii="Aptos" w:hAnsi="Aptos"/>
          <w:lang w:val="fr-BE"/>
        </w:rPr>
        <w:t>En outre, la dépendance économique croissante à l'égard de l'Arabie saoudite, la séparation inefficace des pouvoirs et les libertés civiles limitées constitueront des défis</w:t>
      </w:r>
      <w:r w:rsidR="0007589E">
        <w:rPr>
          <w:rFonts w:ascii="Aptos" w:hAnsi="Aptos"/>
          <w:lang w:val="fr-BE"/>
        </w:rPr>
        <w:t xml:space="preserve"> dans les années à venir. </w:t>
      </w:r>
      <w:r w:rsidRPr="00E52296">
        <w:rPr>
          <w:rFonts w:ascii="Aptos" w:hAnsi="Aptos"/>
          <w:lang w:val="fr-BE"/>
        </w:rPr>
        <w:t xml:space="preserve"> </w:t>
      </w:r>
    </w:p>
    <w:p w14:paraId="314E09F0" w14:textId="77777777" w:rsidR="00E52296" w:rsidRDefault="00E52296" w:rsidP="00FE4A47">
      <w:pPr>
        <w:jc w:val="both"/>
        <w:rPr>
          <w:rFonts w:ascii="Aptos" w:hAnsi="Aptos"/>
          <w:lang w:val="fr-BE"/>
        </w:rPr>
      </w:pPr>
      <w:r w:rsidRPr="00E52296">
        <w:rPr>
          <w:rFonts w:ascii="Aptos" w:hAnsi="Aptos"/>
          <w:lang w:val="fr-BE"/>
        </w:rPr>
        <w:t xml:space="preserve">La normalisation des relations diplomatiques avec Israël en 2020 continuera d'améliorer leurs liens commerciaux grâce à la signature prévue d'un accord de libre-échange. </w:t>
      </w:r>
    </w:p>
    <w:p w14:paraId="4089AC74" w14:textId="77777777" w:rsidR="00E52296" w:rsidRDefault="00E52296" w:rsidP="00FE4A47">
      <w:pPr>
        <w:jc w:val="both"/>
        <w:rPr>
          <w:rFonts w:ascii="Aptos" w:hAnsi="Aptos"/>
          <w:lang w:val="fr-BE"/>
        </w:rPr>
      </w:pPr>
      <w:r w:rsidRPr="00E52296">
        <w:rPr>
          <w:rFonts w:ascii="Aptos" w:hAnsi="Aptos"/>
          <w:lang w:val="fr-BE"/>
        </w:rPr>
        <w:t xml:space="preserve">Le récent rapprochement entre l'Arabie saoudite et l'Iran pourrait inciter Bahreïn à suivre cet exemple, même si le Bahreïn accuse l'Iran de soutenir des éléments subversifs au sein de sa population chiite. Pour l'instant, les deux pays font profil bas. </w:t>
      </w:r>
    </w:p>
    <w:p w14:paraId="1866B7B5" w14:textId="39114A2B" w:rsidR="0070755E" w:rsidRDefault="0070755E">
      <w:pPr>
        <w:rPr>
          <w:rFonts w:ascii="Aptos" w:hAnsi="Aptos"/>
          <w:u w:val="single"/>
          <w:lang w:val="fr-BE"/>
        </w:rPr>
      </w:pPr>
    </w:p>
    <w:p w14:paraId="422DCBE1" w14:textId="77777777" w:rsidR="00D72A21" w:rsidRDefault="00D72A21">
      <w:pPr>
        <w:rPr>
          <w:rFonts w:ascii="Aptos" w:hAnsi="Aptos"/>
          <w:u w:val="single"/>
          <w:lang w:val="fr-BE"/>
        </w:rPr>
      </w:pPr>
    </w:p>
    <w:p w14:paraId="616EA3BE" w14:textId="5B4591FD" w:rsidR="005A5631" w:rsidRDefault="00593C5A" w:rsidP="00FE4A47">
      <w:pPr>
        <w:jc w:val="both"/>
        <w:rPr>
          <w:rFonts w:ascii="Aptos" w:hAnsi="Aptos"/>
          <w:u w:val="single"/>
          <w:lang w:val="fr-BE"/>
        </w:rPr>
      </w:pPr>
      <w:r w:rsidRPr="009F172C">
        <w:rPr>
          <w:rFonts w:ascii="Aptos" w:hAnsi="Aptos"/>
          <w:u w:val="single"/>
          <w:lang w:val="fr-BE"/>
        </w:rPr>
        <w:lastRenderedPageBreak/>
        <w:t>Faits économiques</w:t>
      </w:r>
    </w:p>
    <w:p w14:paraId="754BAF6F" w14:textId="67DC7850" w:rsidR="009D4304" w:rsidRDefault="009F172C" w:rsidP="00FE4A47">
      <w:pPr>
        <w:jc w:val="both"/>
        <w:rPr>
          <w:rFonts w:ascii="Aptos" w:hAnsi="Aptos"/>
          <w:lang w:val="fr-BE"/>
        </w:rPr>
      </w:pPr>
      <w:r w:rsidRPr="009F172C">
        <w:rPr>
          <w:rFonts w:ascii="Aptos" w:hAnsi="Aptos"/>
          <w:lang w:val="fr-BE"/>
        </w:rPr>
        <w:t>En 2023, le PIB réel de Bahreïn a augmenté de 2,4 % grâce à la croissance du tourisme, des transports et de l'hôtellerie régionaux. Cette croissance a été partiellement compensée par une contraction de 2,4 % du secteur pétrolier, due à la maintenance temporaire du champ pétrolifère d'Abu Safa</w:t>
      </w:r>
      <w:r w:rsidR="00BC5A86">
        <w:rPr>
          <w:rFonts w:ascii="Aptos" w:hAnsi="Aptos"/>
          <w:lang w:val="fr-BE"/>
        </w:rPr>
        <w:t xml:space="preserve"> (150 000 barils par jour). </w:t>
      </w:r>
    </w:p>
    <w:p w14:paraId="7236C2A2" w14:textId="39D5A661" w:rsidR="0007589E" w:rsidRDefault="009F172C" w:rsidP="00FE4A47">
      <w:pPr>
        <w:jc w:val="both"/>
        <w:rPr>
          <w:rFonts w:ascii="Aptos" w:hAnsi="Aptos"/>
          <w:lang w:val="fr-BE"/>
        </w:rPr>
      </w:pPr>
      <w:r w:rsidRPr="009F172C">
        <w:rPr>
          <w:rFonts w:ascii="Aptos" w:hAnsi="Aptos"/>
          <w:lang w:val="fr-BE"/>
        </w:rPr>
        <w:t>Malgré la dépendance de Bahreïn à l'égard du pétrole pour ses recettes fiscales et extérieures, la contribution des hydrocarbures au PIB est</w:t>
      </w:r>
      <w:r w:rsidR="00F76BDB">
        <w:rPr>
          <w:rFonts w:ascii="Aptos" w:hAnsi="Aptos"/>
          <w:lang w:val="fr-BE"/>
        </w:rPr>
        <w:t xml:space="preserve"> d’environ 16%, ce qui est</w:t>
      </w:r>
      <w:r w:rsidRPr="009F172C">
        <w:rPr>
          <w:rFonts w:ascii="Aptos" w:hAnsi="Aptos"/>
          <w:lang w:val="fr-BE"/>
        </w:rPr>
        <w:t xml:space="preserve"> moindre</w:t>
      </w:r>
      <w:r w:rsidR="00F76BDB">
        <w:rPr>
          <w:rFonts w:ascii="Aptos" w:hAnsi="Aptos"/>
          <w:lang w:val="fr-BE"/>
        </w:rPr>
        <w:t xml:space="preserve"> que pour les autres pays de la zone</w:t>
      </w:r>
      <w:r w:rsidRPr="009F172C">
        <w:rPr>
          <w:rFonts w:ascii="Aptos" w:hAnsi="Aptos"/>
          <w:lang w:val="fr-BE"/>
        </w:rPr>
        <w:t xml:space="preserve">. </w:t>
      </w:r>
    </w:p>
    <w:p w14:paraId="6CAE16F5" w14:textId="04543C7B" w:rsidR="008525F9" w:rsidRDefault="00F76BDB" w:rsidP="00FE4A47">
      <w:pPr>
        <w:jc w:val="both"/>
        <w:rPr>
          <w:rFonts w:ascii="Aptos" w:hAnsi="Aptos"/>
          <w:lang w:val="fr-BE"/>
        </w:rPr>
      </w:pPr>
      <w:r>
        <w:rPr>
          <w:rFonts w:ascii="Aptos" w:hAnsi="Aptos"/>
          <w:lang w:val="fr-BE"/>
        </w:rPr>
        <w:t xml:space="preserve">S&amp;P prévoit une croissance de 2,5% de moyenne, sur la période 2024-2027. Cette croissance future sera </w:t>
      </w:r>
      <w:r w:rsidR="008525F9">
        <w:rPr>
          <w:rFonts w:ascii="Aptos" w:hAnsi="Aptos"/>
          <w:lang w:val="fr-BE"/>
        </w:rPr>
        <w:t>stimulée</w:t>
      </w:r>
      <w:r>
        <w:rPr>
          <w:rFonts w:ascii="Aptos" w:hAnsi="Aptos"/>
          <w:lang w:val="fr-BE"/>
        </w:rPr>
        <w:t xml:space="preserve"> par le plan de relance économique du gouvernement ciblant l’activité non-pétrolière, et qui attirera sûrement des investissements dans des secteurs tels que le tourisme, le logement, les routes, les aéroports et l’électricité. </w:t>
      </w:r>
      <w:r w:rsidR="008525F9">
        <w:rPr>
          <w:rFonts w:ascii="Aptos" w:hAnsi="Aptos"/>
          <w:lang w:val="fr-BE"/>
        </w:rPr>
        <w:t xml:space="preserve">Par exemple, ses bonnes relations avec la monarchie saoudienne, lui ont permis de s’être vu octroyé 5 milliards de dollars d’investissements dans ces secteurs. </w:t>
      </w:r>
    </w:p>
    <w:p w14:paraId="165BD35E" w14:textId="3AA9A9C9" w:rsidR="008525F9" w:rsidRDefault="008525F9" w:rsidP="00FE4A47">
      <w:pPr>
        <w:jc w:val="both"/>
        <w:rPr>
          <w:rFonts w:ascii="Aptos" w:hAnsi="Aptos"/>
          <w:lang w:val="fr-BE"/>
        </w:rPr>
      </w:pPr>
      <w:r>
        <w:rPr>
          <w:rFonts w:ascii="Aptos" w:hAnsi="Aptos"/>
          <w:lang w:val="fr-BE"/>
        </w:rPr>
        <w:t>L</w:t>
      </w:r>
      <w:r w:rsidR="00F76BDB">
        <w:rPr>
          <w:rFonts w:ascii="Aptos" w:hAnsi="Aptos"/>
          <w:lang w:val="fr-BE"/>
        </w:rPr>
        <w:t>e Bahr</w:t>
      </w:r>
      <w:r w:rsidR="003A2E8A">
        <w:rPr>
          <w:rFonts w:ascii="Aptos" w:hAnsi="Aptos"/>
          <w:lang w:val="fr-BE"/>
        </w:rPr>
        <w:t>e</w:t>
      </w:r>
      <w:r w:rsidR="00F76BDB">
        <w:rPr>
          <w:rFonts w:ascii="Aptos" w:hAnsi="Aptos"/>
          <w:lang w:val="fr-BE"/>
        </w:rPr>
        <w:t xml:space="preserve">ïn peut compter sur le Conseil de Coopération du Golfe </w:t>
      </w:r>
      <w:r>
        <w:rPr>
          <w:rFonts w:ascii="Aptos" w:hAnsi="Aptos"/>
          <w:lang w:val="fr-BE"/>
        </w:rPr>
        <w:t>(</w:t>
      </w:r>
      <w:r w:rsidR="00F76BDB">
        <w:rPr>
          <w:rFonts w:ascii="Aptos" w:hAnsi="Aptos"/>
          <w:lang w:val="fr-BE"/>
        </w:rPr>
        <w:t>organisation regroupant six monarchies arabes et musulmanes du golfe Persique</w:t>
      </w:r>
      <w:r>
        <w:rPr>
          <w:rFonts w:ascii="Aptos" w:hAnsi="Aptos"/>
          <w:lang w:val="fr-BE"/>
        </w:rPr>
        <w:t xml:space="preserve">) pour avoir un accès facilité à des liquidités. </w:t>
      </w:r>
      <w:r w:rsidR="00A918D2">
        <w:rPr>
          <w:rFonts w:ascii="Aptos" w:hAnsi="Aptos"/>
          <w:lang w:val="fr-BE"/>
        </w:rPr>
        <w:t>Grâce à cette organisation,</w:t>
      </w:r>
      <w:r w:rsidR="00F76BDB">
        <w:rPr>
          <w:rFonts w:ascii="Aptos" w:hAnsi="Aptos"/>
          <w:lang w:val="fr-BE"/>
        </w:rPr>
        <w:t xml:space="preserve"> elle</w:t>
      </w:r>
      <w:r>
        <w:rPr>
          <w:rFonts w:ascii="Aptos" w:hAnsi="Aptos"/>
          <w:lang w:val="fr-BE"/>
        </w:rPr>
        <w:t xml:space="preserve"> a pu bénéficier d’un programme de soutien de 10,2 milliards de dollars.</w:t>
      </w:r>
      <w:r w:rsidR="00A918D2">
        <w:rPr>
          <w:rFonts w:ascii="Aptos" w:hAnsi="Aptos"/>
          <w:lang w:val="fr-BE"/>
        </w:rPr>
        <w:t xml:space="preserve"> </w:t>
      </w:r>
    </w:p>
    <w:p w14:paraId="5E3277F3" w14:textId="4F0D569A" w:rsidR="00D72A21" w:rsidRDefault="00D72A21" w:rsidP="00FE4A47">
      <w:pPr>
        <w:jc w:val="both"/>
        <w:rPr>
          <w:rFonts w:ascii="Aptos" w:hAnsi="Aptos"/>
          <w:lang w:val="fr-BE"/>
        </w:rPr>
      </w:pPr>
      <w:r w:rsidRPr="0007589E">
        <w:rPr>
          <w:rFonts w:ascii="Aptos" w:hAnsi="Aptos"/>
          <w:lang w:val="fr-BE"/>
        </w:rPr>
        <w:t xml:space="preserve">L'inflation à Bahreïn reste modérée par rapport aux normes mondiales, s'établissant en moyenne à 0,1 % en 2023. Les antécédents de stabilité des prix de Bahreïn bénéficient des subventions publiques en cours et de la force du dollar américain, </w:t>
      </w:r>
      <w:r>
        <w:rPr>
          <w:rFonts w:ascii="Aptos" w:hAnsi="Aptos"/>
          <w:lang w:val="fr-BE"/>
        </w:rPr>
        <w:t xml:space="preserve">ce </w:t>
      </w:r>
      <w:r w:rsidRPr="0007589E">
        <w:rPr>
          <w:rFonts w:ascii="Aptos" w:hAnsi="Aptos"/>
          <w:lang w:val="fr-BE"/>
        </w:rPr>
        <w:t xml:space="preserve">qui contribue à contenir l'inflation importée. </w:t>
      </w:r>
      <w:r>
        <w:rPr>
          <w:rFonts w:ascii="Aptos" w:hAnsi="Aptos"/>
          <w:lang w:val="fr-BE"/>
        </w:rPr>
        <w:t>Fitch</w:t>
      </w:r>
      <w:r w:rsidRPr="0007589E">
        <w:rPr>
          <w:rFonts w:ascii="Aptos" w:hAnsi="Aptos"/>
          <w:lang w:val="fr-BE"/>
        </w:rPr>
        <w:t xml:space="preserve"> prévo</w:t>
      </w:r>
      <w:r>
        <w:rPr>
          <w:rFonts w:ascii="Aptos" w:hAnsi="Aptos"/>
          <w:lang w:val="fr-BE"/>
        </w:rPr>
        <w:t xml:space="preserve">ie </w:t>
      </w:r>
      <w:r w:rsidRPr="0007589E">
        <w:rPr>
          <w:rFonts w:ascii="Aptos" w:hAnsi="Aptos"/>
          <w:lang w:val="fr-BE"/>
        </w:rPr>
        <w:t>que l’inflation se normalisera à des moyennes historiques de 1 à 2 % sur la période 2024-2027.</w:t>
      </w:r>
    </w:p>
    <w:p w14:paraId="0F0AB3E7" w14:textId="421F808A" w:rsidR="003A2E8A" w:rsidRDefault="003A2E8A" w:rsidP="00FE4A47">
      <w:pPr>
        <w:jc w:val="both"/>
        <w:rPr>
          <w:rFonts w:ascii="Aptos" w:hAnsi="Aptos"/>
          <w:lang w:val="fr-BE"/>
        </w:rPr>
      </w:pPr>
      <w:r w:rsidRPr="003A2E8A">
        <w:rPr>
          <w:rFonts w:ascii="Aptos" w:hAnsi="Aptos"/>
          <w:lang w:val="fr-BE"/>
        </w:rPr>
        <w:t>Toutefois, la contribution de la consommation publique diminuera progressivement, conformément au programme d'équilibre budgétaire et à l'engagement du gouvernement de mettre en œuvre des mesures de réduction des dépenses en échange de l'aide financière de ses voisins.</w:t>
      </w:r>
    </w:p>
    <w:p w14:paraId="37BE9FFC" w14:textId="77A8D08F" w:rsidR="00BE29F7" w:rsidRDefault="00A918D2" w:rsidP="00FE4A47">
      <w:pPr>
        <w:jc w:val="both"/>
        <w:rPr>
          <w:rFonts w:ascii="Aptos" w:hAnsi="Aptos"/>
          <w:lang w:val="fr-BE"/>
        </w:rPr>
      </w:pPr>
      <w:r>
        <w:rPr>
          <w:rFonts w:ascii="Aptos" w:hAnsi="Aptos"/>
          <w:lang w:val="fr-BE"/>
        </w:rPr>
        <w:t>Sur le plan budgétaire,</w:t>
      </w:r>
      <w:r w:rsidR="00B47F8F">
        <w:rPr>
          <w:rFonts w:ascii="Aptos" w:hAnsi="Aptos"/>
          <w:lang w:val="fr-BE"/>
        </w:rPr>
        <w:t xml:space="preserve"> le gouvernement dispose d’une marge de manœuvre assez limité du fait de la charge élevée de la dette et de son importante dépendance aux </w:t>
      </w:r>
      <w:r w:rsidR="00BE29F7">
        <w:rPr>
          <w:rFonts w:ascii="Aptos" w:hAnsi="Aptos"/>
          <w:lang w:val="fr-BE"/>
        </w:rPr>
        <w:t>recettes des hydrocarbures qui représentent près de 70% des recettes budgétaires totales. Le prix du baril du pétrole qui permettrait l’équilibre budgétaire est aux alentours de 126USD, soit un niveau bien au-dessus des cours récents qui se situent entre 80 et 90 dollars le baril.</w:t>
      </w:r>
    </w:p>
    <w:p w14:paraId="3ED9BCC2" w14:textId="2620F1DD" w:rsidR="00BE29F7" w:rsidRDefault="00BE29F7" w:rsidP="00FE4A47">
      <w:pPr>
        <w:jc w:val="both"/>
        <w:rPr>
          <w:rFonts w:ascii="Aptos" w:hAnsi="Aptos"/>
          <w:lang w:val="fr-BE"/>
        </w:rPr>
      </w:pPr>
      <w:r>
        <w:rPr>
          <w:rFonts w:ascii="Aptos" w:hAnsi="Aptos"/>
          <w:lang w:val="fr-BE"/>
        </w:rPr>
        <w:t xml:space="preserve">Cette situation </w:t>
      </w:r>
      <w:r w:rsidR="00E62FA2">
        <w:rPr>
          <w:rFonts w:ascii="Aptos" w:hAnsi="Aptos"/>
          <w:lang w:val="fr-BE"/>
        </w:rPr>
        <w:t>oblige</w:t>
      </w:r>
      <w:r>
        <w:rPr>
          <w:rFonts w:ascii="Aptos" w:hAnsi="Aptos"/>
          <w:lang w:val="fr-BE"/>
        </w:rPr>
        <w:t xml:space="preserve"> </w:t>
      </w:r>
      <w:r w:rsidR="00E62FA2">
        <w:rPr>
          <w:rFonts w:ascii="Aptos" w:hAnsi="Aptos"/>
          <w:lang w:val="fr-BE"/>
        </w:rPr>
        <w:t xml:space="preserve">le </w:t>
      </w:r>
      <w:r>
        <w:rPr>
          <w:rFonts w:ascii="Aptos" w:hAnsi="Aptos"/>
          <w:lang w:val="fr-BE"/>
        </w:rPr>
        <w:t xml:space="preserve">gouvernement bahreïni </w:t>
      </w:r>
      <w:r w:rsidR="00E62FA2">
        <w:rPr>
          <w:rFonts w:ascii="Aptos" w:hAnsi="Aptos"/>
          <w:lang w:val="fr-BE"/>
        </w:rPr>
        <w:t>à</w:t>
      </w:r>
      <w:r>
        <w:rPr>
          <w:rFonts w:ascii="Aptos" w:hAnsi="Aptos"/>
          <w:lang w:val="fr-BE"/>
        </w:rPr>
        <w:t xml:space="preserve"> trouver de nouvelles</w:t>
      </w:r>
      <w:r w:rsidR="00E62FA2">
        <w:rPr>
          <w:rFonts w:ascii="Aptos" w:hAnsi="Aptos"/>
          <w:lang w:val="fr-BE"/>
        </w:rPr>
        <w:t xml:space="preserve"> sources de</w:t>
      </w:r>
      <w:r>
        <w:rPr>
          <w:rFonts w:ascii="Aptos" w:hAnsi="Aptos"/>
          <w:lang w:val="fr-BE"/>
        </w:rPr>
        <w:t xml:space="preserve"> recettes. </w:t>
      </w:r>
      <w:r w:rsidR="00E62FA2">
        <w:rPr>
          <w:rFonts w:ascii="Aptos" w:hAnsi="Aptos"/>
          <w:lang w:val="fr-BE"/>
        </w:rPr>
        <w:t>Celles-ci</w:t>
      </w:r>
      <w:r>
        <w:rPr>
          <w:rFonts w:ascii="Aptos" w:hAnsi="Aptos"/>
          <w:lang w:val="fr-BE"/>
        </w:rPr>
        <w:t xml:space="preserve"> </w:t>
      </w:r>
      <w:r w:rsidR="00E62FA2">
        <w:rPr>
          <w:rFonts w:ascii="Aptos" w:hAnsi="Aptos"/>
          <w:lang w:val="fr-BE"/>
        </w:rPr>
        <w:t xml:space="preserve">étaient présentes dans le </w:t>
      </w:r>
      <w:r>
        <w:rPr>
          <w:rFonts w:ascii="Aptos" w:hAnsi="Aptos"/>
          <w:lang w:val="fr-BE"/>
        </w:rPr>
        <w:t>budget</w:t>
      </w:r>
      <w:r w:rsidR="00E62FA2">
        <w:rPr>
          <w:rFonts w:ascii="Aptos" w:hAnsi="Aptos"/>
          <w:lang w:val="fr-BE"/>
        </w:rPr>
        <w:t xml:space="preserve"> prévisionnel de </w:t>
      </w:r>
      <w:r>
        <w:rPr>
          <w:rFonts w:ascii="Aptos" w:hAnsi="Aptos"/>
          <w:lang w:val="fr-BE"/>
        </w:rPr>
        <w:t>2023</w:t>
      </w:r>
      <w:r w:rsidR="00E62FA2">
        <w:rPr>
          <w:rFonts w:ascii="Aptos" w:hAnsi="Aptos"/>
          <w:lang w:val="fr-BE"/>
        </w:rPr>
        <w:t xml:space="preserve">, sans qu’elles se soient concrétisées pour autant. </w:t>
      </w:r>
      <w:r>
        <w:rPr>
          <w:rFonts w:ascii="Aptos" w:hAnsi="Aptos"/>
          <w:lang w:val="fr-BE"/>
        </w:rPr>
        <w:t xml:space="preserve">Cela est </w:t>
      </w:r>
      <w:r w:rsidR="00E62FA2">
        <w:rPr>
          <w:rFonts w:ascii="Aptos" w:hAnsi="Aptos"/>
          <w:lang w:val="fr-BE"/>
        </w:rPr>
        <w:t xml:space="preserve">notamment </w:t>
      </w:r>
      <w:r>
        <w:rPr>
          <w:rFonts w:ascii="Aptos" w:hAnsi="Aptos"/>
          <w:lang w:val="fr-BE"/>
        </w:rPr>
        <w:t>dû au retard accumulé sur la mise en place d’une réforme</w:t>
      </w:r>
      <w:r w:rsidR="00E62FA2">
        <w:rPr>
          <w:rFonts w:ascii="Aptos" w:hAnsi="Aptos"/>
          <w:lang w:val="fr-BE"/>
        </w:rPr>
        <w:t xml:space="preserve"> clé</w:t>
      </w:r>
      <w:r>
        <w:rPr>
          <w:rFonts w:ascii="Aptos" w:hAnsi="Aptos"/>
          <w:lang w:val="fr-BE"/>
        </w:rPr>
        <w:t xml:space="preserve"> concernant la </w:t>
      </w:r>
      <w:r w:rsidRPr="00FE2C9F">
        <w:rPr>
          <w:rFonts w:ascii="Aptos" w:hAnsi="Aptos"/>
          <w:lang w:val="fr-BE"/>
        </w:rPr>
        <w:t xml:space="preserve">Bahrain’s </w:t>
      </w:r>
      <w:proofErr w:type="spellStart"/>
      <w:r w:rsidRPr="00FE2C9F">
        <w:rPr>
          <w:rFonts w:ascii="Aptos" w:hAnsi="Aptos"/>
          <w:lang w:val="fr-BE"/>
        </w:rPr>
        <w:t>Electricity</w:t>
      </w:r>
      <w:proofErr w:type="spellEnd"/>
      <w:r w:rsidRPr="00FE2C9F">
        <w:rPr>
          <w:rFonts w:ascii="Aptos" w:hAnsi="Aptos"/>
          <w:lang w:val="fr-BE"/>
        </w:rPr>
        <w:t xml:space="preserve"> and Water </w:t>
      </w:r>
      <w:proofErr w:type="spellStart"/>
      <w:r w:rsidRPr="00FE2C9F">
        <w:rPr>
          <w:rFonts w:ascii="Aptos" w:hAnsi="Aptos"/>
          <w:lang w:val="fr-BE"/>
        </w:rPr>
        <w:t>Authority</w:t>
      </w:r>
      <w:proofErr w:type="spellEnd"/>
      <w:r w:rsidR="001443C3">
        <w:rPr>
          <w:rFonts w:ascii="Aptos" w:hAnsi="Aptos"/>
          <w:lang w:val="fr-BE"/>
        </w:rPr>
        <w:t>, qui a elle seule devait provoquer une augmentation des recettes de 3 à 4% du PIB d’ici la fin de 2024</w:t>
      </w:r>
      <w:r>
        <w:rPr>
          <w:rFonts w:ascii="Aptos" w:hAnsi="Aptos"/>
          <w:lang w:val="fr-BE"/>
        </w:rPr>
        <w:t>.</w:t>
      </w:r>
      <w:r w:rsidR="00E62FA2">
        <w:rPr>
          <w:rFonts w:ascii="Aptos" w:hAnsi="Aptos"/>
          <w:lang w:val="fr-BE"/>
        </w:rPr>
        <w:t xml:space="preserve"> La mise en place </w:t>
      </w:r>
      <w:r w:rsidR="00BC5A86">
        <w:rPr>
          <w:rFonts w:ascii="Aptos" w:hAnsi="Aptos"/>
          <w:lang w:val="fr-BE"/>
        </w:rPr>
        <w:t>d’un impôt</w:t>
      </w:r>
      <w:r w:rsidR="00E62FA2">
        <w:rPr>
          <w:rFonts w:ascii="Aptos" w:hAnsi="Aptos"/>
          <w:lang w:val="fr-BE"/>
        </w:rPr>
        <w:t xml:space="preserve"> sur les sociétés est aussi en discussion.</w:t>
      </w:r>
    </w:p>
    <w:p w14:paraId="7BCC98AF" w14:textId="58EB7071" w:rsidR="004876D5" w:rsidRDefault="00B47F8F" w:rsidP="00FE4A47">
      <w:pPr>
        <w:jc w:val="both"/>
        <w:rPr>
          <w:rFonts w:ascii="Aptos" w:hAnsi="Aptos"/>
          <w:lang w:val="fr-BE"/>
        </w:rPr>
      </w:pPr>
      <w:r>
        <w:rPr>
          <w:rFonts w:ascii="Aptos" w:hAnsi="Aptos"/>
          <w:lang w:val="fr-BE"/>
        </w:rPr>
        <w:t xml:space="preserve">En 2023, </w:t>
      </w:r>
      <w:r w:rsidR="00C92E45">
        <w:rPr>
          <w:rFonts w:ascii="Aptos" w:hAnsi="Aptos"/>
          <w:lang w:val="fr-BE"/>
        </w:rPr>
        <w:t xml:space="preserve">la dette publique </w:t>
      </w:r>
      <w:r w:rsidR="009741B6">
        <w:rPr>
          <w:rFonts w:ascii="Aptos" w:hAnsi="Aptos"/>
          <w:lang w:val="fr-BE"/>
        </w:rPr>
        <w:t xml:space="preserve">a atteint 126% du PIB </w:t>
      </w:r>
      <w:r w:rsidR="004876D5">
        <w:rPr>
          <w:rFonts w:ascii="Aptos" w:hAnsi="Aptos"/>
          <w:lang w:val="fr-BE"/>
        </w:rPr>
        <w:t>en dépit</w:t>
      </w:r>
      <w:r w:rsidR="009741B6">
        <w:rPr>
          <w:rFonts w:ascii="Aptos" w:hAnsi="Aptos"/>
          <w:lang w:val="fr-BE"/>
        </w:rPr>
        <w:t xml:space="preserve"> des plans de consolidation budgétaire annoncé par le gouvernement. </w:t>
      </w:r>
      <w:r w:rsidR="004876D5">
        <w:rPr>
          <w:rFonts w:ascii="Aptos" w:hAnsi="Aptos"/>
          <w:lang w:val="fr-BE"/>
        </w:rPr>
        <w:t>Fitch prévoit pour l’année 2025 un déficit public à 135% du PIB, ce qui est bien supérieur à la médiane de 56% des pays avec la même note.</w:t>
      </w:r>
    </w:p>
    <w:p w14:paraId="103C5A99" w14:textId="66C3B41A" w:rsidR="00090F0A" w:rsidRDefault="00192F59" w:rsidP="00FE4A47">
      <w:pPr>
        <w:jc w:val="both"/>
        <w:rPr>
          <w:rFonts w:ascii="Aptos" w:hAnsi="Aptos"/>
          <w:lang w:val="fr-BE"/>
        </w:rPr>
      </w:pPr>
      <w:r>
        <w:rPr>
          <w:rFonts w:ascii="Aptos" w:hAnsi="Aptos"/>
          <w:lang w:val="fr-BE"/>
        </w:rPr>
        <w:lastRenderedPageBreak/>
        <w:t xml:space="preserve">Concernant le déficit public, celui-ci a atteint 7,8% en 2023, et devrait légèrement s’aggraver </w:t>
      </w:r>
      <w:r w:rsidR="00692DDB">
        <w:rPr>
          <w:rFonts w:ascii="Aptos" w:hAnsi="Aptos"/>
          <w:lang w:val="fr-BE"/>
        </w:rPr>
        <w:t>à moyen-long terme</w:t>
      </w:r>
      <w:r>
        <w:rPr>
          <w:rFonts w:ascii="Aptos" w:hAnsi="Aptos"/>
          <w:lang w:val="fr-BE"/>
        </w:rPr>
        <w:t xml:space="preserve">. Cette prévision se fait sur la base d’une anticipation de baisse des </w:t>
      </w:r>
      <w:r w:rsidR="00F00F23">
        <w:rPr>
          <w:rFonts w:ascii="Aptos" w:hAnsi="Aptos"/>
          <w:lang w:val="fr-BE"/>
        </w:rPr>
        <w:t xml:space="preserve">prix du pétrole </w:t>
      </w:r>
      <w:r w:rsidR="00090F0A">
        <w:rPr>
          <w:rFonts w:ascii="Aptos" w:hAnsi="Aptos"/>
          <w:lang w:val="fr-BE"/>
        </w:rPr>
        <w:t xml:space="preserve">dans </w:t>
      </w:r>
      <w:r w:rsidR="00F00F23">
        <w:rPr>
          <w:rFonts w:ascii="Aptos" w:hAnsi="Aptos"/>
          <w:lang w:val="fr-BE"/>
        </w:rPr>
        <w:t>les</w:t>
      </w:r>
      <w:r w:rsidR="00090F0A">
        <w:rPr>
          <w:rFonts w:ascii="Aptos" w:hAnsi="Aptos"/>
          <w:lang w:val="fr-BE"/>
        </w:rPr>
        <w:t xml:space="preserve"> prochaines </w:t>
      </w:r>
      <w:r w:rsidR="00F00F23">
        <w:rPr>
          <w:rFonts w:ascii="Aptos" w:hAnsi="Aptos"/>
          <w:lang w:val="fr-BE"/>
        </w:rPr>
        <w:t>années</w:t>
      </w:r>
      <w:r w:rsidR="00692DDB">
        <w:rPr>
          <w:rFonts w:ascii="Aptos" w:hAnsi="Aptos"/>
          <w:lang w:val="fr-BE"/>
        </w:rPr>
        <w:t>.</w:t>
      </w:r>
    </w:p>
    <w:p w14:paraId="5CA46897" w14:textId="7108D3A4" w:rsidR="00FE2C9F" w:rsidRDefault="00FE2C9F" w:rsidP="00FE4A47">
      <w:pPr>
        <w:jc w:val="both"/>
        <w:rPr>
          <w:rFonts w:ascii="Aptos" w:hAnsi="Aptos"/>
          <w:lang w:val="fr-BE"/>
        </w:rPr>
      </w:pPr>
      <w:r>
        <w:rPr>
          <w:rFonts w:ascii="Aptos" w:hAnsi="Aptos"/>
          <w:lang w:val="fr-BE"/>
        </w:rPr>
        <w:t>L’</w:t>
      </w:r>
      <w:r w:rsidRPr="00FE2C9F">
        <w:rPr>
          <w:rFonts w:ascii="Aptos" w:hAnsi="Aptos"/>
          <w:lang w:val="fr-BE"/>
        </w:rPr>
        <w:t xml:space="preserve">augmentation significative des coûts d’intérêts en raison de l’augmentation de l’encours de la dette et de la hausse des taux d’intérêt, </w:t>
      </w:r>
      <w:r>
        <w:rPr>
          <w:rFonts w:ascii="Aptos" w:hAnsi="Aptos"/>
          <w:lang w:val="fr-BE"/>
        </w:rPr>
        <w:t>devrait aussi participer à</w:t>
      </w:r>
      <w:r w:rsidRPr="00FE2C9F">
        <w:rPr>
          <w:rFonts w:ascii="Aptos" w:hAnsi="Aptos"/>
          <w:lang w:val="fr-BE"/>
        </w:rPr>
        <w:t xml:space="preserve"> maint</w:t>
      </w:r>
      <w:r>
        <w:rPr>
          <w:rFonts w:ascii="Aptos" w:hAnsi="Aptos"/>
          <w:lang w:val="fr-BE"/>
        </w:rPr>
        <w:t>enir</w:t>
      </w:r>
      <w:r w:rsidRPr="00FE2C9F">
        <w:rPr>
          <w:rFonts w:ascii="Aptos" w:hAnsi="Aptos"/>
          <w:lang w:val="fr-BE"/>
        </w:rPr>
        <w:t xml:space="preserve"> le déficit à un niveau élevé.</w:t>
      </w:r>
    </w:p>
    <w:p w14:paraId="67E1ED59" w14:textId="12E881B8" w:rsidR="00692DDB" w:rsidRDefault="00692DDB" w:rsidP="00FE4A47">
      <w:pPr>
        <w:jc w:val="both"/>
        <w:rPr>
          <w:rFonts w:ascii="Aptos" w:hAnsi="Aptos"/>
          <w:lang w:val="fr-BE"/>
        </w:rPr>
      </w:pPr>
      <w:r w:rsidRPr="00692DDB">
        <w:rPr>
          <w:rFonts w:ascii="Aptos" w:hAnsi="Aptos"/>
          <w:lang w:val="fr-BE"/>
        </w:rPr>
        <w:t>Malgr</w:t>
      </w:r>
      <w:r w:rsidR="00EE0511">
        <w:rPr>
          <w:rFonts w:ascii="Aptos" w:hAnsi="Aptos"/>
          <w:lang w:val="fr-BE"/>
        </w:rPr>
        <w:t xml:space="preserve">é un volume de production de pétrole qui restera en stable en raison du respect des quotas imposés par l’OPEP+, le Bahreïn connaîtra une hausse de sa balance courante en raison de l’augmentation des prix des hydrocarbures en vigueur </w:t>
      </w:r>
      <w:r w:rsidR="00B63AAF">
        <w:rPr>
          <w:rFonts w:ascii="Aptos" w:hAnsi="Aptos"/>
          <w:lang w:val="fr-BE"/>
        </w:rPr>
        <w:t>cette année.</w:t>
      </w:r>
    </w:p>
    <w:p w14:paraId="355881E4" w14:textId="5131C56A" w:rsidR="00B63AAF" w:rsidRDefault="00B63AAF" w:rsidP="00FE4A47">
      <w:pPr>
        <w:jc w:val="both"/>
        <w:rPr>
          <w:rFonts w:ascii="Aptos" w:hAnsi="Aptos"/>
          <w:lang w:val="fr-BE"/>
        </w:rPr>
      </w:pPr>
      <w:r w:rsidRPr="00B63AAF">
        <w:rPr>
          <w:rFonts w:ascii="Aptos" w:hAnsi="Aptos"/>
          <w:lang w:val="fr-BE"/>
        </w:rPr>
        <w:t>L'augmentation des recettes liées aux exportations d'aluminium et d'acier sera également un facteur clé de l'élargissement de l'excédent commercial des biens.</w:t>
      </w:r>
    </w:p>
    <w:p w14:paraId="34C2E0CE" w14:textId="022F2D81" w:rsidR="00B63AAF" w:rsidRDefault="00B63AAF" w:rsidP="00FE4A47">
      <w:pPr>
        <w:jc w:val="both"/>
        <w:rPr>
          <w:rFonts w:ascii="Aptos" w:hAnsi="Aptos"/>
          <w:lang w:val="fr-BE"/>
        </w:rPr>
      </w:pPr>
      <w:r w:rsidRPr="00B63AAF">
        <w:rPr>
          <w:rFonts w:ascii="Aptos" w:hAnsi="Aptos"/>
          <w:lang w:val="fr-BE"/>
        </w:rPr>
        <w:t>Les envois de fonds des travailleurs émigrés continueront à creuser le déficit des revenus secondaires, car les travailleurs étrangers continueront à revenir à Bahreïn. Les exportations de services, principalement sous la forme d'un tourisme résilient, contribueront également à l'excédent de la balance courante, qui restera supérieur à son niveau historique.</w:t>
      </w:r>
      <w:r>
        <w:rPr>
          <w:rFonts w:ascii="Aptos" w:hAnsi="Aptos"/>
          <w:lang w:val="fr-BE"/>
        </w:rPr>
        <w:t xml:space="preserve"> </w:t>
      </w:r>
    </w:p>
    <w:p w14:paraId="02550282" w14:textId="54D90900" w:rsidR="00E62FA2" w:rsidRDefault="001443C3" w:rsidP="00FE4A47">
      <w:pPr>
        <w:jc w:val="both"/>
        <w:rPr>
          <w:rFonts w:ascii="Aptos" w:hAnsi="Aptos"/>
          <w:lang w:val="fr-BE"/>
        </w:rPr>
      </w:pPr>
      <w:r w:rsidRPr="001443C3">
        <w:rPr>
          <w:rFonts w:ascii="Aptos" w:hAnsi="Aptos"/>
          <w:lang w:val="fr-BE"/>
        </w:rPr>
        <w:t xml:space="preserve">Les actifs du secteur bancaire de Bahreïn représentaient 543 % du PIB en 2023. Le secteur est partagé entre les banques de détail qui desservent majoritairement le marché local et les banques de gros, qui à l'inverse n'ont quasiment aucune activité de détail à Bahreïn. Selon </w:t>
      </w:r>
      <w:r>
        <w:rPr>
          <w:rFonts w:ascii="Aptos" w:hAnsi="Aptos"/>
          <w:lang w:val="fr-BE"/>
        </w:rPr>
        <w:t>Fitch</w:t>
      </w:r>
      <w:r w:rsidRPr="001443C3">
        <w:rPr>
          <w:rFonts w:ascii="Aptos" w:hAnsi="Aptos"/>
          <w:lang w:val="fr-BE"/>
        </w:rPr>
        <w:t xml:space="preserve">, les banques de détail sont bien capitalisées et capables d'absorber les </w:t>
      </w:r>
      <w:r>
        <w:rPr>
          <w:rFonts w:ascii="Aptos" w:hAnsi="Aptos"/>
          <w:lang w:val="fr-BE"/>
        </w:rPr>
        <w:t>créances douteuses résultantes d</w:t>
      </w:r>
      <w:r w:rsidRPr="001443C3">
        <w:rPr>
          <w:rFonts w:ascii="Aptos" w:hAnsi="Aptos"/>
          <w:lang w:val="fr-BE"/>
        </w:rPr>
        <w:t xml:space="preserve">e la hausse </w:t>
      </w:r>
      <w:r>
        <w:rPr>
          <w:rFonts w:ascii="Aptos" w:hAnsi="Aptos"/>
          <w:lang w:val="fr-BE"/>
        </w:rPr>
        <w:t xml:space="preserve">généralisée </w:t>
      </w:r>
      <w:r w:rsidRPr="001443C3">
        <w:rPr>
          <w:rFonts w:ascii="Aptos" w:hAnsi="Aptos"/>
          <w:lang w:val="fr-BE"/>
        </w:rPr>
        <w:t>des taux d'intérêt.</w:t>
      </w:r>
    </w:p>
    <w:p w14:paraId="0F6BB50A" w14:textId="29A97D09" w:rsidR="0007589E" w:rsidRPr="00692DDB" w:rsidRDefault="0007589E" w:rsidP="00FE4A47">
      <w:pPr>
        <w:jc w:val="both"/>
        <w:rPr>
          <w:rFonts w:ascii="Aptos" w:hAnsi="Aptos"/>
          <w:lang w:val="fr-BE"/>
        </w:rPr>
      </w:pPr>
      <w:r>
        <w:rPr>
          <w:rFonts w:ascii="Aptos" w:hAnsi="Aptos"/>
          <w:lang w:val="fr-BE"/>
        </w:rPr>
        <w:t>L</w:t>
      </w:r>
      <w:r w:rsidRPr="0007589E">
        <w:rPr>
          <w:rFonts w:ascii="Aptos" w:hAnsi="Aptos"/>
          <w:lang w:val="fr-BE"/>
        </w:rPr>
        <w:t>a reconstitution des réserves de change de Bahreïn provient historiquement des émissions extérieures du gouvernement et du soutien budgétaire d</w:t>
      </w:r>
      <w:r>
        <w:rPr>
          <w:rFonts w:ascii="Aptos" w:hAnsi="Aptos"/>
          <w:lang w:val="fr-BE"/>
        </w:rPr>
        <w:t>es autres</w:t>
      </w:r>
      <w:r w:rsidRPr="0007589E">
        <w:rPr>
          <w:rFonts w:ascii="Aptos" w:hAnsi="Aptos"/>
          <w:lang w:val="fr-BE"/>
        </w:rPr>
        <w:t xml:space="preserve"> États </w:t>
      </w:r>
      <w:r>
        <w:rPr>
          <w:rFonts w:ascii="Aptos" w:hAnsi="Aptos"/>
          <w:lang w:val="fr-BE"/>
        </w:rPr>
        <w:t>d</w:t>
      </w:r>
      <w:r w:rsidRPr="0007589E">
        <w:rPr>
          <w:rFonts w:ascii="Aptos" w:hAnsi="Aptos"/>
          <w:lang w:val="fr-BE"/>
        </w:rPr>
        <w:t xml:space="preserve">u CCG. </w:t>
      </w:r>
      <w:r>
        <w:rPr>
          <w:rFonts w:ascii="Aptos" w:hAnsi="Aptos"/>
          <w:lang w:val="fr-BE"/>
        </w:rPr>
        <w:t xml:space="preserve">Les </w:t>
      </w:r>
      <w:r w:rsidRPr="0007589E">
        <w:rPr>
          <w:rFonts w:ascii="Aptos" w:hAnsi="Aptos"/>
          <w:lang w:val="fr-BE"/>
        </w:rPr>
        <w:t xml:space="preserve">réserves de change brutes </w:t>
      </w:r>
      <w:r>
        <w:rPr>
          <w:rFonts w:ascii="Aptos" w:hAnsi="Aptos"/>
          <w:lang w:val="fr-BE"/>
        </w:rPr>
        <w:t>devraient rester</w:t>
      </w:r>
      <w:r w:rsidRPr="0007589E">
        <w:rPr>
          <w:rFonts w:ascii="Aptos" w:hAnsi="Aptos"/>
          <w:lang w:val="fr-BE"/>
        </w:rPr>
        <w:t xml:space="preserve"> à 4,7 milliards de dollars sur la période 2024-2027</w:t>
      </w:r>
    </w:p>
    <w:p w14:paraId="615AD4C6" w14:textId="77777777" w:rsidR="009D4304" w:rsidRDefault="009D4304" w:rsidP="00FE4A47">
      <w:pPr>
        <w:jc w:val="both"/>
        <w:rPr>
          <w:rFonts w:ascii="Aptos" w:hAnsi="Aptos"/>
          <w:b/>
          <w:bCs/>
          <w:lang w:val="fr-BE"/>
        </w:rPr>
      </w:pPr>
    </w:p>
    <w:p w14:paraId="0917B00C" w14:textId="77777777" w:rsidR="009D4304" w:rsidRDefault="009D4304" w:rsidP="00FE4A47">
      <w:pPr>
        <w:jc w:val="both"/>
        <w:rPr>
          <w:rFonts w:ascii="Aptos" w:hAnsi="Aptos"/>
          <w:b/>
          <w:bCs/>
          <w:lang w:val="fr-BE"/>
        </w:rPr>
      </w:pPr>
    </w:p>
    <w:p w14:paraId="1A4BD981" w14:textId="77777777" w:rsidR="00143A07" w:rsidRDefault="00143A07" w:rsidP="00FE4A47">
      <w:pPr>
        <w:jc w:val="both"/>
        <w:rPr>
          <w:rFonts w:ascii="Aptos" w:hAnsi="Aptos"/>
          <w:b/>
          <w:bCs/>
          <w:lang w:val="fr-BE"/>
        </w:rPr>
      </w:pPr>
    </w:p>
    <w:p w14:paraId="770FB6A4" w14:textId="17483D6E" w:rsidR="008525F9" w:rsidRDefault="00FE2C9F" w:rsidP="00FE4A47">
      <w:pPr>
        <w:jc w:val="both"/>
        <w:rPr>
          <w:rFonts w:ascii="Aptos" w:hAnsi="Aptos"/>
          <w:b/>
          <w:bCs/>
          <w:lang w:val="fr-BE"/>
        </w:rPr>
      </w:pPr>
      <w:r w:rsidRPr="00FE2C9F">
        <w:rPr>
          <w:rFonts w:ascii="Aptos" w:hAnsi="Aptos"/>
          <w:b/>
          <w:bCs/>
          <w:lang w:val="fr-BE"/>
        </w:rPr>
        <w:t xml:space="preserve"> </w:t>
      </w:r>
    </w:p>
    <w:p w14:paraId="1E8B15DF" w14:textId="3989D223" w:rsidR="001647E6" w:rsidRPr="009F172C" w:rsidRDefault="00C91D01" w:rsidP="001647E6">
      <w:pPr>
        <w:jc w:val="right"/>
        <w:rPr>
          <w:rFonts w:ascii="Aptos" w:hAnsi="Aptos"/>
          <w:lang w:val="fr-BE"/>
        </w:rPr>
      </w:pPr>
      <w:r w:rsidRPr="009F172C">
        <w:rPr>
          <w:rFonts w:ascii="Aptos" w:hAnsi="Aptos"/>
          <w:lang w:val="fr-BE"/>
        </w:rPr>
        <w:t>Rédigé le 28 juin 2024</w:t>
      </w:r>
    </w:p>
    <w:p w14:paraId="774F49D3" w14:textId="77777777" w:rsidR="001647E6" w:rsidRPr="009F172C" w:rsidRDefault="001647E6">
      <w:pPr>
        <w:rPr>
          <w:rFonts w:ascii="Aptos" w:hAnsi="Aptos"/>
          <w:lang w:val="fr-BE"/>
        </w:rPr>
      </w:pPr>
      <w:r w:rsidRPr="009F172C">
        <w:rPr>
          <w:rFonts w:ascii="Aptos" w:hAnsi="Aptos"/>
          <w:lang w:val="fr-BE"/>
        </w:rPr>
        <w:br w:type="page"/>
      </w:r>
    </w:p>
    <w:p w14:paraId="138A3E6F" w14:textId="77777777" w:rsidR="00C91D01" w:rsidRPr="009F172C" w:rsidRDefault="00C91D01" w:rsidP="001647E6">
      <w:pPr>
        <w:jc w:val="right"/>
        <w:rPr>
          <w:rFonts w:ascii="Aptos" w:hAnsi="Aptos"/>
          <w:i/>
          <w:iCs/>
          <w:lang w:val="fr-BE"/>
        </w:rPr>
      </w:pPr>
    </w:p>
    <w:p w14:paraId="23DD08F1" w14:textId="3C8B4AE7" w:rsidR="008F7262" w:rsidRPr="009F172C" w:rsidRDefault="008F7262" w:rsidP="00FE4A47">
      <w:pPr>
        <w:jc w:val="both"/>
        <w:rPr>
          <w:rFonts w:ascii="Aptos" w:hAnsi="Aptos"/>
          <w:i/>
          <w:iCs/>
          <w:lang w:val="fr-BE"/>
        </w:rPr>
      </w:pPr>
      <w:r w:rsidRPr="009F172C">
        <w:rPr>
          <w:rFonts w:ascii="Aptos" w:hAnsi="Aptos"/>
          <w:i/>
          <w:iCs/>
          <w:lang w:val="fr-BE"/>
        </w:rPr>
        <w:t>Source</w:t>
      </w:r>
      <w:r w:rsidR="007971CE" w:rsidRPr="009F172C">
        <w:rPr>
          <w:rFonts w:ascii="Aptos" w:hAnsi="Aptos"/>
          <w:i/>
          <w:iCs/>
          <w:lang w:val="fr-BE"/>
        </w:rPr>
        <w:t>s</w:t>
      </w:r>
      <w:r w:rsidRPr="009F172C">
        <w:rPr>
          <w:rFonts w:ascii="Aptos" w:hAnsi="Aptos"/>
          <w:i/>
          <w:iCs/>
          <w:lang w:val="fr-BE"/>
        </w:rPr>
        <w:t xml:space="preserve"> : </w:t>
      </w:r>
    </w:p>
    <w:bookmarkStart w:id="0" w:name="_Hlk170470709"/>
    <w:p w14:paraId="64F7F54E" w14:textId="63F86AC9" w:rsidR="00143A07" w:rsidRDefault="00143A07" w:rsidP="00115362">
      <w:pPr>
        <w:jc w:val="both"/>
        <w:rPr>
          <w:rFonts w:ascii="Aptos" w:hAnsi="Aptos"/>
          <w:i/>
          <w:iCs/>
          <w:sz w:val="20"/>
          <w:szCs w:val="20"/>
        </w:rPr>
      </w:pPr>
      <w:r>
        <w:rPr>
          <w:rFonts w:ascii="Aptos" w:hAnsi="Aptos"/>
          <w:i/>
          <w:iCs/>
          <w:sz w:val="20"/>
          <w:szCs w:val="20"/>
        </w:rPr>
        <w:fldChar w:fldCharType="begin"/>
      </w:r>
      <w:r>
        <w:rPr>
          <w:rFonts w:ascii="Aptos" w:hAnsi="Aptos"/>
          <w:i/>
          <w:iCs/>
          <w:sz w:val="20"/>
          <w:szCs w:val="20"/>
        </w:rPr>
        <w:instrText>HYPERLINK "</w:instrText>
      </w:r>
      <w:r w:rsidRPr="009F172C">
        <w:rPr>
          <w:rFonts w:ascii="Aptos" w:hAnsi="Aptos"/>
          <w:i/>
          <w:iCs/>
          <w:sz w:val="20"/>
          <w:szCs w:val="20"/>
        </w:rPr>
        <w:instrText>https://www.moodys.com/credit-ratings/Bahrain-Government-of-credit-rating-600018600/summary</w:instrText>
      </w:r>
      <w:r>
        <w:rPr>
          <w:rFonts w:ascii="Aptos" w:hAnsi="Aptos"/>
          <w:i/>
          <w:iCs/>
          <w:sz w:val="20"/>
          <w:szCs w:val="20"/>
        </w:rPr>
        <w:instrText>"</w:instrText>
      </w:r>
      <w:r>
        <w:rPr>
          <w:rFonts w:ascii="Aptos" w:hAnsi="Aptos"/>
          <w:i/>
          <w:iCs/>
          <w:sz w:val="20"/>
          <w:szCs w:val="20"/>
        </w:rPr>
      </w:r>
      <w:r>
        <w:rPr>
          <w:rFonts w:ascii="Aptos" w:hAnsi="Aptos"/>
          <w:i/>
          <w:iCs/>
          <w:sz w:val="20"/>
          <w:szCs w:val="20"/>
        </w:rPr>
        <w:fldChar w:fldCharType="separate"/>
      </w:r>
      <w:r w:rsidRPr="008A397F">
        <w:rPr>
          <w:rStyle w:val="Hyperlink"/>
          <w:rFonts w:ascii="Aptos" w:hAnsi="Aptos"/>
          <w:i/>
          <w:iCs/>
          <w:sz w:val="20"/>
          <w:szCs w:val="20"/>
        </w:rPr>
        <w:t>https://www.moodys.com/credit-ratings/Bahrain-Government-of-credit-rating-600018600/summary</w:t>
      </w:r>
      <w:bookmarkEnd w:id="0"/>
      <w:r>
        <w:rPr>
          <w:rFonts w:ascii="Aptos" w:hAnsi="Aptos"/>
          <w:i/>
          <w:iCs/>
          <w:sz w:val="20"/>
          <w:szCs w:val="20"/>
        </w:rPr>
        <w:fldChar w:fldCharType="end"/>
      </w:r>
    </w:p>
    <w:p w14:paraId="12CEA629" w14:textId="07E12FEB" w:rsidR="007971CE" w:rsidRPr="009F172C" w:rsidRDefault="004E26CF" w:rsidP="00115362">
      <w:pPr>
        <w:jc w:val="both"/>
        <w:rPr>
          <w:rFonts w:ascii="Aptos" w:hAnsi="Aptos"/>
          <w:i/>
          <w:iCs/>
          <w:lang w:val="fr-FR"/>
        </w:rPr>
      </w:pPr>
      <w:hyperlink r:id="rId9" w:history="1">
        <w:r w:rsidR="00635634" w:rsidRPr="009F172C">
          <w:rPr>
            <w:rStyle w:val="Hyperlink"/>
            <w:rFonts w:ascii="Aptos" w:hAnsi="Aptos"/>
            <w:i/>
            <w:iCs/>
            <w:lang w:val="fr-FR"/>
          </w:rPr>
          <w:t>https://app.fitchconnect.com/article/RPT_10264396</w:t>
        </w:r>
      </w:hyperlink>
    </w:p>
    <w:p w14:paraId="08E1BAF1" w14:textId="66DF348A" w:rsidR="00635634" w:rsidRPr="009F172C" w:rsidRDefault="004E26CF" w:rsidP="00115362">
      <w:pPr>
        <w:jc w:val="both"/>
        <w:rPr>
          <w:rFonts w:ascii="Aptos" w:hAnsi="Aptos"/>
          <w:i/>
          <w:iCs/>
          <w:lang w:val="fr-FR"/>
        </w:rPr>
      </w:pPr>
      <w:hyperlink r:id="rId10" w:history="1">
        <w:r w:rsidR="00635634" w:rsidRPr="009F172C">
          <w:rPr>
            <w:rStyle w:val="Hyperlink"/>
            <w:rFonts w:ascii="Aptos" w:hAnsi="Aptos"/>
            <w:i/>
            <w:iCs/>
            <w:lang w:val="fr-FR"/>
          </w:rPr>
          <w:t>https://disclosure.spglobal.com/ratings/en/regulatory/article/-/view/type/HTML/id/3183128</w:t>
        </w:r>
      </w:hyperlink>
    </w:p>
    <w:p w14:paraId="4A43917D" w14:textId="1309683C" w:rsidR="00635634" w:rsidRPr="009F172C" w:rsidRDefault="004E26CF" w:rsidP="00115362">
      <w:pPr>
        <w:jc w:val="both"/>
        <w:rPr>
          <w:rFonts w:ascii="Aptos" w:hAnsi="Aptos"/>
          <w:i/>
          <w:iCs/>
          <w:lang w:val="fr-FR"/>
        </w:rPr>
      </w:pPr>
      <w:hyperlink r:id="rId11" w:anchor=":~:text=Dans%20le%20cadre%20d'une,environ%2020%20%25%20des%20exportations%20totales" w:history="1">
        <w:r w:rsidR="00391A75" w:rsidRPr="009F172C">
          <w:rPr>
            <w:rStyle w:val="Hyperlink"/>
            <w:rFonts w:ascii="Aptos" w:hAnsi="Aptos"/>
            <w:i/>
            <w:iCs/>
            <w:lang w:val="fr-FR"/>
          </w:rPr>
          <w:t>https://www.coface.com/fr/actualites-economie-conseils-d-experts/tableau-de-bord-des-risques-economiques/fiches-risques-pays/bahrein#:~:text=Dans%20le%20cadre%20d'une,environ%2020%20%25%20des%20exportations%20totales</w:t>
        </w:r>
      </w:hyperlink>
      <w:r w:rsidR="00635634" w:rsidRPr="009F172C">
        <w:rPr>
          <w:rFonts w:ascii="Aptos" w:hAnsi="Aptos"/>
          <w:i/>
          <w:iCs/>
          <w:lang w:val="fr-FR"/>
        </w:rPr>
        <w:t>.</w:t>
      </w:r>
    </w:p>
    <w:p w14:paraId="5EEA5BA0" w14:textId="25143756" w:rsidR="00391A75" w:rsidRPr="009F172C" w:rsidRDefault="004E26CF" w:rsidP="00115362">
      <w:pPr>
        <w:jc w:val="both"/>
        <w:rPr>
          <w:rFonts w:ascii="Aptos" w:hAnsi="Aptos"/>
          <w:i/>
          <w:iCs/>
          <w:lang w:val="fr-FR"/>
        </w:rPr>
      </w:pPr>
      <w:hyperlink r:id="rId12" w:history="1">
        <w:r w:rsidR="00391A75" w:rsidRPr="009F172C">
          <w:rPr>
            <w:rStyle w:val="Hyperlink"/>
            <w:rFonts w:ascii="Aptos" w:hAnsi="Aptos"/>
            <w:i/>
            <w:iCs/>
            <w:lang w:val="fr-FR"/>
          </w:rPr>
          <w:t>https://www.diplomatie.gouv.fr/fr/dossie</w:t>
        </w:r>
        <w:r w:rsidR="00391A75" w:rsidRPr="009F172C">
          <w:rPr>
            <w:rStyle w:val="Hyperlink"/>
            <w:rFonts w:ascii="Aptos" w:hAnsi="Aptos"/>
            <w:i/>
            <w:iCs/>
            <w:lang w:val="fr-FR"/>
          </w:rPr>
          <w:t>r</w:t>
        </w:r>
        <w:r w:rsidR="00391A75" w:rsidRPr="009F172C">
          <w:rPr>
            <w:rStyle w:val="Hyperlink"/>
            <w:rFonts w:ascii="Aptos" w:hAnsi="Aptos"/>
            <w:i/>
            <w:iCs/>
            <w:lang w:val="fr-FR"/>
          </w:rPr>
          <w:t>s-pays/bahrein/presentation-du-bahrein/</w:t>
        </w:r>
      </w:hyperlink>
    </w:p>
    <w:p w14:paraId="64F1A8DB" w14:textId="1B150099" w:rsidR="00391A75" w:rsidRDefault="00BC5A86" w:rsidP="00115362">
      <w:pPr>
        <w:jc w:val="both"/>
        <w:rPr>
          <w:rFonts w:ascii="Aptos" w:hAnsi="Aptos"/>
          <w:i/>
          <w:iCs/>
          <w:lang w:val="fr-FR"/>
        </w:rPr>
      </w:pPr>
      <w:hyperlink r:id="rId13" w:history="1">
        <w:r w:rsidRPr="00717BE4">
          <w:rPr>
            <w:rStyle w:val="Hyperlink"/>
            <w:rFonts w:ascii="Aptos" w:hAnsi="Aptos"/>
            <w:i/>
            <w:iCs/>
            <w:lang w:val="fr-FR"/>
          </w:rPr>
          <w:t>https:/</w:t>
        </w:r>
        <w:r w:rsidRPr="00717BE4">
          <w:rPr>
            <w:rStyle w:val="Hyperlink"/>
            <w:rFonts w:ascii="Aptos" w:hAnsi="Aptos"/>
            <w:i/>
            <w:iCs/>
            <w:lang w:val="fr-FR"/>
          </w:rPr>
          <w:t>/</w:t>
        </w:r>
        <w:r w:rsidRPr="00717BE4">
          <w:rPr>
            <w:rStyle w:val="Hyperlink"/>
            <w:rFonts w:ascii="Aptos" w:hAnsi="Aptos"/>
            <w:i/>
            <w:iCs/>
            <w:lang w:val="fr-FR"/>
          </w:rPr>
          <w:t>www.tresor.economie.gouv.fr/Pays/BH/situation-economique-et-financiere-decembre-2017</w:t>
        </w:r>
      </w:hyperlink>
    </w:p>
    <w:p w14:paraId="1F09CFB7" w14:textId="77777777" w:rsidR="00BC5A86" w:rsidRPr="009F172C" w:rsidRDefault="00BC5A86" w:rsidP="00115362">
      <w:pPr>
        <w:jc w:val="both"/>
        <w:rPr>
          <w:rFonts w:ascii="Aptos" w:hAnsi="Aptos"/>
          <w:i/>
          <w:iCs/>
          <w:lang w:val="fr-FR"/>
        </w:rPr>
      </w:pPr>
    </w:p>
    <w:sectPr w:rsidR="00BC5A86" w:rsidRPr="009F172C">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179BDE" w14:textId="77777777" w:rsidR="00AB30FE" w:rsidRDefault="00AB30FE" w:rsidP="00AB30FE">
      <w:pPr>
        <w:spacing w:after="0" w:line="240" w:lineRule="auto"/>
      </w:pPr>
      <w:r>
        <w:separator/>
      </w:r>
    </w:p>
  </w:endnote>
  <w:endnote w:type="continuationSeparator" w:id="0">
    <w:p w14:paraId="7AB9456F" w14:textId="77777777" w:rsidR="00AB30FE" w:rsidRDefault="00AB30FE" w:rsidP="00AB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23278" w14:textId="77777777" w:rsidR="00AB30FE" w:rsidRDefault="00AB30FE" w:rsidP="00AB30FE">
      <w:pPr>
        <w:spacing w:after="0" w:line="240" w:lineRule="auto"/>
      </w:pPr>
      <w:r>
        <w:separator/>
      </w:r>
    </w:p>
  </w:footnote>
  <w:footnote w:type="continuationSeparator" w:id="0">
    <w:p w14:paraId="0B4F7871" w14:textId="77777777" w:rsidR="00AB30FE" w:rsidRDefault="00AB30FE" w:rsidP="00AB30F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78522" w14:textId="4CDDBAE1" w:rsidR="00AB30FE" w:rsidRDefault="001647E6">
    <w:pPr>
      <w:pStyle w:val="Header"/>
    </w:pPr>
    <w:r>
      <w:rPr>
        <w:noProof/>
      </w:rPr>
      <w:drawing>
        <wp:inline distT="0" distB="0" distL="0" distR="0" wp14:anchorId="582FF22A" wp14:editId="71572E24">
          <wp:extent cx="502920" cy="301752"/>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527" cy="308716"/>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7D72E5"/>
    <w:multiLevelType w:val="hybridMultilevel"/>
    <w:tmpl w:val="EBF46F72"/>
    <w:lvl w:ilvl="0" w:tplc="580ACA56">
      <w:numFmt w:val="bullet"/>
      <w:lvlText w:val=""/>
      <w:lvlJc w:val="left"/>
      <w:pPr>
        <w:ind w:left="720" w:hanging="360"/>
      </w:pPr>
      <w:rPr>
        <w:rFonts w:ascii="Symbol" w:eastAsiaTheme="minorHAnsi" w:hAnsi="Symbol" w:cstheme="minorBidi" w:hint="default"/>
      </w:rPr>
    </w:lvl>
    <w:lvl w:ilvl="1" w:tplc="140C0003" w:tentative="1">
      <w:start w:val="1"/>
      <w:numFmt w:val="bullet"/>
      <w:lvlText w:val="o"/>
      <w:lvlJc w:val="left"/>
      <w:pPr>
        <w:ind w:left="1440" w:hanging="360"/>
      </w:pPr>
      <w:rPr>
        <w:rFonts w:ascii="Courier New" w:hAnsi="Courier New" w:cs="Courier New" w:hint="default"/>
      </w:rPr>
    </w:lvl>
    <w:lvl w:ilvl="2" w:tplc="140C0005" w:tentative="1">
      <w:start w:val="1"/>
      <w:numFmt w:val="bullet"/>
      <w:lvlText w:val=""/>
      <w:lvlJc w:val="left"/>
      <w:pPr>
        <w:ind w:left="2160" w:hanging="360"/>
      </w:pPr>
      <w:rPr>
        <w:rFonts w:ascii="Wingdings" w:hAnsi="Wingdings" w:hint="default"/>
      </w:rPr>
    </w:lvl>
    <w:lvl w:ilvl="3" w:tplc="140C0001" w:tentative="1">
      <w:start w:val="1"/>
      <w:numFmt w:val="bullet"/>
      <w:lvlText w:val=""/>
      <w:lvlJc w:val="left"/>
      <w:pPr>
        <w:ind w:left="2880" w:hanging="360"/>
      </w:pPr>
      <w:rPr>
        <w:rFonts w:ascii="Symbol" w:hAnsi="Symbol" w:hint="default"/>
      </w:rPr>
    </w:lvl>
    <w:lvl w:ilvl="4" w:tplc="140C0003" w:tentative="1">
      <w:start w:val="1"/>
      <w:numFmt w:val="bullet"/>
      <w:lvlText w:val="o"/>
      <w:lvlJc w:val="left"/>
      <w:pPr>
        <w:ind w:left="3600" w:hanging="360"/>
      </w:pPr>
      <w:rPr>
        <w:rFonts w:ascii="Courier New" w:hAnsi="Courier New" w:cs="Courier New" w:hint="default"/>
      </w:rPr>
    </w:lvl>
    <w:lvl w:ilvl="5" w:tplc="140C0005" w:tentative="1">
      <w:start w:val="1"/>
      <w:numFmt w:val="bullet"/>
      <w:lvlText w:val=""/>
      <w:lvlJc w:val="left"/>
      <w:pPr>
        <w:ind w:left="4320" w:hanging="360"/>
      </w:pPr>
      <w:rPr>
        <w:rFonts w:ascii="Wingdings" w:hAnsi="Wingdings" w:hint="default"/>
      </w:rPr>
    </w:lvl>
    <w:lvl w:ilvl="6" w:tplc="140C0001" w:tentative="1">
      <w:start w:val="1"/>
      <w:numFmt w:val="bullet"/>
      <w:lvlText w:val=""/>
      <w:lvlJc w:val="left"/>
      <w:pPr>
        <w:ind w:left="5040" w:hanging="360"/>
      </w:pPr>
      <w:rPr>
        <w:rFonts w:ascii="Symbol" w:hAnsi="Symbol" w:hint="default"/>
      </w:rPr>
    </w:lvl>
    <w:lvl w:ilvl="7" w:tplc="140C0003" w:tentative="1">
      <w:start w:val="1"/>
      <w:numFmt w:val="bullet"/>
      <w:lvlText w:val="o"/>
      <w:lvlJc w:val="left"/>
      <w:pPr>
        <w:ind w:left="5760" w:hanging="360"/>
      </w:pPr>
      <w:rPr>
        <w:rFonts w:ascii="Courier New" w:hAnsi="Courier New" w:cs="Courier New" w:hint="default"/>
      </w:rPr>
    </w:lvl>
    <w:lvl w:ilvl="8" w:tplc="140C0005" w:tentative="1">
      <w:start w:val="1"/>
      <w:numFmt w:val="bullet"/>
      <w:lvlText w:val=""/>
      <w:lvlJc w:val="left"/>
      <w:pPr>
        <w:ind w:left="6480" w:hanging="360"/>
      </w:pPr>
      <w:rPr>
        <w:rFonts w:ascii="Wingdings" w:hAnsi="Wingdings" w:hint="default"/>
      </w:rPr>
    </w:lvl>
  </w:abstractNum>
  <w:num w:numId="1" w16cid:durableId="16266967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4096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290"/>
    <w:rsid w:val="00003110"/>
    <w:rsid w:val="0001164B"/>
    <w:rsid w:val="00030E56"/>
    <w:rsid w:val="00036630"/>
    <w:rsid w:val="00043EA6"/>
    <w:rsid w:val="00057EA4"/>
    <w:rsid w:val="0006525C"/>
    <w:rsid w:val="0007589E"/>
    <w:rsid w:val="00090F0A"/>
    <w:rsid w:val="000A167C"/>
    <w:rsid w:val="000B04B1"/>
    <w:rsid w:val="000C60F6"/>
    <w:rsid w:val="000E5546"/>
    <w:rsid w:val="00115362"/>
    <w:rsid w:val="00124387"/>
    <w:rsid w:val="001325A8"/>
    <w:rsid w:val="00142F2F"/>
    <w:rsid w:val="00143A07"/>
    <w:rsid w:val="001443C3"/>
    <w:rsid w:val="00153BEE"/>
    <w:rsid w:val="001647E6"/>
    <w:rsid w:val="00192F59"/>
    <w:rsid w:val="001E3459"/>
    <w:rsid w:val="002233AD"/>
    <w:rsid w:val="0022382D"/>
    <w:rsid w:val="00223B36"/>
    <w:rsid w:val="00240913"/>
    <w:rsid w:val="00267D8C"/>
    <w:rsid w:val="00274C46"/>
    <w:rsid w:val="002A47EE"/>
    <w:rsid w:val="002A65BA"/>
    <w:rsid w:val="002D0290"/>
    <w:rsid w:val="002D29A0"/>
    <w:rsid w:val="002F2BBB"/>
    <w:rsid w:val="00302FEF"/>
    <w:rsid w:val="00314D2E"/>
    <w:rsid w:val="003322FD"/>
    <w:rsid w:val="0033600F"/>
    <w:rsid w:val="0036509C"/>
    <w:rsid w:val="00391A75"/>
    <w:rsid w:val="00396C99"/>
    <w:rsid w:val="003A2E8A"/>
    <w:rsid w:val="0042152F"/>
    <w:rsid w:val="00461EA0"/>
    <w:rsid w:val="00467C70"/>
    <w:rsid w:val="004805A6"/>
    <w:rsid w:val="00480E56"/>
    <w:rsid w:val="004876D5"/>
    <w:rsid w:val="004C51C2"/>
    <w:rsid w:val="004E26CF"/>
    <w:rsid w:val="00506F85"/>
    <w:rsid w:val="00523447"/>
    <w:rsid w:val="00537CD8"/>
    <w:rsid w:val="005635FB"/>
    <w:rsid w:val="00590644"/>
    <w:rsid w:val="00593C5A"/>
    <w:rsid w:val="005A4DA9"/>
    <w:rsid w:val="005A5631"/>
    <w:rsid w:val="005B27AF"/>
    <w:rsid w:val="005C1DC6"/>
    <w:rsid w:val="005D1EB4"/>
    <w:rsid w:val="005E3DA6"/>
    <w:rsid w:val="005F5744"/>
    <w:rsid w:val="0060735C"/>
    <w:rsid w:val="00621D0C"/>
    <w:rsid w:val="00635634"/>
    <w:rsid w:val="00640E2A"/>
    <w:rsid w:val="00662A00"/>
    <w:rsid w:val="00677E24"/>
    <w:rsid w:val="00692DDB"/>
    <w:rsid w:val="0069574D"/>
    <w:rsid w:val="006C0B85"/>
    <w:rsid w:val="006C2ED1"/>
    <w:rsid w:val="006F2D32"/>
    <w:rsid w:val="006F3365"/>
    <w:rsid w:val="0070755E"/>
    <w:rsid w:val="00744CF6"/>
    <w:rsid w:val="0074557D"/>
    <w:rsid w:val="00747BC8"/>
    <w:rsid w:val="0076587B"/>
    <w:rsid w:val="007971CE"/>
    <w:rsid w:val="007B4D9F"/>
    <w:rsid w:val="007E75A5"/>
    <w:rsid w:val="007F2255"/>
    <w:rsid w:val="00802699"/>
    <w:rsid w:val="0081788C"/>
    <w:rsid w:val="00824697"/>
    <w:rsid w:val="00825AEC"/>
    <w:rsid w:val="008525F9"/>
    <w:rsid w:val="0086661E"/>
    <w:rsid w:val="008A770D"/>
    <w:rsid w:val="008B2348"/>
    <w:rsid w:val="008C76C2"/>
    <w:rsid w:val="008D4304"/>
    <w:rsid w:val="008F7262"/>
    <w:rsid w:val="009673CE"/>
    <w:rsid w:val="009741B6"/>
    <w:rsid w:val="009827F8"/>
    <w:rsid w:val="009B5EF7"/>
    <w:rsid w:val="009D4304"/>
    <w:rsid w:val="009E07B2"/>
    <w:rsid w:val="009E63C0"/>
    <w:rsid w:val="009F172C"/>
    <w:rsid w:val="00A15026"/>
    <w:rsid w:val="00A27165"/>
    <w:rsid w:val="00A31D7D"/>
    <w:rsid w:val="00A6733E"/>
    <w:rsid w:val="00A918D2"/>
    <w:rsid w:val="00A963D3"/>
    <w:rsid w:val="00A973C3"/>
    <w:rsid w:val="00AA37BB"/>
    <w:rsid w:val="00AA7FC2"/>
    <w:rsid w:val="00AB30FE"/>
    <w:rsid w:val="00AE337F"/>
    <w:rsid w:val="00AE5321"/>
    <w:rsid w:val="00B01E7E"/>
    <w:rsid w:val="00B157A4"/>
    <w:rsid w:val="00B23108"/>
    <w:rsid w:val="00B23986"/>
    <w:rsid w:val="00B26765"/>
    <w:rsid w:val="00B424E7"/>
    <w:rsid w:val="00B43B01"/>
    <w:rsid w:val="00B45CEC"/>
    <w:rsid w:val="00B46731"/>
    <w:rsid w:val="00B47F8F"/>
    <w:rsid w:val="00B63AAF"/>
    <w:rsid w:val="00B81B03"/>
    <w:rsid w:val="00BB2D32"/>
    <w:rsid w:val="00BC5A86"/>
    <w:rsid w:val="00BC6E91"/>
    <w:rsid w:val="00BD7EC9"/>
    <w:rsid w:val="00BE29F7"/>
    <w:rsid w:val="00BE6467"/>
    <w:rsid w:val="00BF6768"/>
    <w:rsid w:val="00C1457A"/>
    <w:rsid w:val="00C37949"/>
    <w:rsid w:val="00C43246"/>
    <w:rsid w:val="00C71EC2"/>
    <w:rsid w:val="00C81BBF"/>
    <w:rsid w:val="00C82883"/>
    <w:rsid w:val="00C900A1"/>
    <w:rsid w:val="00C9110D"/>
    <w:rsid w:val="00C91D01"/>
    <w:rsid w:val="00C92E45"/>
    <w:rsid w:val="00C936E0"/>
    <w:rsid w:val="00C94FA3"/>
    <w:rsid w:val="00CB5064"/>
    <w:rsid w:val="00CB6A35"/>
    <w:rsid w:val="00CD0561"/>
    <w:rsid w:val="00D20C7E"/>
    <w:rsid w:val="00D72A21"/>
    <w:rsid w:val="00D81DB1"/>
    <w:rsid w:val="00DA1B7B"/>
    <w:rsid w:val="00DB504D"/>
    <w:rsid w:val="00DD26CE"/>
    <w:rsid w:val="00E3792E"/>
    <w:rsid w:val="00E461CE"/>
    <w:rsid w:val="00E52296"/>
    <w:rsid w:val="00E53144"/>
    <w:rsid w:val="00E62FA2"/>
    <w:rsid w:val="00E6335F"/>
    <w:rsid w:val="00E80D31"/>
    <w:rsid w:val="00EC1560"/>
    <w:rsid w:val="00EC51C4"/>
    <w:rsid w:val="00EC5D36"/>
    <w:rsid w:val="00ED6BB5"/>
    <w:rsid w:val="00EE0511"/>
    <w:rsid w:val="00EE137B"/>
    <w:rsid w:val="00EE67A7"/>
    <w:rsid w:val="00F00F23"/>
    <w:rsid w:val="00F064BB"/>
    <w:rsid w:val="00F14014"/>
    <w:rsid w:val="00F3116E"/>
    <w:rsid w:val="00F513F4"/>
    <w:rsid w:val="00F65993"/>
    <w:rsid w:val="00F76BDB"/>
    <w:rsid w:val="00F81436"/>
    <w:rsid w:val="00F9337A"/>
    <w:rsid w:val="00FB1B23"/>
    <w:rsid w:val="00FB7CC7"/>
    <w:rsid w:val="00FC57CD"/>
    <w:rsid w:val="00FE2C9F"/>
    <w:rsid w:val="00FE4A47"/>
  </w:rsids>
  <m:mathPr>
    <m:mathFont m:val="Cambria Math"/>
    <m:brkBin m:val="before"/>
    <m:brkBinSub m:val="--"/>
    <m:smallFrac m:val="0"/>
    <m:dispDef/>
    <m:lMargin m:val="0"/>
    <m:rMargin m:val="0"/>
    <m:defJc m:val="centerGroup"/>
    <m:wrapIndent m:val="1440"/>
    <m:intLim m:val="subSup"/>
    <m:naryLim m:val="undOvr"/>
  </m:mathPr>
  <w:themeFontLang w:val="fr-LU"/>
  <w:clrSchemeMapping w:bg1="light1" w:t1="dark1" w:bg2="light2" w:t2="dark2" w:accent1="accent1" w:accent2="accent2" w:accent3="accent3" w:accent4="accent4" w:accent5="accent5" w:accent6="accent6" w:hyperlink="hyperlink" w:followedHyperlink="followedHyperlink"/>
  <w:shapeDefaults>
    <o:shapedefaults v:ext="edit" spidmax="40961"/>
    <o:shapelayout v:ext="edit">
      <o:idmap v:ext="edit" data="1"/>
    </o:shapelayout>
  </w:shapeDefaults>
  <w:decimalSymbol w:val="."/>
  <w:listSeparator w:val=","/>
  <w14:docId w14:val="4550BE87"/>
  <w15:chartTrackingRefBased/>
  <w15:docId w15:val="{0E330544-65AB-4618-A8D6-D93D1EDC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L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2A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2A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B30F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30FE"/>
  </w:style>
  <w:style w:type="paragraph" w:styleId="Footer">
    <w:name w:val="footer"/>
    <w:basedOn w:val="Normal"/>
    <w:link w:val="FooterChar"/>
    <w:uiPriority w:val="99"/>
    <w:unhideWhenUsed/>
    <w:rsid w:val="00AB30F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30FE"/>
  </w:style>
  <w:style w:type="character" w:styleId="Hyperlink">
    <w:name w:val="Hyperlink"/>
    <w:basedOn w:val="DefaultParagraphFont"/>
    <w:uiPriority w:val="99"/>
    <w:unhideWhenUsed/>
    <w:rsid w:val="00AB30FE"/>
    <w:rPr>
      <w:color w:val="0563C1" w:themeColor="hyperlink"/>
      <w:u w:val="single"/>
    </w:rPr>
  </w:style>
  <w:style w:type="character" w:styleId="UnresolvedMention">
    <w:name w:val="Unresolved Mention"/>
    <w:basedOn w:val="DefaultParagraphFont"/>
    <w:uiPriority w:val="99"/>
    <w:semiHidden/>
    <w:unhideWhenUsed/>
    <w:rsid w:val="00AB30FE"/>
    <w:rPr>
      <w:color w:val="605E5C"/>
      <w:shd w:val="clear" w:color="auto" w:fill="E1DFDD"/>
    </w:rPr>
  </w:style>
  <w:style w:type="character" w:styleId="FollowedHyperlink">
    <w:name w:val="FollowedHyperlink"/>
    <w:basedOn w:val="DefaultParagraphFont"/>
    <w:uiPriority w:val="99"/>
    <w:semiHidden/>
    <w:unhideWhenUsed/>
    <w:rsid w:val="00124387"/>
    <w:rPr>
      <w:color w:val="954F72" w:themeColor="followedHyperlink"/>
      <w:u w:val="single"/>
    </w:rPr>
  </w:style>
  <w:style w:type="paragraph" w:styleId="ListParagraph">
    <w:name w:val="List Paragraph"/>
    <w:basedOn w:val="Normal"/>
    <w:uiPriority w:val="34"/>
    <w:qFormat/>
    <w:rsid w:val="00C9110D"/>
    <w:pPr>
      <w:ind w:left="720"/>
      <w:contextualSpacing/>
    </w:pPr>
  </w:style>
  <w:style w:type="paragraph" w:styleId="Caption">
    <w:name w:val="caption"/>
    <w:basedOn w:val="Normal"/>
    <w:next w:val="Normal"/>
    <w:uiPriority w:val="35"/>
    <w:unhideWhenUsed/>
    <w:qFormat/>
    <w:rsid w:val="00C91D0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3384209">
      <w:bodyDiv w:val="1"/>
      <w:marLeft w:val="0"/>
      <w:marRight w:val="0"/>
      <w:marTop w:val="0"/>
      <w:marBottom w:val="0"/>
      <w:divBdr>
        <w:top w:val="none" w:sz="0" w:space="0" w:color="auto"/>
        <w:left w:val="none" w:sz="0" w:space="0" w:color="auto"/>
        <w:bottom w:val="none" w:sz="0" w:space="0" w:color="auto"/>
        <w:right w:val="none" w:sz="0" w:space="0" w:color="auto"/>
      </w:divBdr>
      <w:divsChild>
        <w:div w:id="269090954">
          <w:marLeft w:val="0"/>
          <w:marRight w:val="0"/>
          <w:marTop w:val="0"/>
          <w:marBottom w:val="0"/>
          <w:divBdr>
            <w:top w:val="none" w:sz="0" w:space="0" w:color="auto"/>
            <w:left w:val="none" w:sz="0" w:space="0" w:color="auto"/>
            <w:bottom w:val="none" w:sz="0" w:space="0" w:color="auto"/>
            <w:right w:val="none" w:sz="0" w:space="0" w:color="auto"/>
          </w:divBdr>
        </w:div>
        <w:div w:id="688918683">
          <w:marLeft w:val="0"/>
          <w:marRight w:val="0"/>
          <w:marTop w:val="0"/>
          <w:marBottom w:val="0"/>
          <w:divBdr>
            <w:top w:val="none" w:sz="0" w:space="0" w:color="auto"/>
            <w:left w:val="none" w:sz="0" w:space="0" w:color="auto"/>
            <w:bottom w:val="none" w:sz="0" w:space="0" w:color="auto"/>
            <w:right w:val="none" w:sz="0" w:space="0" w:color="auto"/>
          </w:divBdr>
        </w:div>
        <w:div w:id="95449610">
          <w:marLeft w:val="0"/>
          <w:marRight w:val="0"/>
          <w:marTop w:val="0"/>
          <w:marBottom w:val="0"/>
          <w:divBdr>
            <w:top w:val="none" w:sz="0" w:space="0" w:color="auto"/>
            <w:left w:val="none" w:sz="0" w:space="0" w:color="auto"/>
            <w:bottom w:val="none" w:sz="0" w:space="0" w:color="auto"/>
            <w:right w:val="none" w:sz="0" w:space="0" w:color="auto"/>
          </w:divBdr>
        </w:div>
        <w:div w:id="51851504">
          <w:marLeft w:val="0"/>
          <w:marRight w:val="0"/>
          <w:marTop w:val="0"/>
          <w:marBottom w:val="0"/>
          <w:divBdr>
            <w:top w:val="none" w:sz="0" w:space="0" w:color="auto"/>
            <w:left w:val="none" w:sz="0" w:space="0" w:color="auto"/>
            <w:bottom w:val="none" w:sz="0" w:space="0" w:color="auto"/>
            <w:right w:val="none" w:sz="0" w:space="0" w:color="auto"/>
          </w:divBdr>
        </w:div>
        <w:div w:id="161627010">
          <w:marLeft w:val="0"/>
          <w:marRight w:val="0"/>
          <w:marTop w:val="0"/>
          <w:marBottom w:val="0"/>
          <w:divBdr>
            <w:top w:val="none" w:sz="0" w:space="0" w:color="auto"/>
            <w:left w:val="none" w:sz="0" w:space="0" w:color="auto"/>
            <w:bottom w:val="none" w:sz="0" w:space="0" w:color="auto"/>
            <w:right w:val="none" w:sz="0" w:space="0" w:color="auto"/>
          </w:divBdr>
        </w:div>
        <w:div w:id="308293421">
          <w:marLeft w:val="0"/>
          <w:marRight w:val="0"/>
          <w:marTop w:val="0"/>
          <w:marBottom w:val="0"/>
          <w:divBdr>
            <w:top w:val="none" w:sz="0" w:space="0" w:color="auto"/>
            <w:left w:val="none" w:sz="0" w:space="0" w:color="auto"/>
            <w:bottom w:val="none" w:sz="0" w:space="0" w:color="auto"/>
            <w:right w:val="none" w:sz="0" w:space="0" w:color="auto"/>
          </w:divBdr>
        </w:div>
        <w:div w:id="2033919290">
          <w:marLeft w:val="0"/>
          <w:marRight w:val="0"/>
          <w:marTop w:val="0"/>
          <w:marBottom w:val="0"/>
          <w:divBdr>
            <w:top w:val="none" w:sz="0" w:space="0" w:color="auto"/>
            <w:left w:val="none" w:sz="0" w:space="0" w:color="auto"/>
            <w:bottom w:val="none" w:sz="0" w:space="0" w:color="auto"/>
            <w:right w:val="none" w:sz="0" w:space="0" w:color="auto"/>
          </w:divBdr>
        </w:div>
        <w:div w:id="665324275">
          <w:marLeft w:val="0"/>
          <w:marRight w:val="0"/>
          <w:marTop w:val="0"/>
          <w:marBottom w:val="0"/>
          <w:divBdr>
            <w:top w:val="none" w:sz="0" w:space="0" w:color="auto"/>
            <w:left w:val="none" w:sz="0" w:space="0" w:color="auto"/>
            <w:bottom w:val="none" w:sz="0" w:space="0" w:color="auto"/>
            <w:right w:val="none" w:sz="0" w:space="0" w:color="auto"/>
          </w:divBdr>
        </w:div>
        <w:div w:id="584726416">
          <w:marLeft w:val="0"/>
          <w:marRight w:val="0"/>
          <w:marTop w:val="0"/>
          <w:marBottom w:val="0"/>
          <w:divBdr>
            <w:top w:val="none" w:sz="0" w:space="0" w:color="auto"/>
            <w:left w:val="none" w:sz="0" w:space="0" w:color="auto"/>
            <w:bottom w:val="none" w:sz="0" w:space="0" w:color="auto"/>
            <w:right w:val="none" w:sz="0" w:space="0" w:color="auto"/>
          </w:divBdr>
        </w:div>
        <w:div w:id="906649320">
          <w:marLeft w:val="0"/>
          <w:marRight w:val="0"/>
          <w:marTop w:val="0"/>
          <w:marBottom w:val="0"/>
          <w:divBdr>
            <w:top w:val="none" w:sz="0" w:space="0" w:color="auto"/>
            <w:left w:val="none" w:sz="0" w:space="0" w:color="auto"/>
            <w:bottom w:val="none" w:sz="0" w:space="0" w:color="auto"/>
            <w:right w:val="none" w:sz="0" w:space="0" w:color="auto"/>
          </w:divBdr>
        </w:div>
        <w:div w:id="342509835">
          <w:marLeft w:val="0"/>
          <w:marRight w:val="0"/>
          <w:marTop w:val="0"/>
          <w:marBottom w:val="0"/>
          <w:divBdr>
            <w:top w:val="none" w:sz="0" w:space="0" w:color="auto"/>
            <w:left w:val="none" w:sz="0" w:space="0" w:color="auto"/>
            <w:bottom w:val="none" w:sz="0" w:space="0" w:color="auto"/>
            <w:right w:val="none" w:sz="0" w:space="0" w:color="auto"/>
          </w:divBdr>
        </w:div>
        <w:div w:id="1470047305">
          <w:marLeft w:val="0"/>
          <w:marRight w:val="0"/>
          <w:marTop w:val="0"/>
          <w:marBottom w:val="0"/>
          <w:divBdr>
            <w:top w:val="none" w:sz="0" w:space="0" w:color="auto"/>
            <w:left w:val="none" w:sz="0" w:space="0" w:color="auto"/>
            <w:bottom w:val="none" w:sz="0" w:space="0" w:color="auto"/>
            <w:right w:val="none" w:sz="0" w:space="0" w:color="auto"/>
          </w:divBdr>
        </w:div>
        <w:div w:id="638342917">
          <w:marLeft w:val="0"/>
          <w:marRight w:val="0"/>
          <w:marTop w:val="0"/>
          <w:marBottom w:val="0"/>
          <w:divBdr>
            <w:top w:val="none" w:sz="0" w:space="0" w:color="auto"/>
            <w:left w:val="none" w:sz="0" w:space="0" w:color="auto"/>
            <w:bottom w:val="none" w:sz="0" w:space="0" w:color="auto"/>
            <w:right w:val="none" w:sz="0" w:space="0" w:color="auto"/>
          </w:divBdr>
        </w:div>
        <w:div w:id="2074306501">
          <w:marLeft w:val="0"/>
          <w:marRight w:val="0"/>
          <w:marTop w:val="0"/>
          <w:marBottom w:val="0"/>
          <w:divBdr>
            <w:top w:val="none" w:sz="0" w:space="0" w:color="auto"/>
            <w:left w:val="none" w:sz="0" w:space="0" w:color="auto"/>
            <w:bottom w:val="none" w:sz="0" w:space="0" w:color="auto"/>
            <w:right w:val="none" w:sz="0" w:space="0" w:color="auto"/>
          </w:divBdr>
        </w:div>
        <w:div w:id="603850514">
          <w:marLeft w:val="0"/>
          <w:marRight w:val="0"/>
          <w:marTop w:val="0"/>
          <w:marBottom w:val="0"/>
          <w:divBdr>
            <w:top w:val="none" w:sz="0" w:space="0" w:color="auto"/>
            <w:left w:val="none" w:sz="0" w:space="0" w:color="auto"/>
            <w:bottom w:val="none" w:sz="0" w:space="0" w:color="auto"/>
            <w:right w:val="none" w:sz="0" w:space="0" w:color="auto"/>
          </w:divBdr>
        </w:div>
        <w:div w:id="1324626177">
          <w:marLeft w:val="0"/>
          <w:marRight w:val="0"/>
          <w:marTop w:val="0"/>
          <w:marBottom w:val="0"/>
          <w:divBdr>
            <w:top w:val="none" w:sz="0" w:space="0" w:color="auto"/>
            <w:left w:val="none" w:sz="0" w:space="0" w:color="auto"/>
            <w:bottom w:val="none" w:sz="0" w:space="0" w:color="auto"/>
            <w:right w:val="none" w:sz="0" w:space="0" w:color="auto"/>
          </w:divBdr>
        </w:div>
        <w:div w:id="412162127">
          <w:marLeft w:val="0"/>
          <w:marRight w:val="0"/>
          <w:marTop w:val="0"/>
          <w:marBottom w:val="0"/>
          <w:divBdr>
            <w:top w:val="none" w:sz="0" w:space="0" w:color="auto"/>
            <w:left w:val="none" w:sz="0" w:space="0" w:color="auto"/>
            <w:bottom w:val="none" w:sz="0" w:space="0" w:color="auto"/>
            <w:right w:val="none" w:sz="0" w:space="0" w:color="auto"/>
          </w:divBdr>
        </w:div>
        <w:div w:id="555624060">
          <w:marLeft w:val="0"/>
          <w:marRight w:val="0"/>
          <w:marTop w:val="0"/>
          <w:marBottom w:val="0"/>
          <w:divBdr>
            <w:top w:val="none" w:sz="0" w:space="0" w:color="auto"/>
            <w:left w:val="none" w:sz="0" w:space="0" w:color="auto"/>
            <w:bottom w:val="none" w:sz="0" w:space="0" w:color="auto"/>
            <w:right w:val="none" w:sz="0" w:space="0" w:color="auto"/>
          </w:divBdr>
        </w:div>
        <w:div w:id="1866861801">
          <w:marLeft w:val="0"/>
          <w:marRight w:val="0"/>
          <w:marTop w:val="0"/>
          <w:marBottom w:val="0"/>
          <w:divBdr>
            <w:top w:val="none" w:sz="0" w:space="0" w:color="auto"/>
            <w:left w:val="none" w:sz="0" w:space="0" w:color="auto"/>
            <w:bottom w:val="none" w:sz="0" w:space="0" w:color="auto"/>
            <w:right w:val="none" w:sz="0" w:space="0" w:color="auto"/>
          </w:divBdr>
        </w:div>
        <w:div w:id="1163475416">
          <w:marLeft w:val="0"/>
          <w:marRight w:val="0"/>
          <w:marTop w:val="0"/>
          <w:marBottom w:val="0"/>
          <w:divBdr>
            <w:top w:val="none" w:sz="0" w:space="0" w:color="auto"/>
            <w:left w:val="none" w:sz="0" w:space="0" w:color="auto"/>
            <w:bottom w:val="none" w:sz="0" w:space="0" w:color="auto"/>
            <w:right w:val="none" w:sz="0" w:space="0" w:color="auto"/>
          </w:divBdr>
        </w:div>
        <w:div w:id="887031712">
          <w:marLeft w:val="0"/>
          <w:marRight w:val="0"/>
          <w:marTop w:val="0"/>
          <w:marBottom w:val="0"/>
          <w:divBdr>
            <w:top w:val="none" w:sz="0" w:space="0" w:color="auto"/>
            <w:left w:val="none" w:sz="0" w:space="0" w:color="auto"/>
            <w:bottom w:val="none" w:sz="0" w:space="0" w:color="auto"/>
            <w:right w:val="none" w:sz="0" w:space="0" w:color="auto"/>
          </w:divBdr>
        </w:div>
        <w:div w:id="2085182327">
          <w:marLeft w:val="0"/>
          <w:marRight w:val="0"/>
          <w:marTop w:val="0"/>
          <w:marBottom w:val="0"/>
          <w:divBdr>
            <w:top w:val="none" w:sz="0" w:space="0" w:color="auto"/>
            <w:left w:val="none" w:sz="0" w:space="0" w:color="auto"/>
            <w:bottom w:val="none" w:sz="0" w:space="0" w:color="auto"/>
            <w:right w:val="none" w:sz="0" w:space="0" w:color="auto"/>
          </w:divBdr>
        </w:div>
        <w:div w:id="2137409700">
          <w:marLeft w:val="0"/>
          <w:marRight w:val="0"/>
          <w:marTop w:val="0"/>
          <w:marBottom w:val="0"/>
          <w:divBdr>
            <w:top w:val="none" w:sz="0" w:space="0" w:color="auto"/>
            <w:left w:val="none" w:sz="0" w:space="0" w:color="auto"/>
            <w:bottom w:val="none" w:sz="0" w:space="0" w:color="auto"/>
            <w:right w:val="none" w:sz="0" w:space="0" w:color="auto"/>
          </w:divBdr>
        </w:div>
        <w:div w:id="1700812611">
          <w:marLeft w:val="0"/>
          <w:marRight w:val="0"/>
          <w:marTop w:val="0"/>
          <w:marBottom w:val="0"/>
          <w:divBdr>
            <w:top w:val="none" w:sz="0" w:space="0" w:color="auto"/>
            <w:left w:val="none" w:sz="0" w:space="0" w:color="auto"/>
            <w:bottom w:val="none" w:sz="0" w:space="0" w:color="auto"/>
            <w:right w:val="none" w:sz="0" w:space="0" w:color="auto"/>
          </w:divBdr>
        </w:div>
        <w:div w:id="1186945852">
          <w:marLeft w:val="0"/>
          <w:marRight w:val="0"/>
          <w:marTop w:val="0"/>
          <w:marBottom w:val="0"/>
          <w:divBdr>
            <w:top w:val="none" w:sz="0" w:space="0" w:color="auto"/>
            <w:left w:val="none" w:sz="0" w:space="0" w:color="auto"/>
            <w:bottom w:val="none" w:sz="0" w:space="0" w:color="auto"/>
            <w:right w:val="none" w:sz="0" w:space="0" w:color="auto"/>
          </w:divBdr>
        </w:div>
        <w:div w:id="593317665">
          <w:marLeft w:val="0"/>
          <w:marRight w:val="0"/>
          <w:marTop w:val="0"/>
          <w:marBottom w:val="0"/>
          <w:divBdr>
            <w:top w:val="none" w:sz="0" w:space="0" w:color="auto"/>
            <w:left w:val="none" w:sz="0" w:space="0" w:color="auto"/>
            <w:bottom w:val="none" w:sz="0" w:space="0" w:color="auto"/>
            <w:right w:val="none" w:sz="0" w:space="0" w:color="auto"/>
          </w:divBdr>
        </w:div>
        <w:div w:id="1046954085">
          <w:marLeft w:val="0"/>
          <w:marRight w:val="0"/>
          <w:marTop w:val="0"/>
          <w:marBottom w:val="0"/>
          <w:divBdr>
            <w:top w:val="none" w:sz="0" w:space="0" w:color="auto"/>
            <w:left w:val="none" w:sz="0" w:space="0" w:color="auto"/>
            <w:bottom w:val="none" w:sz="0" w:space="0" w:color="auto"/>
            <w:right w:val="none" w:sz="0" w:space="0" w:color="auto"/>
          </w:divBdr>
        </w:div>
        <w:div w:id="2044359157">
          <w:marLeft w:val="0"/>
          <w:marRight w:val="0"/>
          <w:marTop w:val="0"/>
          <w:marBottom w:val="0"/>
          <w:divBdr>
            <w:top w:val="none" w:sz="0" w:space="0" w:color="auto"/>
            <w:left w:val="none" w:sz="0" w:space="0" w:color="auto"/>
            <w:bottom w:val="none" w:sz="0" w:space="0" w:color="auto"/>
            <w:right w:val="none" w:sz="0" w:space="0" w:color="auto"/>
          </w:divBdr>
        </w:div>
        <w:div w:id="1750886179">
          <w:marLeft w:val="0"/>
          <w:marRight w:val="0"/>
          <w:marTop w:val="0"/>
          <w:marBottom w:val="0"/>
          <w:divBdr>
            <w:top w:val="none" w:sz="0" w:space="0" w:color="auto"/>
            <w:left w:val="none" w:sz="0" w:space="0" w:color="auto"/>
            <w:bottom w:val="none" w:sz="0" w:space="0" w:color="auto"/>
            <w:right w:val="none" w:sz="0" w:space="0" w:color="auto"/>
          </w:divBdr>
        </w:div>
        <w:div w:id="1252086112">
          <w:marLeft w:val="0"/>
          <w:marRight w:val="0"/>
          <w:marTop w:val="0"/>
          <w:marBottom w:val="0"/>
          <w:divBdr>
            <w:top w:val="none" w:sz="0" w:space="0" w:color="auto"/>
            <w:left w:val="none" w:sz="0" w:space="0" w:color="auto"/>
            <w:bottom w:val="none" w:sz="0" w:space="0" w:color="auto"/>
            <w:right w:val="none" w:sz="0" w:space="0" w:color="auto"/>
          </w:divBdr>
        </w:div>
        <w:div w:id="1914075796">
          <w:marLeft w:val="0"/>
          <w:marRight w:val="0"/>
          <w:marTop w:val="0"/>
          <w:marBottom w:val="0"/>
          <w:divBdr>
            <w:top w:val="none" w:sz="0" w:space="0" w:color="auto"/>
            <w:left w:val="none" w:sz="0" w:space="0" w:color="auto"/>
            <w:bottom w:val="none" w:sz="0" w:space="0" w:color="auto"/>
            <w:right w:val="none" w:sz="0" w:space="0" w:color="auto"/>
          </w:divBdr>
        </w:div>
        <w:div w:id="687832775">
          <w:marLeft w:val="0"/>
          <w:marRight w:val="0"/>
          <w:marTop w:val="0"/>
          <w:marBottom w:val="0"/>
          <w:divBdr>
            <w:top w:val="none" w:sz="0" w:space="0" w:color="auto"/>
            <w:left w:val="none" w:sz="0" w:space="0" w:color="auto"/>
            <w:bottom w:val="none" w:sz="0" w:space="0" w:color="auto"/>
            <w:right w:val="none" w:sz="0" w:space="0" w:color="auto"/>
          </w:divBdr>
        </w:div>
        <w:div w:id="1235580944">
          <w:marLeft w:val="0"/>
          <w:marRight w:val="0"/>
          <w:marTop w:val="0"/>
          <w:marBottom w:val="0"/>
          <w:divBdr>
            <w:top w:val="none" w:sz="0" w:space="0" w:color="auto"/>
            <w:left w:val="none" w:sz="0" w:space="0" w:color="auto"/>
            <w:bottom w:val="none" w:sz="0" w:space="0" w:color="auto"/>
            <w:right w:val="none" w:sz="0" w:space="0" w:color="auto"/>
          </w:divBdr>
        </w:div>
        <w:div w:id="853612751">
          <w:marLeft w:val="0"/>
          <w:marRight w:val="0"/>
          <w:marTop w:val="0"/>
          <w:marBottom w:val="0"/>
          <w:divBdr>
            <w:top w:val="none" w:sz="0" w:space="0" w:color="auto"/>
            <w:left w:val="none" w:sz="0" w:space="0" w:color="auto"/>
            <w:bottom w:val="none" w:sz="0" w:space="0" w:color="auto"/>
            <w:right w:val="none" w:sz="0" w:space="0" w:color="auto"/>
          </w:divBdr>
        </w:div>
        <w:div w:id="1383402647">
          <w:marLeft w:val="0"/>
          <w:marRight w:val="0"/>
          <w:marTop w:val="0"/>
          <w:marBottom w:val="0"/>
          <w:divBdr>
            <w:top w:val="none" w:sz="0" w:space="0" w:color="auto"/>
            <w:left w:val="none" w:sz="0" w:space="0" w:color="auto"/>
            <w:bottom w:val="none" w:sz="0" w:space="0" w:color="auto"/>
            <w:right w:val="none" w:sz="0" w:space="0" w:color="auto"/>
          </w:divBdr>
        </w:div>
        <w:div w:id="396323365">
          <w:marLeft w:val="0"/>
          <w:marRight w:val="0"/>
          <w:marTop w:val="0"/>
          <w:marBottom w:val="0"/>
          <w:divBdr>
            <w:top w:val="none" w:sz="0" w:space="0" w:color="auto"/>
            <w:left w:val="none" w:sz="0" w:space="0" w:color="auto"/>
            <w:bottom w:val="none" w:sz="0" w:space="0" w:color="auto"/>
            <w:right w:val="none" w:sz="0" w:space="0" w:color="auto"/>
          </w:divBdr>
        </w:div>
        <w:div w:id="699236336">
          <w:marLeft w:val="0"/>
          <w:marRight w:val="0"/>
          <w:marTop w:val="0"/>
          <w:marBottom w:val="0"/>
          <w:divBdr>
            <w:top w:val="none" w:sz="0" w:space="0" w:color="auto"/>
            <w:left w:val="none" w:sz="0" w:space="0" w:color="auto"/>
            <w:bottom w:val="none" w:sz="0" w:space="0" w:color="auto"/>
            <w:right w:val="none" w:sz="0" w:space="0" w:color="auto"/>
          </w:divBdr>
        </w:div>
        <w:div w:id="1153568296">
          <w:marLeft w:val="0"/>
          <w:marRight w:val="0"/>
          <w:marTop w:val="0"/>
          <w:marBottom w:val="0"/>
          <w:divBdr>
            <w:top w:val="none" w:sz="0" w:space="0" w:color="auto"/>
            <w:left w:val="none" w:sz="0" w:space="0" w:color="auto"/>
            <w:bottom w:val="none" w:sz="0" w:space="0" w:color="auto"/>
            <w:right w:val="none" w:sz="0" w:space="0" w:color="auto"/>
          </w:divBdr>
        </w:div>
        <w:div w:id="541282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tresor.economie.gouv.fr/Pays/BH/situation-economique-et-financiere-decembre-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diplomatie.gouv.fr/fr/dossiers-pays/bahrein/presentation-du-bahre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oface.com/fr/actualites-economie-conseils-d-experts/tableau-de-bord-des-risques-economiques/fiches-risques-pays/bahrein"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isclosure.spglobal.com/ratings/en/regulatory/article/-/view/type/HTML/id/3183128" TargetMode="External"/><Relationship Id="rId4" Type="http://schemas.openxmlformats.org/officeDocument/2006/relationships/settings" Target="settings.xml"/><Relationship Id="rId9" Type="http://schemas.openxmlformats.org/officeDocument/2006/relationships/hyperlink" Target="https://app.fitchconnect.com/article/RPT_10264396"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C877E-3745-4131-AB99-17E003CDA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2688</TotalTime>
  <Pages>6</Pages>
  <Words>1670</Words>
  <Characters>9189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Smail Massinissa (BIL Banque Intl à Lxbg SA)</dc:creator>
  <cp:keywords/>
  <dc:description/>
  <cp:lastModifiedBy>Smail Massinissa (BIL Banque Intl à Lxbg SA)</cp:lastModifiedBy>
  <cp:revision>39</cp:revision>
  <dcterms:created xsi:type="dcterms:W3CDTF">2024-05-27T07:45:00Z</dcterms:created>
  <dcterms:modified xsi:type="dcterms:W3CDTF">2024-07-26T09:12:00Z</dcterms:modified>
</cp:coreProperties>
</file>