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662A00" w:rsidRPr="00C530FB" w14:paraId="67D957D7" w14:textId="77777777" w:rsidTr="00151CF6">
        <w:tc>
          <w:tcPr>
            <w:tcW w:w="9016" w:type="dxa"/>
            <w:shd w:val="clear" w:color="auto" w:fill="E7E6E6" w:themeFill="background2"/>
          </w:tcPr>
          <w:p w14:paraId="14EAFB0C" w14:textId="77777777" w:rsidR="00662A00" w:rsidRPr="009F172C" w:rsidRDefault="00662A00" w:rsidP="00151CF6">
            <w:pPr>
              <w:jc w:val="center"/>
              <w:rPr>
                <w:rFonts w:ascii="Aptos" w:hAnsi="Aptos"/>
                <w:b/>
                <w:bCs/>
                <w:lang w:val="en-US"/>
              </w:rPr>
            </w:pPr>
          </w:p>
          <w:p w14:paraId="15ADBA87" w14:textId="4982AC81" w:rsidR="00662A00" w:rsidRPr="009F172C" w:rsidRDefault="00662A00" w:rsidP="00151CF6">
            <w:pPr>
              <w:jc w:val="center"/>
              <w:rPr>
                <w:rFonts w:ascii="Aptos" w:hAnsi="Aptos"/>
                <w:b/>
                <w:bCs/>
                <w:sz w:val="24"/>
                <w:szCs w:val="24"/>
                <w:lang w:val="en-US"/>
              </w:rPr>
            </w:pPr>
            <w:r w:rsidRPr="009F172C">
              <w:rPr>
                <w:rFonts w:ascii="Aptos" w:hAnsi="Aptos"/>
                <w:b/>
                <w:bCs/>
                <w:sz w:val="24"/>
                <w:szCs w:val="24"/>
                <w:lang w:val="en-US"/>
              </w:rPr>
              <w:t xml:space="preserve">Moody’s : </w:t>
            </w:r>
            <w:r w:rsidR="009F172C" w:rsidRPr="009F172C">
              <w:rPr>
                <w:rFonts w:ascii="Aptos" w:hAnsi="Aptos"/>
                <w:b/>
                <w:bCs/>
                <w:sz w:val="24"/>
                <w:szCs w:val="24"/>
                <w:lang w:val="en-US"/>
              </w:rPr>
              <w:t>B2</w:t>
            </w:r>
            <w:r w:rsidR="00FB1B23" w:rsidRPr="009F172C">
              <w:rPr>
                <w:rFonts w:ascii="Aptos" w:hAnsi="Aptos"/>
                <w:b/>
                <w:bCs/>
                <w:sz w:val="24"/>
                <w:szCs w:val="24"/>
                <w:lang w:val="en-US"/>
              </w:rPr>
              <w:t xml:space="preserve">, </w:t>
            </w:r>
            <w:r w:rsidR="009F172C" w:rsidRPr="009F172C">
              <w:rPr>
                <w:rFonts w:ascii="Aptos" w:hAnsi="Aptos"/>
                <w:b/>
                <w:bCs/>
                <w:sz w:val="18"/>
                <w:szCs w:val="18"/>
                <w:lang w:val="en-US"/>
              </w:rPr>
              <w:t>Stable</w:t>
            </w:r>
            <w:r w:rsidR="00FB1B23" w:rsidRPr="009F172C">
              <w:rPr>
                <w:rFonts w:ascii="Aptos" w:hAnsi="Aptos"/>
                <w:b/>
                <w:bCs/>
                <w:sz w:val="24"/>
                <w:szCs w:val="24"/>
                <w:lang w:val="en-US"/>
              </w:rPr>
              <w:t xml:space="preserve"> |</w:t>
            </w:r>
            <w:r w:rsidRPr="009F172C">
              <w:rPr>
                <w:rFonts w:ascii="Aptos" w:hAnsi="Aptos"/>
                <w:b/>
                <w:bCs/>
                <w:sz w:val="24"/>
                <w:szCs w:val="24"/>
                <w:lang w:val="en-US"/>
              </w:rPr>
              <w:t xml:space="preserve"> Fitch : </w:t>
            </w:r>
            <w:r w:rsidR="009F172C">
              <w:rPr>
                <w:rFonts w:ascii="Aptos" w:hAnsi="Aptos"/>
                <w:b/>
                <w:bCs/>
                <w:sz w:val="24"/>
                <w:szCs w:val="24"/>
                <w:lang w:val="en-US"/>
              </w:rPr>
              <w:t>B+</w:t>
            </w:r>
            <w:r w:rsidR="00FB1B23" w:rsidRPr="009F172C">
              <w:rPr>
                <w:rFonts w:ascii="Aptos" w:hAnsi="Aptos"/>
                <w:b/>
                <w:bCs/>
                <w:sz w:val="24"/>
                <w:szCs w:val="24"/>
                <w:lang w:val="en-US"/>
              </w:rPr>
              <w:t xml:space="preserve">, </w:t>
            </w:r>
            <w:r w:rsidR="00FB1B23" w:rsidRPr="009F172C">
              <w:rPr>
                <w:rFonts w:ascii="Aptos" w:hAnsi="Aptos"/>
                <w:b/>
                <w:bCs/>
                <w:sz w:val="18"/>
                <w:szCs w:val="18"/>
                <w:lang w:val="en-US"/>
              </w:rPr>
              <w:t>Stable</w:t>
            </w:r>
            <w:r w:rsidRPr="009F172C">
              <w:rPr>
                <w:rFonts w:ascii="Aptos" w:hAnsi="Aptos"/>
                <w:b/>
                <w:bCs/>
                <w:lang w:val="en-US"/>
              </w:rPr>
              <w:t xml:space="preserve"> </w:t>
            </w:r>
            <w:r w:rsidR="007971CE" w:rsidRPr="009F172C">
              <w:rPr>
                <w:rFonts w:ascii="Aptos" w:hAnsi="Aptos"/>
                <w:b/>
                <w:bCs/>
                <w:sz w:val="24"/>
                <w:szCs w:val="24"/>
                <w:lang w:val="en-US"/>
              </w:rPr>
              <w:t xml:space="preserve">| </w:t>
            </w:r>
            <w:r w:rsidRPr="009F172C">
              <w:rPr>
                <w:rFonts w:ascii="Aptos" w:hAnsi="Aptos"/>
                <w:b/>
                <w:bCs/>
                <w:sz w:val="24"/>
                <w:szCs w:val="24"/>
                <w:lang w:val="en-US"/>
              </w:rPr>
              <w:t xml:space="preserve">S&amp;P : </w:t>
            </w:r>
            <w:r w:rsidR="009F172C">
              <w:rPr>
                <w:rFonts w:ascii="Aptos" w:hAnsi="Aptos"/>
                <w:b/>
                <w:bCs/>
                <w:sz w:val="24"/>
                <w:szCs w:val="24"/>
                <w:lang w:val="en-US"/>
              </w:rPr>
              <w:t>B+</w:t>
            </w:r>
            <w:r w:rsidR="008F7262" w:rsidRPr="009F172C">
              <w:rPr>
                <w:rFonts w:ascii="Aptos" w:hAnsi="Aptos"/>
                <w:b/>
                <w:bCs/>
                <w:sz w:val="24"/>
                <w:szCs w:val="24"/>
                <w:lang w:val="en-US"/>
              </w:rPr>
              <w:t xml:space="preserve">, </w:t>
            </w:r>
            <w:r w:rsidR="008F7262" w:rsidRPr="009F172C">
              <w:rPr>
                <w:rFonts w:ascii="Aptos" w:hAnsi="Aptos"/>
                <w:b/>
                <w:bCs/>
                <w:sz w:val="18"/>
                <w:szCs w:val="18"/>
                <w:lang w:val="en-US"/>
              </w:rPr>
              <w:t>Stable</w:t>
            </w:r>
          </w:p>
          <w:p w14:paraId="44D9853D" w14:textId="77777777" w:rsidR="00662A00" w:rsidRPr="009F172C" w:rsidRDefault="00662A00" w:rsidP="00151CF6">
            <w:pPr>
              <w:jc w:val="both"/>
              <w:rPr>
                <w:rFonts w:ascii="Aptos" w:hAnsi="Aptos"/>
                <w:lang w:val="en-US"/>
              </w:rPr>
            </w:pPr>
          </w:p>
        </w:tc>
      </w:tr>
    </w:tbl>
    <w:p w14:paraId="6496C5C3" w14:textId="77777777" w:rsidR="00C71EC2" w:rsidRPr="009F172C" w:rsidRDefault="00C71EC2">
      <w:pPr>
        <w:rPr>
          <w:rFonts w:ascii="Aptos" w:hAnsi="Aptos"/>
          <w:lang w:val="en-US"/>
        </w:rPr>
      </w:pPr>
    </w:p>
    <w:tbl>
      <w:tblPr>
        <w:tblStyle w:val="TableGrid"/>
        <w:tblW w:w="8995" w:type="dxa"/>
        <w:tblLook w:val="04A0" w:firstRow="1" w:lastRow="0" w:firstColumn="1" w:lastColumn="0" w:noHBand="0" w:noVBand="1"/>
      </w:tblPr>
      <w:tblGrid>
        <w:gridCol w:w="4495"/>
        <w:gridCol w:w="4500"/>
      </w:tblGrid>
      <w:tr w:rsidR="00A31D7D" w:rsidRPr="00C530FB" w14:paraId="3D961700" w14:textId="77777777" w:rsidTr="009E07B2">
        <w:trPr>
          <w:trHeight w:val="2942"/>
        </w:trPr>
        <w:tc>
          <w:tcPr>
            <w:tcW w:w="4495" w:type="dxa"/>
          </w:tcPr>
          <w:p w14:paraId="384EDFB6" w14:textId="0235C739" w:rsidR="00A31D7D" w:rsidRPr="009F172C" w:rsidRDefault="00C530FB" w:rsidP="00BF1044">
            <w:pPr>
              <w:jc w:val="center"/>
              <w:rPr>
                <w:rFonts w:ascii="Aptos" w:hAnsi="Aptos"/>
                <w:b/>
                <w:bCs/>
                <w:color w:val="70AD47" w:themeColor="accent6"/>
                <w:u w:val="single"/>
                <w:lang w:val="fr-BE"/>
              </w:rPr>
            </w:pPr>
            <w:proofErr w:type="spellStart"/>
            <w:r>
              <w:rPr>
                <w:rFonts w:ascii="Aptos" w:hAnsi="Aptos"/>
                <w:b/>
                <w:bCs/>
                <w:color w:val="70AD47" w:themeColor="accent6"/>
                <w:u w:val="single"/>
                <w:lang w:val="fr-BE"/>
              </w:rPr>
              <w:t>Strengths</w:t>
            </w:r>
            <w:proofErr w:type="spellEnd"/>
          </w:p>
          <w:p w14:paraId="44E912C6" w14:textId="77777777" w:rsidR="00A31D7D" w:rsidRPr="009F172C" w:rsidRDefault="00A31D7D" w:rsidP="00BF1044">
            <w:pPr>
              <w:jc w:val="both"/>
              <w:rPr>
                <w:rFonts w:ascii="Aptos" w:hAnsi="Aptos"/>
                <w:b/>
                <w:bCs/>
                <w:lang w:val="fr-BE"/>
              </w:rPr>
            </w:pPr>
          </w:p>
          <w:p w14:paraId="3287B029" w14:textId="77777777" w:rsidR="00C530FB" w:rsidRDefault="00C530FB" w:rsidP="00115362">
            <w:pPr>
              <w:pStyle w:val="ListParagraph"/>
              <w:numPr>
                <w:ilvl w:val="0"/>
                <w:numId w:val="1"/>
              </w:numPr>
              <w:jc w:val="both"/>
              <w:rPr>
                <w:rFonts w:ascii="Aptos" w:hAnsi="Aptos"/>
                <w:b/>
                <w:bCs/>
                <w:lang w:val="fr-BE"/>
              </w:rPr>
            </w:pPr>
            <w:r w:rsidRPr="00C530FB">
              <w:rPr>
                <w:rFonts w:ascii="Aptos" w:hAnsi="Aptos"/>
                <w:b/>
                <w:bCs/>
                <w:lang w:val="fr-BE"/>
              </w:rPr>
              <w:t xml:space="preserve">Good relations </w:t>
            </w:r>
            <w:proofErr w:type="spellStart"/>
            <w:r w:rsidRPr="00C530FB">
              <w:rPr>
                <w:rFonts w:ascii="Aptos" w:hAnsi="Aptos"/>
                <w:b/>
                <w:bCs/>
                <w:lang w:val="fr-BE"/>
              </w:rPr>
              <w:t>with</w:t>
            </w:r>
            <w:proofErr w:type="spellEnd"/>
            <w:r w:rsidRPr="00C530FB">
              <w:rPr>
                <w:rFonts w:ascii="Aptos" w:hAnsi="Aptos"/>
                <w:b/>
                <w:bCs/>
                <w:lang w:val="fr-BE"/>
              </w:rPr>
              <w:t xml:space="preserve"> </w:t>
            </w:r>
            <w:proofErr w:type="spellStart"/>
            <w:r w:rsidRPr="00C530FB">
              <w:rPr>
                <w:rFonts w:ascii="Aptos" w:hAnsi="Aptos"/>
                <w:b/>
                <w:bCs/>
                <w:lang w:val="fr-BE"/>
              </w:rPr>
              <w:t>its</w:t>
            </w:r>
            <w:proofErr w:type="spellEnd"/>
            <w:r w:rsidRPr="00C530FB">
              <w:rPr>
                <w:rFonts w:ascii="Aptos" w:hAnsi="Aptos"/>
                <w:b/>
                <w:bCs/>
                <w:lang w:val="fr-BE"/>
              </w:rPr>
              <w:t xml:space="preserve"> </w:t>
            </w:r>
            <w:proofErr w:type="spellStart"/>
            <w:r w:rsidRPr="00C530FB">
              <w:rPr>
                <w:rFonts w:ascii="Aptos" w:hAnsi="Aptos"/>
                <w:b/>
                <w:bCs/>
                <w:lang w:val="fr-BE"/>
              </w:rPr>
              <w:t>neighbors</w:t>
            </w:r>
            <w:proofErr w:type="spellEnd"/>
            <w:r w:rsidRPr="00C530FB">
              <w:rPr>
                <w:rFonts w:ascii="Aptos" w:hAnsi="Aptos"/>
                <w:b/>
                <w:bCs/>
                <w:lang w:val="fr-BE"/>
              </w:rPr>
              <w:t xml:space="preserve"> (</w:t>
            </w:r>
            <w:proofErr w:type="spellStart"/>
            <w:r w:rsidRPr="00C530FB">
              <w:rPr>
                <w:rFonts w:ascii="Aptos" w:hAnsi="Aptos"/>
                <w:b/>
                <w:bCs/>
                <w:lang w:val="fr-BE"/>
              </w:rPr>
              <w:t>especially</w:t>
            </w:r>
            <w:proofErr w:type="spellEnd"/>
            <w:r w:rsidRPr="00C530FB">
              <w:rPr>
                <w:rFonts w:ascii="Aptos" w:hAnsi="Aptos"/>
                <w:b/>
                <w:bCs/>
                <w:lang w:val="fr-BE"/>
              </w:rPr>
              <w:t xml:space="preserve"> </w:t>
            </w:r>
            <w:proofErr w:type="spellStart"/>
            <w:r w:rsidRPr="00C530FB">
              <w:rPr>
                <w:rFonts w:ascii="Aptos" w:hAnsi="Aptos"/>
                <w:b/>
                <w:bCs/>
                <w:lang w:val="fr-BE"/>
              </w:rPr>
              <w:t>Saudi</w:t>
            </w:r>
            <w:proofErr w:type="spellEnd"/>
            <w:r w:rsidRPr="00C530FB">
              <w:rPr>
                <w:rFonts w:ascii="Aptos" w:hAnsi="Aptos"/>
                <w:b/>
                <w:bCs/>
                <w:lang w:val="fr-BE"/>
              </w:rPr>
              <w:t xml:space="preserve"> Arabia) </w:t>
            </w:r>
            <w:proofErr w:type="spellStart"/>
            <w:r w:rsidRPr="00C530FB">
              <w:rPr>
                <w:rFonts w:ascii="Aptos" w:hAnsi="Aptos"/>
                <w:b/>
                <w:bCs/>
                <w:lang w:val="fr-BE"/>
              </w:rPr>
              <w:t>embodied</w:t>
            </w:r>
            <w:proofErr w:type="spellEnd"/>
            <w:r w:rsidRPr="00C530FB">
              <w:rPr>
                <w:rFonts w:ascii="Aptos" w:hAnsi="Aptos"/>
                <w:b/>
                <w:bCs/>
                <w:lang w:val="fr-BE"/>
              </w:rPr>
              <w:t xml:space="preserve"> by </w:t>
            </w:r>
            <w:proofErr w:type="spellStart"/>
            <w:r w:rsidRPr="00C530FB">
              <w:rPr>
                <w:rFonts w:ascii="Aptos" w:hAnsi="Aptos"/>
                <w:b/>
                <w:bCs/>
                <w:lang w:val="fr-BE"/>
              </w:rPr>
              <w:t>significant</w:t>
            </w:r>
            <w:proofErr w:type="spellEnd"/>
            <w:r w:rsidRPr="00C530FB">
              <w:rPr>
                <w:rFonts w:ascii="Aptos" w:hAnsi="Aptos"/>
                <w:b/>
                <w:bCs/>
                <w:lang w:val="fr-BE"/>
              </w:rPr>
              <w:t xml:space="preserve"> support </w:t>
            </w:r>
            <w:proofErr w:type="spellStart"/>
            <w:r w:rsidRPr="00C530FB">
              <w:rPr>
                <w:rFonts w:ascii="Aptos" w:hAnsi="Aptos"/>
                <w:b/>
                <w:bCs/>
                <w:lang w:val="fr-BE"/>
              </w:rPr>
              <w:t>from</w:t>
            </w:r>
            <w:proofErr w:type="spellEnd"/>
            <w:r w:rsidRPr="00C530FB">
              <w:rPr>
                <w:rFonts w:ascii="Aptos" w:hAnsi="Aptos"/>
                <w:b/>
                <w:bCs/>
                <w:lang w:val="fr-BE"/>
              </w:rPr>
              <w:t xml:space="preserve"> the CCG</w:t>
            </w:r>
          </w:p>
          <w:p w14:paraId="265BAE44" w14:textId="77777777" w:rsidR="00C530FB" w:rsidRDefault="00C530FB" w:rsidP="00115362">
            <w:pPr>
              <w:pStyle w:val="ListParagraph"/>
              <w:numPr>
                <w:ilvl w:val="0"/>
                <w:numId w:val="1"/>
              </w:numPr>
              <w:jc w:val="both"/>
              <w:rPr>
                <w:rFonts w:ascii="Aptos" w:hAnsi="Aptos"/>
                <w:b/>
                <w:bCs/>
                <w:lang w:val="en-US"/>
              </w:rPr>
            </w:pPr>
            <w:r w:rsidRPr="00C530FB">
              <w:rPr>
                <w:rFonts w:ascii="Aptos" w:hAnsi="Aptos"/>
                <w:b/>
                <w:bCs/>
                <w:lang w:val="en-US"/>
              </w:rPr>
              <w:t>A more diversified economy than that of other countries in the region</w:t>
            </w:r>
          </w:p>
          <w:p w14:paraId="6924B403" w14:textId="0D5D161E" w:rsidR="002F2BBB" w:rsidRPr="00C530FB" w:rsidRDefault="00C530FB" w:rsidP="00115362">
            <w:pPr>
              <w:pStyle w:val="ListParagraph"/>
              <w:numPr>
                <w:ilvl w:val="0"/>
                <w:numId w:val="1"/>
              </w:numPr>
              <w:jc w:val="both"/>
              <w:rPr>
                <w:rFonts w:ascii="Aptos" w:hAnsi="Aptos"/>
                <w:b/>
                <w:bCs/>
                <w:lang w:val="en-US"/>
              </w:rPr>
            </w:pPr>
            <w:r w:rsidRPr="00C530FB">
              <w:rPr>
                <w:rFonts w:ascii="Aptos" w:hAnsi="Aptos"/>
                <w:b/>
                <w:bCs/>
                <w:lang w:val="en-US"/>
              </w:rPr>
              <w:t>No major political and social instability to be expected in the short term</w:t>
            </w:r>
          </w:p>
        </w:tc>
        <w:tc>
          <w:tcPr>
            <w:tcW w:w="4500" w:type="dxa"/>
          </w:tcPr>
          <w:p w14:paraId="401ACA08" w14:textId="0A756847" w:rsidR="00A31D7D" w:rsidRPr="009F172C" w:rsidRDefault="00C530FB" w:rsidP="00BF1044">
            <w:pPr>
              <w:jc w:val="center"/>
              <w:rPr>
                <w:rFonts w:ascii="Aptos" w:hAnsi="Aptos"/>
                <w:b/>
                <w:bCs/>
                <w:color w:val="FF0000"/>
                <w:u w:val="single"/>
                <w:lang w:val="fr-BE"/>
              </w:rPr>
            </w:pPr>
            <w:proofErr w:type="spellStart"/>
            <w:r>
              <w:rPr>
                <w:rFonts w:ascii="Aptos" w:hAnsi="Aptos"/>
                <w:b/>
                <w:bCs/>
                <w:color w:val="FF0000"/>
                <w:u w:val="single"/>
                <w:lang w:val="fr-BE"/>
              </w:rPr>
              <w:t>Weaknesses</w:t>
            </w:r>
            <w:proofErr w:type="spellEnd"/>
          </w:p>
          <w:p w14:paraId="5EC560CF" w14:textId="77777777" w:rsidR="00A31D7D" w:rsidRPr="009F172C" w:rsidRDefault="00A31D7D" w:rsidP="00BF1044">
            <w:pPr>
              <w:jc w:val="both"/>
              <w:rPr>
                <w:rFonts w:ascii="Aptos" w:hAnsi="Aptos"/>
                <w:b/>
                <w:bCs/>
                <w:lang w:val="fr-BE"/>
              </w:rPr>
            </w:pPr>
          </w:p>
          <w:p w14:paraId="5D17FA75" w14:textId="77777777" w:rsidR="00C530FB" w:rsidRDefault="00C530FB" w:rsidP="001647E6">
            <w:pPr>
              <w:pStyle w:val="ListParagraph"/>
              <w:numPr>
                <w:ilvl w:val="0"/>
                <w:numId w:val="1"/>
              </w:numPr>
              <w:jc w:val="both"/>
              <w:rPr>
                <w:rFonts w:ascii="Aptos" w:hAnsi="Aptos"/>
                <w:b/>
                <w:bCs/>
                <w:lang w:val="en-US"/>
              </w:rPr>
            </w:pPr>
            <w:r w:rsidRPr="00C530FB">
              <w:rPr>
                <w:rFonts w:ascii="Aptos" w:hAnsi="Aptos"/>
                <w:b/>
                <w:bCs/>
                <w:lang w:val="en-US"/>
              </w:rPr>
              <w:t xml:space="preserve">Current oil prices are far from the level that would allow it to balance its </w:t>
            </w:r>
            <w:proofErr w:type="gramStart"/>
            <w:r w:rsidRPr="00C530FB">
              <w:rPr>
                <w:rFonts w:ascii="Aptos" w:hAnsi="Aptos"/>
                <w:b/>
                <w:bCs/>
                <w:lang w:val="en-US"/>
              </w:rPr>
              <w:t>books</w:t>
            </w:r>
            <w:proofErr w:type="gramEnd"/>
          </w:p>
          <w:p w14:paraId="1B04C95F" w14:textId="77777777" w:rsidR="00C530FB" w:rsidRPr="00C530FB" w:rsidRDefault="00C530FB" w:rsidP="001647E6">
            <w:pPr>
              <w:pStyle w:val="ListParagraph"/>
              <w:numPr>
                <w:ilvl w:val="0"/>
                <w:numId w:val="1"/>
              </w:numPr>
              <w:jc w:val="both"/>
              <w:rPr>
                <w:rFonts w:ascii="Aptos" w:hAnsi="Aptos"/>
                <w:b/>
                <w:bCs/>
                <w:lang w:val="fr-BE"/>
              </w:rPr>
            </w:pPr>
            <w:r w:rsidRPr="00C530FB">
              <w:rPr>
                <w:rFonts w:ascii="Aptos" w:hAnsi="Aptos"/>
                <w:b/>
                <w:bCs/>
                <w:lang w:val="en-US"/>
              </w:rPr>
              <w:t>Significant public debt</w:t>
            </w:r>
          </w:p>
          <w:p w14:paraId="4488579E" w14:textId="0C446D99" w:rsidR="002F2BBB" w:rsidRPr="00C530FB" w:rsidRDefault="00C530FB" w:rsidP="001647E6">
            <w:pPr>
              <w:pStyle w:val="ListParagraph"/>
              <w:numPr>
                <w:ilvl w:val="0"/>
                <w:numId w:val="1"/>
              </w:numPr>
              <w:jc w:val="both"/>
              <w:rPr>
                <w:rFonts w:ascii="Aptos" w:hAnsi="Aptos"/>
                <w:b/>
                <w:bCs/>
                <w:lang w:val="en-US"/>
              </w:rPr>
            </w:pPr>
            <w:r w:rsidRPr="00C530FB">
              <w:rPr>
                <w:rFonts w:ascii="Aptos" w:hAnsi="Aptos"/>
                <w:b/>
                <w:bCs/>
                <w:lang w:val="en-US"/>
              </w:rPr>
              <w:t>There is a need for the government to find new sources of revenue</w:t>
            </w:r>
          </w:p>
        </w:tc>
      </w:tr>
    </w:tbl>
    <w:p w14:paraId="284790FA" w14:textId="77777777" w:rsidR="002D29A0" w:rsidRPr="00C530FB" w:rsidRDefault="002D29A0" w:rsidP="00FE4A47">
      <w:pPr>
        <w:jc w:val="both"/>
        <w:rPr>
          <w:rFonts w:ascii="Aptos" w:hAnsi="Aptos"/>
          <w:b/>
          <w:bCs/>
          <w:highlight w:val="lightGray"/>
          <w:lang w:val="en-US"/>
        </w:rPr>
      </w:pPr>
    </w:p>
    <w:p w14:paraId="4ECFB782" w14:textId="3A9546E7" w:rsidR="00C91D01" w:rsidRPr="00C530FB" w:rsidRDefault="00C530FB" w:rsidP="00FE4A47">
      <w:pPr>
        <w:jc w:val="both"/>
        <w:rPr>
          <w:rFonts w:ascii="Aptos" w:hAnsi="Aptos"/>
          <w:b/>
          <w:bCs/>
          <w:lang w:val="en-US"/>
        </w:rPr>
      </w:pPr>
      <w:r w:rsidRPr="00C530FB">
        <w:rPr>
          <w:rFonts w:ascii="Aptos" w:hAnsi="Aptos"/>
          <w:b/>
          <w:bCs/>
          <w:highlight w:val="lightGray"/>
          <w:lang w:val="en-US"/>
        </w:rPr>
        <w:t xml:space="preserve">Abstract </w:t>
      </w:r>
      <w:r w:rsidRPr="00C530FB">
        <w:rPr>
          <w:rFonts w:ascii="Aptos" w:hAnsi="Aptos"/>
          <w:b/>
          <w:bCs/>
          <w:highlight w:val="lightGray"/>
          <w:lang w:val="en-US"/>
        </w:rPr>
        <w:t xml:space="preserve">: Last year, Bahrain's real GDP grew by 2.4%. This growth was supported by tourism, </w:t>
      </w:r>
      <w:proofErr w:type="gramStart"/>
      <w:r w:rsidRPr="00C530FB">
        <w:rPr>
          <w:rFonts w:ascii="Aptos" w:hAnsi="Aptos"/>
          <w:b/>
          <w:bCs/>
          <w:highlight w:val="lightGray"/>
          <w:lang w:val="en-US"/>
        </w:rPr>
        <w:t>transport</w:t>
      </w:r>
      <w:proofErr w:type="gramEnd"/>
      <w:r w:rsidRPr="00C530FB">
        <w:rPr>
          <w:rFonts w:ascii="Aptos" w:hAnsi="Aptos"/>
          <w:b/>
          <w:bCs/>
          <w:highlight w:val="lightGray"/>
          <w:lang w:val="en-US"/>
        </w:rPr>
        <w:t xml:space="preserve"> and </w:t>
      </w:r>
      <w:r>
        <w:rPr>
          <w:rFonts w:ascii="Aptos" w:hAnsi="Aptos"/>
          <w:b/>
          <w:bCs/>
          <w:highlight w:val="lightGray"/>
          <w:lang w:val="en-US"/>
        </w:rPr>
        <w:t>real estate</w:t>
      </w:r>
      <w:r w:rsidRPr="00C530FB">
        <w:rPr>
          <w:rFonts w:ascii="Aptos" w:hAnsi="Aptos"/>
          <w:b/>
          <w:bCs/>
          <w:highlight w:val="lightGray"/>
          <w:lang w:val="en-US"/>
        </w:rPr>
        <w:t xml:space="preserve">, and was possible despite a 2.4% contraction in the oil sector. Also, Bahrain benefits from good relations with its neighbors, </w:t>
      </w:r>
      <w:proofErr w:type="gramStart"/>
      <w:r w:rsidRPr="00C530FB">
        <w:rPr>
          <w:rFonts w:ascii="Aptos" w:hAnsi="Aptos"/>
          <w:b/>
          <w:bCs/>
          <w:highlight w:val="lightGray"/>
          <w:lang w:val="en-US"/>
        </w:rPr>
        <w:t>in particular thanks to</w:t>
      </w:r>
      <w:proofErr w:type="gramEnd"/>
      <w:r w:rsidRPr="00C530FB">
        <w:rPr>
          <w:rFonts w:ascii="Aptos" w:hAnsi="Aptos"/>
          <w:b/>
          <w:bCs/>
          <w:highlight w:val="lightGray"/>
          <w:lang w:val="en-US"/>
        </w:rPr>
        <w:t xml:space="preserve"> the support of the Gulf Cooperation Council (GCC) which facilitates access to liquidity and provides logistical support for the implementation of large-scale projects. Bahrain's economy is more diversified than that of other countries in the region, and the country is politically stable in the short term. However, Bahrain faces major challenges: current oil prices are well below the level needed to balance its budget, public debt is high, and new sources of revenue are needed to compensate for declining oil revenues. The implementation of key reforms announced by the government, such as those concerning the electricity and water authority, will be decisive in making economic prosperity possible.</w:t>
      </w:r>
    </w:p>
    <w:p w14:paraId="5405F21D" w14:textId="77777777" w:rsidR="00C530FB" w:rsidRPr="00C530FB" w:rsidRDefault="00C530FB" w:rsidP="00FE4A47">
      <w:pPr>
        <w:jc w:val="both"/>
        <w:rPr>
          <w:rFonts w:ascii="Aptos" w:hAnsi="Aptos"/>
          <w:b/>
          <w:bCs/>
          <w:lang w:val="en-US"/>
        </w:rPr>
      </w:pPr>
    </w:p>
    <w:p w14:paraId="79425094" w14:textId="3432FAF3" w:rsidR="00C91D01" w:rsidRPr="009F172C" w:rsidRDefault="0007589E" w:rsidP="004E26CF">
      <w:pPr>
        <w:keepNext/>
        <w:jc w:val="center"/>
        <w:rPr>
          <w:rFonts w:ascii="Aptos" w:hAnsi="Aptos"/>
        </w:rPr>
      </w:pPr>
      <w:r>
        <w:rPr>
          <w:noProof/>
        </w:rPr>
        <w:drawing>
          <wp:inline distT="0" distB="0" distL="0" distR="0" wp14:anchorId="6B9C7E01" wp14:editId="41C0B22D">
            <wp:extent cx="5454318" cy="29888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969" cy="2996840"/>
                    </a:xfrm>
                    <a:prstGeom prst="rect">
                      <a:avLst/>
                    </a:prstGeom>
                  </pic:spPr>
                </pic:pic>
              </a:graphicData>
            </a:graphic>
          </wp:inline>
        </w:drawing>
      </w:r>
    </w:p>
    <w:p w14:paraId="076CE48A" w14:textId="12DC6AB3" w:rsidR="00C91D01" w:rsidRPr="00C530FB" w:rsidRDefault="00C530FB" w:rsidP="00C91D01">
      <w:pPr>
        <w:pStyle w:val="Caption"/>
        <w:jc w:val="center"/>
        <w:rPr>
          <w:rFonts w:ascii="Aptos" w:hAnsi="Aptos"/>
          <w:b/>
          <w:bCs/>
          <w:lang w:val="en-US"/>
        </w:rPr>
      </w:pPr>
      <w:r w:rsidRPr="00C530FB">
        <w:rPr>
          <w:rFonts w:ascii="Aptos" w:hAnsi="Aptos"/>
          <w:lang w:val="en-US"/>
        </w:rPr>
        <w:t xml:space="preserve">Table and </w:t>
      </w:r>
      <w:proofErr w:type="spellStart"/>
      <w:r w:rsidRPr="00C530FB">
        <w:rPr>
          <w:rFonts w:ascii="Aptos" w:hAnsi="Aptos"/>
          <w:lang w:val="en-US"/>
        </w:rPr>
        <w:t>data</w:t>
      </w:r>
      <w:r>
        <w:rPr>
          <w:rFonts w:ascii="Aptos" w:hAnsi="Aptos"/>
          <w:lang w:val="en-US"/>
        </w:rPr>
        <w:t>s</w:t>
      </w:r>
      <w:proofErr w:type="spellEnd"/>
      <w:r>
        <w:rPr>
          <w:rFonts w:ascii="Aptos" w:hAnsi="Aptos"/>
          <w:lang w:val="en-US"/>
        </w:rPr>
        <w:t xml:space="preserve"> </w:t>
      </w:r>
      <w:r w:rsidRPr="00C530FB">
        <w:rPr>
          <w:rFonts w:ascii="Aptos" w:hAnsi="Aptos"/>
          <w:lang w:val="en-US"/>
        </w:rPr>
        <w:t>are from</w:t>
      </w:r>
      <w:r w:rsidR="00C91D01" w:rsidRPr="00C530FB">
        <w:rPr>
          <w:rFonts w:ascii="Aptos" w:hAnsi="Aptos"/>
          <w:lang w:val="en-US"/>
        </w:rPr>
        <w:t xml:space="preserve"> </w:t>
      </w:r>
      <w:r w:rsidR="00C91D01" w:rsidRPr="00C530FB">
        <w:rPr>
          <w:rFonts w:ascii="Aptos" w:hAnsi="Aptos"/>
          <w:b/>
          <w:bCs/>
          <w:lang w:val="en-US"/>
        </w:rPr>
        <w:t>Fitch Connect</w:t>
      </w:r>
    </w:p>
    <w:p w14:paraId="2A90EBE2" w14:textId="77777777" w:rsidR="002D29A0" w:rsidRPr="00C530FB" w:rsidRDefault="002D29A0" w:rsidP="00FE4A47">
      <w:pPr>
        <w:jc w:val="both"/>
        <w:rPr>
          <w:rFonts w:ascii="Aptos" w:hAnsi="Aptos"/>
          <w:b/>
          <w:bCs/>
          <w:lang w:val="en-US"/>
        </w:rPr>
      </w:pPr>
    </w:p>
    <w:p w14:paraId="7EC58742" w14:textId="77777777" w:rsidR="00C530FB" w:rsidRDefault="00C530FB" w:rsidP="00FE4A47">
      <w:pPr>
        <w:jc w:val="both"/>
        <w:rPr>
          <w:rFonts w:ascii="Aptos" w:hAnsi="Aptos"/>
          <w:u w:val="single"/>
        </w:rPr>
      </w:pPr>
      <w:r w:rsidRPr="00C530FB">
        <w:rPr>
          <w:rFonts w:ascii="Aptos" w:hAnsi="Aptos"/>
          <w:u w:val="single"/>
        </w:rPr>
        <w:t xml:space="preserve">Important </w:t>
      </w:r>
      <w:proofErr w:type="spellStart"/>
      <w:r w:rsidRPr="00C530FB">
        <w:rPr>
          <w:rFonts w:ascii="Aptos" w:hAnsi="Aptos"/>
          <w:u w:val="single"/>
        </w:rPr>
        <w:t>reminders</w:t>
      </w:r>
      <w:proofErr w:type="spellEnd"/>
    </w:p>
    <w:p w14:paraId="4E0E9D9C" w14:textId="77777777" w:rsidR="00C530FB" w:rsidRPr="00C530FB" w:rsidRDefault="00C530FB" w:rsidP="00C530FB">
      <w:pPr>
        <w:jc w:val="both"/>
        <w:rPr>
          <w:rFonts w:ascii="Aptos" w:hAnsi="Aptos"/>
          <w:lang w:val="en-US"/>
        </w:rPr>
      </w:pPr>
      <w:r w:rsidRPr="00C530FB">
        <w:rPr>
          <w:rFonts w:ascii="Aptos" w:hAnsi="Aptos"/>
          <w:lang w:val="en-US"/>
        </w:rPr>
        <w:t xml:space="preserve">Bahrain is a country of 1.472 million inhabitants (half of whom are expatriates), with an area of </w:t>
      </w:r>
      <w:r w:rsidRPr="00C530FB">
        <w:rPr>
          <w:rFonts w:ascii="Arial" w:hAnsi="Arial" w:cs="Arial"/>
          <w:lang w:val="en-US"/>
        </w:rPr>
        <w:t>​​</w:t>
      </w:r>
      <w:r w:rsidRPr="00C530FB">
        <w:rPr>
          <w:rFonts w:ascii="Aptos" w:hAnsi="Aptos"/>
          <w:lang w:val="en-US"/>
        </w:rPr>
        <w:t>765 km</w:t>
      </w:r>
      <w:r w:rsidRPr="00C530FB">
        <w:rPr>
          <w:rFonts w:ascii="Aptos" w:hAnsi="Aptos" w:cs="Aptos"/>
          <w:lang w:val="en-US"/>
        </w:rPr>
        <w:t>²</w:t>
      </w:r>
      <w:r w:rsidRPr="00C530FB">
        <w:rPr>
          <w:rFonts w:ascii="Aptos" w:hAnsi="Aptos"/>
          <w:lang w:val="en-US"/>
        </w:rPr>
        <w:t xml:space="preserve"> spread over 33 islands, some of which are uninhabited. Bahrain has a GDP per capita of $28,781, an unemployment rate of 3.80% and an HDI of 0.875 which places it 35th in the ranking.</w:t>
      </w:r>
    </w:p>
    <w:p w14:paraId="21C13594" w14:textId="77777777" w:rsidR="00C530FB" w:rsidRPr="00C530FB" w:rsidRDefault="00C530FB" w:rsidP="00C530FB">
      <w:pPr>
        <w:jc w:val="both"/>
        <w:rPr>
          <w:rFonts w:ascii="Aptos" w:hAnsi="Aptos"/>
          <w:lang w:val="en-US"/>
        </w:rPr>
      </w:pPr>
      <w:r w:rsidRPr="00C530FB">
        <w:rPr>
          <w:rFonts w:ascii="Aptos" w:hAnsi="Aptos"/>
          <w:lang w:val="en-US"/>
        </w:rPr>
        <w:t>After having been a British protectorate, Bahrain gained independence peacefully in 1971.</w:t>
      </w:r>
    </w:p>
    <w:p w14:paraId="0C312252" w14:textId="77777777" w:rsidR="00C530FB" w:rsidRPr="00C530FB" w:rsidRDefault="00C530FB" w:rsidP="00C530FB">
      <w:pPr>
        <w:jc w:val="both"/>
        <w:rPr>
          <w:rFonts w:ascii="Aptos" w:hAnsi="Aptos"/>
          <w:lang w:val="en-US"/>
        </w:rPr>
      </w:pPr>
      <w:r w:rsidRPr="00C530FB">
        <w:rPr>
          <w:rFonts w:ascii="Aptos" w:hAnsi="Aptos"/>
          <w:lang w:val="en-US"/>
        </w:rPr>
        <w:t xml:space="preserve">Bahrain is a monarchy, led by King Hamad bin Issa </w:t>
      </w:r>
      <w:proofErr w:type="spellStart"/>
      <w:r w:rsidRPr="00C530FB">
        <w:rPr>
          <w:rFonts w:ascii="Aptos" w:hAnsi="Aptos"/>
          <w:lang w:val="en-US"/>
        </w:rPr>
        <w:t>el</w:t>
      </w:r>
      <w:proofErr w:type="spellEnd"/>
      <w:r w:rsidRPr="00C530FB">
        <w:rPr>
          <w:rFonts w:ascii="Aptos" w:hAnsi="Aptos"/>
          <w:lang w:val="en-US"/>
        </w:rPr>
        <w:t>-Khalifa. The parliament is made up of two chambers, Majlis an-</w:t>
      </w:r>
      <w:proofErr w:type="spellStart"/>
      <w:r w:rsidRPr="00C530FB">
        <w:rPr>
          <w:rFonts w:ascii="Aptos" w:hAnsi="Aptos"/>
          <w:lang w:val="en-US"/>
        </w:rPr>
        <w:t>Nouwwab</w:t>
      </w:r>
      <w:proofErr w:type="spellEnd"/>
      <w:r w:rsidRPr="00C530FB">
        <w:rPr>
          <w:rFonts w:ascii="Aptos" w:hAnsi="Aptos"/>
          <w:lang w:val="en-US"/>
        </w:rPr>
        <w:t xml:space="preserve"> (chamber of deputies) and Majlis ach-Shura, with 40 seats </w:t>
      </w:r>
      <w:proofErr w:type="gramStart"/>
      <w:r w:rsidRPr="00C530FB">
        <w:rPr>
          <w:rFonts w:ascii="Aptos" w:hAnsi="Aptos"/>
          <w:lang w:val="en-US"/>
        </w:rPr>
        <w:t>each, since</w:t>
      </w:r>
      <w:proofErr w:type="gramEnd"/>
      <w:r w:rsidRPr="00C530FB">
        <w:rPr>
          <w:rFonts w:ascii="Aptos" w:hAnsi="Aptos"/>
          <w:lang w:val="en-US"/>
        </w:rPr>
        <w:t xml:space="preserve"> the proclamation of the new Constitution by Hamad Al Khalifa on February 14, 2002. </w:t>
      </w:r>
    </w:p>
    <w:p w14:paraId="53FE5611" w14:textId="77777777" w:rsidR="00C530FB" w:rsidRPr="00C530FB" w:rsidRDefault="00C530FB" w:rsidP="00C530FB">
      <w:pPr>
        <w:jc w:val="both"/>
        <w:rPr>
          <w:rFonts w:ascii="Aptos" w:hAnsi="Aptos"/>
          <w:lang w:val="en-US"/>
        </w:rPr>
      </w:pPr>
      <w:r w:rsidRPr="00C530FB">
        <w:rPr>
          <w:rFonts w:ascii="Aptos" w:hAnsi="Aptos"/>
          <w:lang w:val="en-US"/>
        </w:rPr>
        <w:t xml:space="preserve">According to this constitution, the title of the sovereign changed from emir (title dating from 1971) to king. Since independence in 1971, the Prime Minister has been Khalifa bin </w:t>
      </w:r>
      <w:proofErr w:type="spellStart"/>
      <w:r w:rsidRPr="00C530FB">
        <w:rPr>
          <w:rFonts w:ascii="Aptos" w:hAnsi="Aptos"/>
          <w:lang w:val="en-US"/>
        </w:rPr>
        <w:t>Salmane</w:t>
      </w:r>
      <w:proofErr w:type="spellEnd"/>
      <w:r w:rsidRPr="00C530FB">
        <w:rPr>
          <w:rFonts w:ascii="Aptos" w:hAnsi="Aptos"/>
          <w:lang w:val="en-US"/>
        </w:rPr>
        <w:t xml:space="preserve"> Al Khalifa, uncle of the king.</w:t>
      </w:r>
    </w:p>
    <w:p w14:paraId="7CC55D52" w14:textId="5F389F71" w:rsidR="00B26765" w:rsidRDefault="00C530FB" w:rsidP="00C530FB">
      <w:pPr>
        <w:jc w:val="both"/>
        <w:rPr>
          <w:rFonts w:ascii="Aptos" w:hAnsi="Aptos"/>
          <w:lang w:val="en-US"/>
        </w:rPr>
      </w:pPr>
      <w:r w:rsidRPr="00C530FB">
        <w:rPr>
          <w:rFonts w:ascii="Aptos" w:hAnsi="Aptos"/>
          <w:lang w:val="en-US"/>
        </w:rPr>
        <w:t xml:space="preserve">The legal opposition was represented by two parties: the Shiite Wefaq and the secular left-wing </w:t>
      </w:r>
      <w:proofErr w:type="spellStart"/>
      <w:r w:rsidRPr="00C530FB">
        <w:rPr>
          <w:rFonts w:ascii="Aptos" w:hAnsi="Aptos"/>
          <w:lang w:val="en-US"/>
        </w:rPr>
        <w:t>Waad</w:t>
      </w:r>
      <w:proofErr w:type="spellEnd"/>
      <w:r w:rsidRPr="00C530FB">
        <w:rPr>
          <w:rFonts w:ascii="Aptos" w:hAnsi="Aptos"/>
          <w:lang w:val="en-US"/>
        </w:rPr>
        <w:t>. The latter, however, has always been deprived of even the slightest seat in Parliament. Both were banned after the 2011 uprising which was part of the Arab Spring movement.</w:t>
      </w:r>
    </w:p>
    <w:p w14:paraId="16990CB0" w14:textId="77777777" w:rsidR="00C530FB" w:rsidRPr="00C530FB" w:rsidRDefault="00C530FB" w:rsidP="00C530FB">
      <w:pPr>
        <w:jc w:val="both"/>
        <w:rPr>
          <w:rFonts w:ascii="Aptos" w:hAnsi="Aptos"/>
          <w:lang w:val="en-US"/>
        </w:rPr>
      </w:pPr>
    </w:p>
    <w:p w14:paraId="762BAB8D" w14:textId="1E6E0314" w:rsidR="00593C5A" w:rsidRPr="009F172C" w:rsidRDefault="00593C5A" w:rsidP="00FE4A47">
      <w:pPr>
        <w:jc w:val="both"/>
        <w:rPr>
          <w:rFonts w:ascii="Aptos" w:hAnsi="Aptos"/>
          <w:u w:val="single"/>
          <w:lang w:val="fr-BE"/>
        </w:rPr>
      </w:pPr>
      <w:proofErr w:type="spellStart"/>
      <w:r w:rsidRPr="009F172C">
        <w:rPr>
          <w:rFonts w:ascii="Aptos" w:hAnsi="Aptos"/>
          <w:u w:val="single"/>
          <w:lang w:val="fr-BE"/>
        </w:rPr>
        <w:t>Context</w:t>
      </w:r>
      <w:proofErr w:type="spellEnd"/>
    </w:p>
    <w:p w14:paraId="3E210CE7" w14:textId="77777777" w:rsidR="00C530FB" w:rsidRPr="00C530FB" w:rsidRDefault="00C530FB" w:rsidP="00C530FB">
      <w:pPr>
        <w:rPr>
          <w:rFonts w:ascii="Aptos" w:hAnsi="Aptos"/>
          <w:lang w:val="en-US"/>
        </w:rPr>
      </w:pPr>
      <w:r w:rsidRPr="00C530FB">
        <w:rPr>
          <w:rFonts w:ascii="Aptos" w:hAnsi="Aptos"/>
          <w:lang w:val="en-US"/>
        </w:rPr>
        <w:t xml:space="preserve">Bahrain's parliament is </w:t>
      </w:r>
      <w:proofErr w:type="gramStart"/>
      <w:r w:rsidRPr="00C530FB">
        <w:rPr>
          <w:rFonts w:ascii="Aptos" w:hAnsi="Aptos"/>
          <w:lang w:val="en-US"/>
        </w:rPr>
        <w:t>functioning</w:t>
      </w:r>
      <w:proofErr w:type="gramEnd"/>
      <w:r w:rsidRPr="00C530FB">
        <w:rPr>
          <w:rFonts w:ascii="Aptos" w:hAnsi="Aptos"/>
          <w:lang w:val="en-US"/>
        </w:rPr>
        <w:t xml:space="preserve"> and no major political tensions are expected in the short term. The Sunni Al Khalifa family has ruled since 1783. Hamad bin Isa bin Salman has been king since February 2002. The political scene appears complicated in the long term, due to the feeling of political and economic marginalization of the Shiite population, which represents around 60% of the population. population. </w:t>
      </w:r>
    </w:p>
    <w:p w14:paraId="14F8DBC7" w14:textId="77777777" w:rsidR="00C530FB" w:rsidRPr="00C530FB" w:rsidRDefault="00C530FB" w:rsidP="00C530FB">
      <w:pPr>
        <w:rPr>
          <w:rFonts w:ascii="Aptos" w:hAnsi="Aptos"/>
          <w:lang w:val="en-US"/>
        </w:rPr>
      </w:pPr>
      <w:r w:rsidRPr="00C530FB">
        <w:rPr>
          <w:rFonts w:ascii="Aptos" w:hAnsi="Aptos"/>
          <w:lang w:val="en-US"/>
        </w:rPr>
        <w:t>With the United States, the privileged relationship is officially described as “strategic”. Washington also granted the Kingdom of Bahrain the status of “major non-NATO ally” in 2001. The United States maintains a close military alliance with Bahrain, with the signing of a defense cooperation agreement in 1991. Bahrain hosts the American Fifth Fleet.</w:t>
      </w:r>
    </w:p>
    <w:p w14:paraId="2A141D50" w14:textId="77777777" w:rsidR="00C530FB" w:rsidRPr="00C530FB" w:rsidRDefault="00C530FB" w:rsidP="00C530FB">
      <w:pPr>
        <w:rPr>
          <w:rFonts w:ascii="Aptos" w:hAnsi="Aptos"/>
          <w:lang w:val="en-US"/>
        </w:rPr>
      </w:pPr>
      <w:r w:rsidRPr="00C530FB">
        <w:rPr>
          <w:rFonts w:ascii="Aptos" w:hAnsi="Aptos"/>
          <w:lang w:val="en-US"/>
        </w:rPr>
        <w:t xml:space="preserve">Additionally, growing economic dependence on Saudi Arabia, ineffective separation of powers, and limited civil liberties will pose challenges in the years to come.  </w:t>
      </w:r>
    </w:p>
    <w:p w14:paraId="60B54C7E" w14:textId="77777777" w:rsidR="00C530FB" w:rsidRPr="00C530FB" w:rsidRDefault="00C530FB" w:rsidP="00C530FB">
      <w:pPr>
        <w:rPr>
          <w:rFonts w:ascii="Aptos" w:hAnsi="Aptos"/>
          <w:lang w:val="en-US"/>
        </w:rPr>
      </w:pPr>
      <w:r w:rsidRPr="00C530FB">
        <w:rPr>
          <w:rFonts w:ascii="Aptos" w:hAnsi="Aptos"/>
          <w:lang w:val="en-US"/>
        </w:rPr>
        <w:t xml:space="preserve">The normalization of diplomatic relations with Israel in 2020 will continue to improve their trade ties through the planned signing of a free trade agreement. </w:t>
      </w:r>
    </w:p>
    <w:p w14:paraId="1866B7B5" w14:textId="26447416" w:rsidR="0070755E" w:rsidRPr="00C45DAE" w:rsidRDefault="00C530FB" w:rsidP="00C530FB">
      <w:pPr>
        <w:rPr>
          <w:rFonts w:ascii="Aptos" w:hAnsi="Aptos"/>
          <w:u w:val="single"/>
          <w:lang w:val="en-US"/>
        </w:rPr>
      </w:pPr>
      <w:r w:rsidRPr="00C530FB">
        <w:rPr>
          <w:rFonts w:ascii="Aptos" w:hAnsi="Aptos"/>
          <w:lang w:val="en-US"/>
        </w:rPr>
        <w:t xml:space="preserve">The recent rapprochement between Saudi Arabia and Iran could prompt Bahrain to follow suit, even as Bahrain accuses Iran of supporting subversive elements within its Shiite population. </w:t>
      </w:r>
      <w:r w:rsidRPr="00C45DAE">
        <w:rPr>
          <w:rFonts w:ascii="Aptos" w:hAnsi="Aptos"/>
          <w:lang w:val="en-US"/>
        </w:rPr>
        <w:t>For now, both countries are keeping a low profile.</w:t>
      </w:r>
    </w:p>
    <w:p w14:paraId="422DCBE1" w14:textId="77777777" w:rsidR="00D72A21" w:rsidRPr="00C45DAE" w:rsidRDefault="00D72A21">
      <w:pPr>
        <w:rPr>
          <w:rFonts w:ascii="Aptos" w:hAnsi="Aptos"/>
          <w:u w:val="single"/>
          <w:lang w:val="en-US"/>
        </w:rPr>
      </w:pPr>
    </w:p>
    <w:p w14:paraId="616EA3BE" w14:textId="6304061E" w:rsidR="005A5631" w:rsidRPr="00C45DAE" w:rsidRDefault="00C45DAE" w:rsidP="00FE4A47">
      <w:pPr>
        <w:jc w:val="both"/>
        <w:rPr>
          <w:rFonts w:ascii="Aptos" w:hAnsi="Aptos"/>
          <w:u w:val="single"/>
          <w:lang w:val="en-US"/>
        </w:rPr>
      </w:pPr>
      <w:r w:rsidRPr="00C45DAE">
        <w:rPr>
          <w:rFonts w:ascii="Aptos" w:hAnsi="Aptos"/>
          <w:u w:val="single"/>
          <w:lang w:val="en-US"/>
        </w:rPr>
        <w:t>Ec</w:t>
      </w:r>
      <w:r>
        <w:rPr>
          <w:rFonts w:ascii="Aptos" w:hAnsi="Aptos"/>
          <w:u w:val="single"/>
          <w:lang w:val="en-US"/>
        </w:rPr>
        <w:t>onomic facts</w:t>
      </w:r>
    </w:p>
    <w:p w14:paraId="5522EAA5" w14:textId="25A710F5" w:rsidR="00C45DAE" w:rsidRPr="00C45DAE" w:rsidRDefault="00C45DAE" w:rsidP="00C45DAE">
      <w:pPr>
        <w:jc w:val="both"/>
        <w:rPr>
          <w:rFonts w:ascii="Aptos" w:hAnsi="Aptos"/>
          <w:lang w:val="en-US"/>
        </w:rPr>
      </w:pPr>
      <w:r w:rsidRPr="00C45DAE">
        <w:rPr>
          <w:rFonts w:ascii="Aptos" w:hAnsi="Aptos"/>
          <w:lang w:val="en-US"/>
        </w:rPr>
        <w:t xml:space="preserve">In 2023, Bahrain's real GDP grew by 2.4% thanks to growth in regional tourism, </w:t>
      </w:r>
      <w:proofErr w:type="gramStart"/>
      <w:r w:rsidRPr="00C45DAE">
        <w:rPr>
          <w:rFonts w:ascii="Aptos" w:hAnsi="Aptos"/>
          <w:lang w:val="en-US"/>
        </w:rPr>
        <w:t>transport</w:t>
      </w:r>
      <w:proofErr w:type="gramEnd"/>
      <w:r w:rsidRPr="00C45DAE">
        <w:rPr>
          <w:rFonts w:ascii="Aptos" w:hAnsi="Aptos"/>
          <w:lang w:val="en-US"/>
        </w:rPr>
        <w:t xml:space="preserve"> and </w:t>
      </w:r>
      <w:r>
        <w:rPr>
          <w:rFonts w:ascii="Aptos" w:hAnsi="Aptos"/>
          <w:lang w:val="en-US"/>
        </w:rPr>
        <w:t>real estate</w:t>
      </w:r>
      <w:r w:rsidRPr="00C45DAE">
        <w:rPr>
          <w:rFonts w:ascii="Aptos" w:hAnsi="Aptos"/>
          <w:lang w:val="en-US"/>
        </w:rPr>
        <w:t xml:space="preserve">. This growth was partially offset by a 2.4% contraction in the oil sector, due to temporary maintenance of the Abu Safa oil field (150,000 barrels per day). </w:t>
      </w:r>
    </w:p>
    <w:p w14:paraId="3790A943" w14:textId="77777777" w:rsidR="00C45DAE" w:rsidRPr="00C45DAE" w:rsidRDefault="00C45DAE" w:rsidP="00C45DAE">
      <w:pPr>
        <w:jc w:val="both"/>
        <w:rPr>
          <w:rFonts w:ascii="Aptos" w:hAnsi="Aptos"/>
          <w:lang w:val="en-US"/>
        </w:rPr>
      </w:pPr>
      <w:r w:rsidRPr="00C45DAE">
        <w:rPr>
          <w:rFonts w:ascii="Aptos" w:hAnsi="Aptos"/>
          <w:lang w:val="en-US"/>
        </w:rPr>
        <w:lastRenderedPageBreak/>
        <w:t xml:space="preserve">Despite Bahrain's dependence on oil for its tax and foreign revenues, the contribution of hydrocarbons to GDP is around 16%, which is lower than for other countries in the region. </w:t>
      </w:r>
    </w:p>
    <w:p w14:paraId="0E5DDD3B" w14:textId="77777777" w:rsidR="00C45DAE" w:rsidRDefault="00C45DAE" w:rsidP="00C45DAE">
      <w:pPr>
        <w:jc w:val="both"/>
        <w:rPr>
          <w:rFonts w:ascii="Aptos" w:hAnsi="Aptos"/>
          <w:lang w:val="fr-BE"/>
        </w:rPr>
      </w:pPr>
      <w:r w:rsidRPr="00C45DAE">
        <w:rPr>
          <w:rFonts w:ascii="Aptos" w:hAnsi="Aptos"/>
          <w:lang w:val="en-US"/>
        </w:rPr>
        <w:t xml:space="preserve">S&amp;P forecasts growth of 2.5% on average over the period 2024-2027. This future growth will be driven by the government's economic recovery plan targeting non-oil activity, which will surely attract investment in sectors such as tourism, housing, roads, airports and electricity. </w:t>
      </w:r>
      <w:r w:rsidRPr="00C45DAE">
        <w:rPr>
          <w:rFonts w:ascii="Aptos" w:hAnsi="Aptos"/>
          <w:lang w:val="fr-BE"/>
        </w:rPr>
        <w:t xml:space="preserve">For </w:t>
      </w:r>
      <w:proofErr w:type="spellStart"/>
      <w:r w:rsidRPr="00C45DAE">
        <w:rPr>
          <w:rFonts w:ascii="Aptos" w:hAnsi="Aptos"/>
          <w:lang w:val="fr-BE"/>
        </w:rPr>
        <w:t>example</w:t>
      </w:r>
      <w:proofErr w:type="spellEnd"/>
      <w:r w:rsidRPr="00C45DAE">
        <w:rPr>
          <w:rFonts w:ascii="Aptos" w:hAnsi="Aptos"/>
          <w:lang w:val="fr-BE"/>
        </w:rPr>
        <w:t xml:space="preserve">, </w:t>
      </w:r>
      <w:proofErr w:type="spellStart"/>
      <w:r w:rsidRPr="00C45DAE">
        <w:rPr>
          <w:rFonts w:ascii="Aptos" w:hAnsi="Aptos"/>
          <w:lang w:val="fr-BE"/>
        </w:rPr>
        <w:t>its</w:t>
      </w:r>
      <w:proofErr w:type="spellEnd"/>
      <w:r w:rsidRPr="00C45DAE">
        <w:rPr>
          <w:rFonts w:ascii="Aptos" w:hAnsi="Aptos"/>
          <w:lang w:val="fr-BE"/>
        </w:rPr>
        <w:t xml:space="preserve"> good relations </w:t>
      </w:r>
      <w:proofErr w:type="spellStart"/>
      <w:r w:rsidRPr="00C45DAE">
        <w:rPr>
          <w:rFonts w:ascii="Aptos" w:hAnsi="Aptos"/>
          <w:lang w:val="fr-BE"/>
        </w:rPr>
        <w:t>with</w:t>
      </w:r>
      <w:proofErr w:type="spellEnd"/>
      <w:r w:rsidRPr="00C45DAE">
        <w:rPr>
          <w:rFonts w:ascii="Aptos" w:hAnsi="Aptos"/>
          <w:lang w:val="fr-BE"/>
        </w:rPr>
        <w:t xml:space="preserve"> the </w:t>
      </w:r>
      <w:proofErr w:type="spellStart"/>
      <w:r w:rsidRPr="00C45DAE">
        <w:rPr>
          <w:rFonts w:ascii="Aptos" w:hAnsi="Aptos"/>
          <w:lang w:val="fr-BE"/>
        </w:rPr>
        <w:t>Saudi</w:t>
      </w:r>
      <w:proofErr w:type="spellEnd"/>
      <w:r w:rsidRPr="00C45DAE">
        <w:rPr>
          <w:rFonts w:ascii="Aptos" w:hAnsi="Aptos"/>
          <w:lang w:val="fr-BE"/>
        </w:rPr>
        <w:t xml:space="preserve"> </w:t>
      </w:r>
      <w:proofErr w:type="spellStart"/>
      <w:r w:rsidRPr="00C45DAE">
        <w:rPr>
          <w:rFonts w:ascii="Aptos" w:hAnsi="Aptos"/>
          <w:lang w:val="fr-BE"/>
        </w:rPr>
        <w:t>monarchy</w:t>
      </w:r>
      <w:proofErr w:type="spellEnd"/>
      <w:r w:rsidRPr="00C45DAE">
        <w:rPr>
          <w:rFonts w:ascii="Aptos" w:hAnsi="Aptos"/>
          <w:lang w:val="fr-BE"/>
        </w:rPr>
        <w:t xml:space="preserve"> have </w:t>
      </w:r>
      <w:proofErr w:type="spellStart"/>
      <w:r w:rsidRPr="00C45DAE">
        <w:rPr>
          <w:rFonts w:ascii="Aptos" w:hAnsi="Aptos"/>
          <w:lang w:val="fr-BE"/>
        </w:rPr>
        <w:t>enabled</w:t>
      </w:r>
      <w:proofErr w:type="spellEnd"/>
      <w:r w:rsidRPr="00C45DAE">
        <w:rPr>
          <w:rFonts w:ascii="Aptos" w:hAnsi="Aptos"/>
          <w:lang w:val="fr-BE"/>
        </w:rPr>
        <w:t xml:space="preserve"> </w:t>
      </w:r>
      <w:proofErr w:type="spellStart"/>
      <w:r w:rsidRPr="00C45DAE">
        <w:rPr>
          <w:rFonts w:ascii="Aptos" w:hAnsi="Aptos"/>
          <w:lang w:val="fr-BE"/>
        </w:rPr>
        <w:t>it</w:t>
      </w:r>
      <w:proofErr w:type="spellEnd"/>
      <w:r w:rsidRPr="00C45DAE">
        <w:rPr>
          <w:rFonts w:ascii="Aptos" w:hAnsi="Aptos"/>
          <w:lang w:val="fr-BE"/>
        </w:rPr>
        <w:t xml:space="preserve"> to </w:t>
      </w:r>
      <w:proofErr w:type="spellStart"/>
      <w:r w:rsidRPr="00C45DAE">
        <w:rPr>
          <w:rFonts w:ascii="Aptos" w:hAnsi="Aptos"/>
          <w:lang w:val="fr-BE"/>
        </w:rPr>
        <w:t>be</w:t>
      </w:r>
      <w:proofErr w:type="spellEnd"/>
      <w:r w:rsidRPr="00C45DAE">
        <w:rPr>
          <w:rFonts w:ascii="Aptos" w:hAnsi="Aptos"/>
          <w:lang w:val="fr-BE"/>
        </w:rPr>
        <w:t xml:space="preserve"> </w:t>
      </w:r>
      <w:proofErr w:type="spellStart"/>
      <w:r w:rsidRPr="00C45DAE">
        <w:rPr>
          <w:rFonts w:ascii="Aptos" w:hAnsi="Aptos"/>
          <w:lang w:val="fr-BE"/>
        </w:rPr>
        <w:t>granted</w:t>
      </w:r>
      <w:proofErr w:type="spellEnd"/>
      <w:r w:rsidRPr="00C45DAE">
        <w:rPr>
          <w:rFonts w:ascii="Aptos" w:hAnsi="Aptos"/>
          <w:lang w:val="fr-BE"/>
        </w:rPr>
        <w:t xml:space="preserve"> $5 billion in </w:t>
      </w:r>
      <w:proofErr w:type="spellStart"/>
      <w:r w:rsidRPr="00C45DAE">
        <w:rPr>
          <w:rFonts w:ascii="Aptos" w:hAnsi="Aptos"/>
          <w:lang w:val="fr-BE"/>
        </w:rPr>
        <w:t>investments</w:t>
      </w:r>
      <w:proofErr w:type="spellEnd"/>
      <w:r w:rsidRPr="00C45DAE">
        <w:rPr>
          <w:rFonts w:ascii="Aptos" w:hAnsi="Aptos"/>
          <w:lang w:val="fr-BE"/>
        </w:rPr>
        <w:t xml:space="preserve"> in </w:t>
      </w:r>
      <w:proofErr w:type="spellStart"/>
      <w:r w:rsidRPr="00C45DAE">
        <w:rPr>
          <w:rFonts w:ascii="Aptos" w:hAnsi="Aptos"/>
          <w:lang w:val="fr-BE"/>
        </w:rPr>
        <w:t>these</w:t>
      </w:r>
      <w:proofErr w:type="spellEnd"/>
      <w:r w:rsidRPr="00C45DAE">
        <w:rPr>
          <w:rFonts w:ascii="Aptos" w:hAnsi="Aptos"/>
          <w:lang w:val="fr-BE"/>
        </w:rPr>
        <w:t xml:space="preserve"> </w:t>
      </w:r>
      <w:proofErr w:type="spellStart"/>
      <w:r w:rsidRPr="00C45DAE">
        <w:rPr>
          <w:rFonts w:ascii="Aptos" w:hAnsi="Aptos"/>
          <w:lang w:val="fr-BE"/>
        </w:rPr>
        <w:t>sectors</w:t>
      </w:r>
      <w:proofErr w:type="spellEnd"/>
      <w:r w:rsidRPr="00C45DAE">
        <w:rPr>
          <w:rFonts w:ascii="Aptos" w:hAnsi="Aptos"/>
          <w:lang w:val="fr-BE"/>
        </w:rPr>
        <w:t>.</w:t>
      </w:r>
    </w:p>
    <w:p w14:paraId="48C5C276" w14:textId="77777777" w:rsidR="00C45DAE" w:rsidRPr="00C45DAE" w:rsidRDefault="00C45DAE" w:rsidP="00C45DAE">
      <w:pPr>
        <w:jc w:val="both"/>
        <w:rPr>
          <w:rFonts w:ascii="Aptos" w:hAnsi="Aptos"/>
          <w:lang w:val="en-US"/>
        </w:rPr>
      </w:pPr>
      <w:r w:rsidRPr="00C45DAE">
        <w:rPr>
          <w:rFonts w:ascii="Aptos" w:hAnsi="Aptos"/>
          <w:lang w:val="en-US"/>
        </w:rPr>
        <w:t xml:space="preserve">Bahrain can count on the Gulf Cooperation Council (an organization bringing together six Arab and Muslim monarchies from the Persian Gulf) to have easier access to liquidity. Thanks to this organization, it was able to benefit from a support program of 10.2 billion dollars. </w:t>
      </w:r>
    </w:p>
    <w:p w14:paraId="65C1F78A" w14:textId="77777777" w:rsidR="00C45DAE" w:rsidRPr="00C45DAE" w:rsidRDefault="00C45DAE" w:rsidP="00C45DAE">
      <w:pPr>
        <w:jc w:val="both"/>
        <w:rPr>
          <w:rFonts w:ascii="Aptos" w:hAnsi="Aptos"/>
          <w:lang w:val="en-US"/>
        </w:rPr>
      </w:pPr>
      <w:r w:rsidRPr="00C45DAE">
        <w:rPr>
          <w:rFonts w:ascii="Aptos" w:hAnsi="Aptos"/>
          <w:lang w:val="en-US"/>
        </w:rPr>
        <w:t>Inflation in Bahrain remains moderate by global standards, averaging 0.1% in 2023. Bahrain's track record of price stability benefits from ongoing government subsidies and the strength of the US dollar, which helps to contain imported inflation. Fitch forecasts that inflation will normalize to historical averages of 1-2% over the period 2024-2027.</w:t>
      </w:r>
    </w:p>
    <w:p w14:paraId="30D902ED" w14:textId="77777777" w:rsidR="00C45DAE" w:rsidRPr="00C45DAE" w:rsidRDefault="00C45DAE" w:rsidP="00C45DAE">
      <w:pPr>
        <w:jc w:val="both"/>
        <w:rPr>
          <w:rFonts w:ascii="Aptos" w:hAnsi="Aptos"/>
          <w:lang w:val="en-US"/>
        </w:rPr>
      </w:pPr>
      <w:r w:rsidRPr="00C45DAE">
        <w:rPr>
          <w:rFonts w:ascii="Aptos" w:hAnsi="Aptos"/>
          <w:lang w:val="en-US"/>
        </w:rPr>
        <w:t>However, the contribution of public consumption will gradually decline, in line with the balanced budget program and the government's commitment to implement spending reduction measures in exchange for financial assistance from its neighbors.</w:t>
      </w:r>
    </w:p>
    <w:p w14:paraId="0C2E8E70" w14:textId="77777777" w:rsidR="00C45DAE" w:rsidRPr="00C45DAE" w:rsidRDefault="00C45DAE" w:rsidP="00C45DAE">
      <w:pPr>
        <w:jc w:val="both"/>
        <w:rPr>
          <w:rFonts w:ascii="Aptos" w:hAnsi="Aptos"/>
          <w:lang w:val="en-US"/>
        </w:rPr>
      </w:pPr>
      <w:r w:rsidRPr="00C45DAE">
        <w:rPr>
          <w:rFonts w:ascii="Aptos" w:hAnsi="Aptos"/>
          <w:lang w:val="en-US"/>
        </w:rPr>
        <w:t>On the budgetary level, the government has quite limited room for maneuver due to the high debt burden and its significant dependence on hydrocarbon revenues which represent nearly 70% of total budgetary revenues. The price of a barrel of oil which would allow a balanced budget is around 126USD, a level well above recent prices which are between 80 and 90 dollars per barrel.</w:t>
      </w:r>
    </w:p>
    <w:p w14:paraId="18EBBE14" w14:textId="77777777" w:rsidR="00C45DAE" w:rsidRDefault="00C45DAE" w:rsidP="00C45DAE">
      <w:pPr>
        <w:jc w:val="both"/>
        <w:rPr>
          <w:rFonts w:ascii="Aptos" w:hAnsi="Aptos"/>
          <w:lang w:val="fr-BE"/>
        </w:rPr>
      </w:pPr>
      <w:r w:rsidRPr="00C45DAE">
        <w:rPr>
          <w:rFonts w:ascii="Aptos" w:hAnsi="Aptos"/>
          <w:lang w:val="en-US"/>
        </w:rPr>
        <w:t xml:space="preserve">This situation forces the Bahraini government to find new sources of revenue. These were present in the 2023 forecast budget, although they did not materialize. This is notably due to the delay in implementing a key reform concerning Bahrain's Electricity and Water Authority, which alone was expected to cause an increase in revenues of 3 to 4% of GDP by the end of 2024. </w:t>
      </w:r>
      <w:r w:rsidRPr="00C45DAE">
        <w:rPr>
          <w:rFonts w:ascii="Aptos" w:hAnsi="Aptos"/>
          <w:lang w:val="fr-BE"/>
        </w:rPr>
        <w:t xml:space="preserve">The establishment of a </w:t>
      </w:r>
      <w:proofErr w:type="spellStart"/>
      <w:r w:rsidRPr="00C45DAE">
        <w:rPr>
          <w:rFonts w:ascii="Aptos" w:hAnsi="Aptos"/>
          <w:lang w:val="fr-BE"/>
        </w:rPr>
        <w:t>corporate</w:t>
      </w:r>
      <w:proofErr w:type="spellEnd"/>
      <w:r w:rsidRPr="00C45DAE">
        <w:rPr>
          <w:rFonts w:ascii="Aptos" w:hAnsi="Aptos"/>
          <w:lang w:val="fr-BE"/>
        </w:rPr>
        <w:t xml:space="preserve"> </w:t>
      </w:r>
      <w:proofErr w:type="spellStart"/>
      <w:r w:rsidRPr="00C45DAE">
        <w:rPr>
          <w:rFonts w:ascii="Aptos" w:hAnsi="Aptos"/>
          <w:lang w:val="fr-BE"/>
        </w:rPr>
        <w:t>tax</w:t>
      </w:r>
      <w:proofErr w:type="spellEnd"/>
      <w:r w:rsidRPr="00C45DAE">
        <w:rPr>
          <w:rFonts w:ascii="Aptos" w:hAnsi="Aptos"/>
          <w:lang w:val="fr-BE"/>
        </w:rPr>
        <w:t xml:space="preserve"> </w:t>
      </w:r>
      <w:proofErr w:type="spellStart"/>
      <w:r w:rsidRPr="00C45DAE">
        <w:rPr>
          <w:rFonts w:ascii="Aptos" w:hAnsi="Aptos"/>
          <w:lang w:val="fr-BE"/>
        </w:rPr>
        <w:t>is</w:t>
      </w:r>
      <w:proofErr w:type="spellEnd"/>
      <w:r w:rsidRPr="00C45DAE">
        <w:rPr>
          <w:rFonts w:ascii="Aptos" w:hAnsi="Aptos"/>
          <w:lang w:val="fr-BE"/>
        </w:rPr>
        <w:t xml:space="preserve"> </w:t>
      </w:r>
      <w:proofErr w:type="spellStart"/>
      <w:r w:rsidRPr="00C45DAE">
        <w:rPr>
          <w:rFonts w:ascii="Aptos" w:hAnsi="Aptos"/>
          <w:lang w:val="fr-BE"/>
        </w:rPr>
        <w:t>also</w:t>
      </w:r>
      <w:proofErr w:type="spellEnd"/>
      <w:r w:rsidRPr="00C45DAE">
        <w:rPr>
          <w:rFonts w:ascii="Aptos" w:hAnsi="Aptos"/>
          <w:lang w:val="fr-BE"/>
        </w:rPr>
        <w:t xml:space="preserve"> </w:t>
      </w:r>
      <w:proofErr w:type="spellStart"/>
      <w:r w:rsidRPr="00C45DAE">
        <w:rPr>
          <w:rFonts w:ascii="Aptos" w:hAnsi="Aptos"/>
          <w:lang w:val="fr-BE"/>
        </w:rPr>
        <w:t>under</w:t>
      </w:r>
      <w:proofErr w:type="spellEnd"/>
      <w:r w:rsidRPr="00C45DAE">
        <w:rPr>
          <w:rFonts w:ascii="Aptos" w:hAnsi="Aptos"/>
          <w:lang w:val="fr-BE"/>
        </w:rPr>
        <w:t xml:space="preserve"> discussion.</w:t>
      </w:r>
    </w:p>
    <w:p w14:paraId="02CCBB15" w14:textId="77777777" w:rsidR="00C45DAE" w:rsidRPr="00C45DAE" w:rsidRDefault="00C45DAE" w:rsidP="00C45DAE">
      <w:pPr>
        <w:jc w:val="both"/>
        <w:rPr>
          <w:rFonts w:ascii="Aptos" w:hAnsi="Aptos"/>
          <w:lang w:val="en-US"/>
        </w:rPr>
      </w:pPr>
      <w:r w:rsidRPr="00C45DAE">
        <w:rPr>
          <w:rFonts w:ascii="Aptos" w:hAnsi="Aptos"/>
          <w:lang w:val="en-US"/>
        </w:rPr>
        <w:t>In 2023, public debt reached 126% of GDP despite the budgetary consolidation plans announced by the government. Fitch forecasts a public deficit of 135% of GDP for 2025, which is well above the median of 56% of countries with the same rating.</w:t>
      </w:r>
    </w:p>
    <w:p w14:paraId="0331B560" w14:textId="403A7E27" w:rsidR="00C45DAE" w:rsidRPr="00C45DAE" w:rsidRDefault="00C45DAE" w:rsidP="00C45DAE">
      <w:pPr>
        <w:jc w:val="both"/>
        <w:rPr>
          <w:rFonts w:ascii="Aptos" w:hAnsi="Aptos"/>
          <w:lang w:val="en-US"/>
        </w:rPr>
      </w:pPr>
      <w:r w:rsidRPr="00C45DAE">
        <w:rPr>
          <w:rFonts w:ascii="Aptos" w:hAnsi="Aptos"/>
          <w:lang w:val="en-US"/>
        </w:rPr>
        <w:t xml:space="preserve">Concerning the public deficit, it reached 7.8% in 2023, and is expected to worsen slightly in the medium to long term. This forecast is made </w:t>
      </w:r>
      <w:r w:rsidR="00E345BC" w:rsidRPr="00C45DAE">
        <w:rPr>
          <w:rFonts w:ascii="Aptos" w:hAnsi="Aptos"/>
          <w:lang w:val="en-US"/>
        </w:rPr>
        <w:t>based on</w:t>
      </w:r>
      <w:r w:rsidRPr="00C45DAE">
        <w:rPr>
          <w:rFonts w:ascii="Aptos" w:hAnsi="Aptos"/>
          <w:lang w:val="en-US"/>
        </w:rPr>
        <w:t xml:space="preserve"> an anticipation of a drop in oil prices in the coming years.</w:t>
      </w:r>
    </w:p>
    <w:p w14:paraId="2507E5D1" w14:textId="77777777" w:rsidR="00C45DAE" w:rsidRPr="00C45DAE" w:rsidRDefault="00C45DAE" w:rsidP="00C45DAE">
      <w:pPr>
        <w:jc w:val="both"/>
        <w:rPr>
          <w:rFonts w:ascii="Aptos" w:hAnsi="Aptos"/>
          <w:lang w:val="en-US"/>
        </w:rPr>
      </w:pPr>
      <w:r w:rsidRPr="00C45DAE">
        <w:rPr>
          <w:rFonts w:ascii="Aptos" w:hAnsi="Aptos"/>
          <w:lang w:val="en-US"/>
        </w:rPr>
        <w:t>The significant increase in interest costs due to the increase in outstanding debt and the rise in interest rates should also help maintain the deficit at a high level.</w:t>
      </w:r>
    </w:p>
    <w:p w14:paraId="1AD54356" w14:textId="77777777" w:rsidR="00C45DAE" w:rsidRPr="00C45DAE" w:rsidRDefault="00C45DAE" w:rsidP="00C45DAE">
      <w:pPr>
        <w:jc w:val="both"/>
        <w:rPr>
          <w:rFonts w:ascii="Aptos" w:hAnsi="Aptos"/>
          <w:lang w:val="en-US"/>
        </w:rPr>
      </w:pPr>
      <w:r w:rsidRPr="00C45DAE">
        <w:rPr>
          <w:rFonts w:ascii="Aptos" w:hAnsi="Aptos"/>
          <w:lang w:val="en-US"/>
        </w:rPr>
        <w:t>Despite a volume of oil production which will remain stable due to compliance with the quotas imposed by OPEC+, Bahrain will experience an increase in its current account due to the increase in hydrocarbon prices in force this year.</w:t>
      </w:r>
    </w:p>
    <w:p w14:paraId="3452AAE3" w14:textId="77777777" w:rsidR="00C45DAE" w:rsidRPr="00C45DAE" w:rsidRDefault="00C45DAE" w:rsidP="00C45DAE">
      <w:pPr>
        <w:jc w:val="both"/>
        <w:rPr>
          <w:rFonts w:ascii="Aptos" w:hAnsi="Aptos"/>
          <w:lang w:val="en-US"/>
        </w:rPr>
      </w:pPr>
      <w:r w:rsidRPr="00C45DAE">
        <w:rPr>
          <w:rFonts w:ascii="Aptos" w:hAnsi="Aptos"/>
          <w:lang w:val="en-US"/>
        </w:rPr>
        <w:t>Increased revenues from aluminum and steel exports will also be a key factor in widening the goods trade surplus.</w:t>
      </w:r>
    </w:p>
    <w:p w14:paraId="62728926" w14:textId="77777777" w:rsidR="00C45DAE" w:rsidRPr="00C45DAE" w:rsidRDefault="00C45DAE" w:rsidP="00C45DAE">
      <w:pPr>
        <w:jc w:val="both"/>
        <w:rPr>
          <w:rFonts w:ascii="Aptos" w:hAnsi="Aptos"/>
          <w:lang w:val="en-US"/>
        </w:rPr>
      </w:pPr>
      <w:r w:rsidRPr="00C45DAE">
        <w:rPr>
          <w:rFonts w:ascii="Aptos" w:hAnsi="Aptos"/>
          <w:lang w:val="en-US"/>
        </w:rPr>
        <w:lastRenderedPageBreak/>
        <w:t xml:space="preserve">Remittances from migrant workers will continue to widen the secondary income deficit as foreign workers continue to return to Bahrain. Services exports, mainly in the form of resilient tourism, will also contribute to the current account surplus, which will remain above its historical level. </w:t>
      </w:r>
    </w:p>
    <w:p w14:paraId="1CD47E79" w14:textId="365FBE0D" w:rsidR="00C45DAE" w:rsidRDefault="00C45DAE" w:rsidP="00C45DAE">
      <w:pPr>
        <w:jc w:val="both"/>
        <w:rPr>
          <w:rFonts w:ascii="Aptos" w:hAnsi="Aptos"/>
          <w:lang w:val="en-US"/>
        </w:rPr>
      </w:pPr>
      <w:r w:rsidRPr="00C45DAE">
        <w:rPr>
          <w:rFonts w:ascii="Aptos" w:hAnsi="Aptos"/>
          <w:lang w:val="en-US"/>
        </w:rPr>
        <w:t>Bahrain's banking sector assets represented 543% of GDP in 2023. The sector is shared between retail banks which mainly serve the local market and wholesale banks, which conversely have almost no retail activity</w:t>
      </w:r>
      <w:r w:rsidR="00E345BC">
        <w:rPr>
          <w:rFonts w:ascii="Aptos" w:hAnsi="Aptos"/>
          <w:lang w:val="en-US"/>
        </w:rPr>
        <w:t>.</w:t>
      </w:r>
      <w:r w:rsidRPr="00C45DAE">
        <w:rPr>
          <w:rFonts w:ascii="Aptos" w:hAnsi="Aptos"/>
          <w:lang w:val="en-US"/>
        </w:rPr>
        <w:t xml:space="preserve"> According to Fitch, retail banks are well capitalized and able to absorb </w:t>
      </w:r>
      <w:r w:rsidR="00E345BC">
        <w:rPr>
          <w:rFonts w:ascii="Aptos" w:hAnsi="Aptos"/>
          <w:lang w:val="en-US"/>
        </w:rPr>
        <w:t>NPL</w:t>
      </w:r>
      <w:r w:rsidRPr="00C45DAE">
        <w:rPr>
          <w:rFonts w:ascii="Aptos" w:hAnsi="Aptos"/>
          <w:lang w:val="en-US"/>
        </w:rPr>
        <w:t xml:space="preserve"> resulting from the widespread rise in interest rates.</w:t>
      </w:r>
    </w:p>
    <w:p w14:paraId="1A4BD981" w14:textId="084CA65A" w:rsidR="00143A07" w:rsidRPr="00C45DAE" w:rsidRDefault="00C45DAE" w:rsidP="00FE4A47">
      <w:pPr>
        <w:jc w:val="both"/>
        <w:rPr>
          <w:rFonts w:ascii="Aptos" w:hAnsi="Aptos"/>
          <w:b/>
          <w:bCs/>
          <w:lang w:val="en-US"/>
        </w:rPr>
      </w:pPr>
      <w:r w:rsidRPr="00C45DAE">
        <w:rPr>
          <w:rFonts w:ascii="Aptos" w:hAnsi="Aptos"/>
          <w:lang w:val="en-US"/>
        </w:rPr>
        <w:t>The replenishment of Bahrain's foreign exchange reserves has historically come from government external issuance and fiscal support from other GCC states. Gross foreign exchange reserves expected to remain at $4.7 billion over the period 2024-2027</w:t>
      </w:r>
      <w:r w:rsidRPr="00C45DAE">
        <w:rPr>
          <w:rFonts w:ascii="Aptos" w:hAnsi="Aptos"/>
          <w:lang w:val="en-US"/>
        </w:rPr>
        <w:t>.</w:t>
      </w:r>
    </w:p>
    <w:p w14:paraId="770FB6A4" w14:textId="17483D6E" w:rsidR="008525F9" w:rsidRPr="00C45DAE" w:rsidRDefault="00FE2C9F" w:rsidP="00FE4A47">
      <w:pPr>
        <w:jc w:val="both"/>
        <w:rPr>
          <w:rFonts w:ascii="Aptos" w:hAnsi="Aptos"/>
          <w:b/>
          <w:bCs/>
          <w:lang w:val="en-US"/>
        </w:rPr>
      </w:pPr>
      <w:r w:rsidRPr="00C45DAE">
        <w:rPr>
          <w:rFonts w:ascii="Aptos" w:hAnsi="Aptos"/>
          <w:b/>
          <w:bCs/>
          <w:lang w:val="en-US"/>
        </w:rPr>
        <w:t xml:space="preserve"> </w:t>
      </w:r>
    </w:p>
    <w:p w14:paraId="1E8B15DF" w14:textId="75107600" w:rsidR="001647E6" w:rsidRPr="009F172C" w:rsidRDefault="00C45DAE" w:rsidP="001647E6">
      <w:pPr>
        <w:jc w:val="right"/>
        <w:rPr>
          <w:rFonts w:ascii="Aptos" w:hAnsi="Aptos"/>
          <w:lang w:val="fr-BE"/>
        </w:rPr>
      </w:pPr>
      <w:proofErr w:type="spellStart"/>
      <w:r>
        <w:rPr>
          <w:rFonts w:ascii="Aptos" w:hAnsi="Aptos"/>
          <w:lang w:val="fr-BE"/>
        </w:rPr>
        <w:t>Written</w:t>
      </w:r>
      <w:proofErr w:type="spellEnd"/>
      <w:r>
        <w:rPr>
          <w:rFonts w:ascii="Aptos" w:hAnsi="Aptos"/>
          <w:lang w:val="fr-BE"/>
        </w:rPr>
        <w:t xml:space="preserve"> on 26th July 2024.</w:t>
      </w:r>
    </w:p>
    <w:p w14:paraId="774F49D3" w14:textId="77777777" w:rsidR="001647E6" w:rsidRPr="009F172C" w:rsidRDefault="001647E6">
      <w:pPr>
        <w:rPr>
          <w:rFonts w:ascii="Aptos" w:hAnsi="Aptos"/>
          <w:lang w:val="fr-BE"/>
        </w:rPr>
      </w:pPr>
      <w:r w:rsidRPr="009F172C">
        <w:rPr>
          <w:rFonts w:ascii="Aptos" w:hAnsi="Aptos"/>
          <w:lang w:val="fr-BE"/>
        </w:rPr>
        <w:br w:type="page"/>
      </w:r>
    </w:p>
    <w:p w14:paraId="138A3E6F" w14:textId="77777777" w:rsidR="00C91D01" w:rsidRPr="009F172C" w:rsidRDefault="00C91D01" w:rsidP="001647E6">
      <w:pPr>
        <w:jc w:val="right"/>
        <w:rPr>
          <w:rFonts w:ascii="Aptos" w:hAnsi="Aptos"/>
          <w:i/>
          <w:iCs/>
          <w:lang w:val="fr-BE"/>
        </w:rPr>
      </w:pPr>
    </w:p>
    <w:p w14:paraId="23DD08F1" w14:textId="3C8B4AE7" w:rsidR="008F7262" w:rsidRPr="009F172C" w:rsidRDefault="008F7262" w:rsidP="00FE4A47">
      <w:pPr>
        <w:jc w:val="both"/>
        <w:rPr>
          <w:rFonts w:ascii="Aptos" w:hAnsi="Aptos"/>
          <w:i/>
          <w:iCs/>
          <w:lang w:val="fr-BE"/>
        </w:rPr>
      </w:pPr>
      <w:r w:rsidRPr="009F172C">
        <w:rPr>
          <w:rFonts w:ascii="Aptos" w:hAnsi="Aptos"/>
          <w:i/>
          <w:iCs/>
          <w:lang w:val="fr-BE"/>
        </w:rPr>
        <w:t>Source</w:t>
      </w:r>
      <w:r w:rsidR="007971CE" w:rsidRPr="009F172C">
        <w:rPr>
          <w:rFonts w:ascii="Aptos" w:hAnsi="Aptos"/>
          <w:i/>
          <w:iCs/>
          <w:lang w:val="fr-BE"/>
        </w:rPr>
        <w:t>s</w:t>
      </w:r>
      <w:r w:rsidRPr="009F172C">
        <w:rPr>
          <w:rFonts w:ascii="Aptos" w:hAnsi="Aptos"/>
          <w:i/>
          <w:iCs/>
          <w:lang w:val="fr-BE"/>
        </w:rPr>
        <w:t xml:space="preserve"> : </w:t>
      </w:r>
    </w:p>
    <w:bookmarkStart w:id="0" w:name="_Hlk170470709"/>
    <w:p w14:paraId="64F7F54E" w14:textId="63F86AC9" w:rsidR="00143A07" w:rsidRDefault="00143A07" w:rsidP="00115362">
      <w:pPr>
        <w:jc w:val="both"/>
        <w:rPr>
          <w:rFonts w:ascii="Aptos" w:hAnsi="Aptos"/>
          <w:i/>
          <w:iCs/>
          <w:sz w:val="20"/>
          <w:szCs w:val="20"/>
        </w:rPr>
      </w:pPr>
      <w:r>
        <w:rPr>
          <w:rFonts w:ascii="Aptos" w:hAnsi="Aptos"/>
          <w:i/>
          <w:iCs/>
          <w:sz w:val="20"/>
          <w:szCs w:val="20"/>
        </w:rPr>
        <w:fldChar w:fldCharType="begin"/>
      </w:r>
      <w:r>
        <w:rPr>
          <w:rFonts w:ascii="Aptos" w:hAnsi="Aptos"/>
          <w:i/>
          <w:iCs/>
          <w:sz w:val="20"/>
          <w:szCs w:val="20"/>
        </w:rPr>
        <w:instrText>HYPERLINK "</w:instrText>
      </w:r>
      <w:r w:rsidRPr="009F172C">
        <w:rPr>
          <w:rFonts w:ascii="Aptos" w:hAnsi="Aptos"/>
          <w:i/>
          <w:iCs/>
          <w:sz w:val="20"/>
          <w:szCs w:val="20"/>
        </w:rPr>
        <w:instrText>https://www.moodys.com/credit-ratings/Bahrain-Government-of-credit-rating-600018600/summary</w:instrText>
      </w:r>
      <w:r>
        <w:rPr>
          <w:rFonts w:ascii="Aptos" w:hAnsi="Aptos"/>
          <w:i/>
          <w:iCs/>
          <w:sz w:val="20"/>
          <w:szCs w:val="20"/>
        </w:rPr>
        <w:instrText>"</w:instrText>
      </w:r>
      <w:r>
        <w:rPr>
          <w:rFonts w:ascii="Aptos" w:hAnsi="Aptos"/>
          <w:i/>
          <w:iCs/>
          <w:sz w:val="20"/>
          <w:szCs w:val="20"/>
        </w:rPr>
      </w:r>
      <w:r>
        <w:rPr>
          <w:rFonts w:ascii="Aptos" w:hAnsi="Aptos"/>
          <w:i/>
          <w:iCs/>
          <w:sz w:val="20"/>
          <w:szCs w:val="20"/>
        </w:rPr>
        <w:fldChar w:fldCharType="separate"/>
      </w:r>
      <w:r w:rsidRPr="008A397F">
        <w:rPr>
          <w:rStyle w:val="Hyperlink"/>
          <w:rFonts w:ascii="Aptos" w:hAnsi="Aptos"/>
          <w:i/>
          <w:iCs/>
          <w:sz w:val="20"/>
          <w:szCs w:val="20"/>
        </w:rPr>
        <w:t>https://www.moodys.com/credit-ratings/Bahrain-Government-of-credit-rating-600018600/summary</w:t>
      </w:r>
      <w:bookmarkEnd w:id="0"/>
      <w:r>
        <w:rPr>
          <w:rFonts w:ascii="Aptos" w:hAnsi="Aptos"/>
          <w:i/>
          <w:iCs/>
          <w:sz w:val="20"/>
          <w:szCs w:val="20"/>
        </w:rPr>
        <w:fldChar w:fldCharType="end"/>
      </w:r>
    </w:p>
    <w:p w14:paraId="12CEA629" w14:textId="07E12FEB" w:rsidR="007971CE" w:rsidRPr="009F172C" w:rsidRDefault="00E345BC" w:rsidP="00115362">
      <w:pPr>
        <w:jc w:val="both"/>
        <w:rPr>
          <w:rFonts w:ascii="Aptos" w:hAnsi="Aptos"/>
          <w:i/>
          <w:iCs/>
          <w:lang w:val="fr-FR"/>
        </w:rPr>
      </w:pPr>
      <w:hyperlink r:id="rId9" w:history="1">
        <w:r w:rsidR="00635634" w:rsidRPr="009F172C">
          <w:rPr>
            <w:rStyle w:val="Hyperlink"/>
            <w:rFonts w:ascii="Aptos" w:hAnsi="Aptos"/>
            <w:i/>
            <w:iCs/>
            <w:lang w:val="fr-FR"/>
          </w:rPr>
          <w:t>https://app.fitchconnect.com/article/RPT_10264396</w:t>
        </w:r>
      </w:hyperlink>
    </w:p>
    <w:p w14:paraId="08E1BAF1" w14:textId="66DF348A" w:rsidR="00635634" w:rsidRPr="009F172C" w:rsidRDefault="00E345BC" w:rsidP="00115362">
      <w:pPr>
        <w:jc w:val="both"/>
        <w:rPr>
          <w:rFonts w:ascii="Aptos" w:hAnsi="Aptos"/>
          <w:i/>
          <w:iCs/>
          <w:lang w:val="fr-FR"/>
        </w:rPr>
      </w:pPr>
      <w:hyperlink r:id="rId10" w:history="1">
        <w:r w:rsidR="00635634" w:rsidRPr="009F172C">
          <w:rPr>
            <w:rStyle w:val="Hyperlink"/>
            <w:rFonts w:ascii="Aptos" w:hAnsi="Aptos"/>
            <w:i/>
            <w:iCs/>
            <w:lang w:val="fr-FR"/>
          </w:rPr>
          <w:t>https://disclosure.spglobal.com/ratings/en/regulatory/article/-/view/type/HTML/id/3183128</w:t>
        </w:r>
      </w:hyperlink>
    </w:p>
    <w:p w14:paraId="4A43917D" w14:textId="1309683C" w:rsidR="00635634" w:rsidRPr="009F172C" w:rsidRDefault="00E345BC" w:rsidP="00115362">
      <w:pPr>
        <w:jc w:val="both"/>
        <w:rPr>
          <w:rFonts w:ascii="Aptos" w:hAnsi="Aptos"/>
          <w:i/>
          <w:iCs/>
          <w:lang w:val="fr-FR"/>
        </w:rPr>
      </w:pPr>
      <w:hyperlink r:id="rId11" w:anchor=":~:text=Dans%20le%20cadre%20d'une,environ%2020%20%25%20des%20exportations%20totales" w:history="1">
        <w:r w:rsidR="00391A75" w:rsidRPr="009F172C">
          <w:rPr>
            <w:rStyle w:val="Hyperlink"/>
            <w:rFonts w:ascii="Aptos" w:hAnsi="Aptos"/>
            <w:i/>
            <w:iCs/>
            <w:lang w:val="fr-FR"/>
          </w:rPr>
          <w:t>https://www.coface.com/fr/actualites-economie-conseils-d-experts/tableau-de-bord-des-risques-economiques/fiches-risques-pays/bahrein#:~:text=Dans%20le%20cadre%20d'une,environ%2020%20%25%20des%20exportations%20totales</w:t>
        </w:r>
      </w:hyperlink>
      <w:r w:rsidR="00635634" w:rsidRPr="009F172C">
        <w:rPr>
          <w:rFonts w:ascii="Aptos" w:hAnsi="Aptos"/>
          <w:i/>
          <w:iCs/>
          <w:lang w:val="fr-FR"/>
        </w:rPr>
        <w:t>.</w:t>
      </w:r>
    </w:p>
    <w:p w14:paraId="5EEA5BA0" w14:textId="25143756" w:rsidR="00391A75" w:rsidRPr="009F172C" w:rsidRDefault="00E345BC" w:rsidP="00115362">
      <w:pPr>
        <w:jc w:val="both"/>
        <w:rPr>
          <w:rFonts w:ascii="Aptos" w:hAnsi="Aptos"/>
          <w:i/>
          <w:iCs/>
          <w:lang w:val="fr-FR"/>
        </w:rPr>
      </w:pPr>
      <w:hyperlink r:id="rId12" w:history="1">
        <w:r w:rsidR="00391A75" w:rsidRPr="009F172C">
          <w:rPr>
            <w:rStyle w:val="Hyperlink"/>
            <w:rFonts w:ascii="Aptos" w:hAnsi="Aptos"/>
            <w:i/>
            <w:iCs/>
            <w:lang w:val="fr-FR"/>
          </w:rPr>
          <w:t>https://www.diplomatie.gouv.fr/fr/dossiers-pays/bahrein/presentation-du-bahrein/</w:t>
        </w:r>
      </w:hyperlink>
    </w:p>
    <w:p w14:paraId="64F1A8DB" w14:textId="1B150099" w:rsidR="00391A75" w:rsidRDefault="00E345BC" w:rsidP="00115362">
      <w:pPr>
        <w:jc w:val="both"/>
        <w:rPr>
          <w:rFonts w:ascii="Aptos" w:hAnsi="Aptos"/>
          <w:i/>
          <w:iCs/>
          <w:lang w:val="fr-FR"/>
        </w:rPr>
      </w:pPr>
      <w:hyperlink r:id="rId13" w:history="1">
        <w:r w:rsidR="00BC5A86" w:rsidRPr="00717BE4">
          <w:rPr>
            <w:rStyle w:val="Hyperlink"/>
            <w:rFonts w:ascii="Aptos" w:hAnsi="Aptos"/>
            <w:i/>
            <w:iCs/>
            <w:lang w:val="fr-FR"/>
          </w:rPr>
          <w:t>https://www.tresor.economie.gouv.fr/Pays/BH/situation-economique-et-financiere-decembre-2017</w:t>
        </w:r>
      </w:hyperlink>
    </w:p>
    <w:p w14:paraId="1F09CFB7" w14:textId="77777777" w:rsidR="00BC5A86" w:rsidRPr="009F172C" w:rsidRDefault="00BC5A86" w:rsidP="00115362">
      <w:pPr>
        <w:jc w:val="both"/>
        <w:rPr>
          <w:rFonts w:ascii="Aptos" w:hAnsi="Aptos"/>
          <w:i/>
          <w:iCs/>
          <w:lang w:val="fr-FR"/>
        </w:rPr>
      </w:pPr>
    </w:p>
    <w:sectPr w:rsidR="00BC5A86" w:rsidRPr="009F172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4CDDBAE1" w:rsidR="00AB30FE" w:rsidRDefault="001647E6">
    <w:pPr>
      <w:pStyle w:val="Header"/>
    </w:pPr>
    <w:r>
      <w:rPr>
        <w:noProof/>
      </w:rPr>
      <w:drawing>
        <wp:inline distT="0" distB="0" distL="0" distR="0" wp14:anchorId="582FF22A" wp14:editId="71572E24">
          <wp:extent cx="502920" cy="3017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527" cy="3087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03110"/>
    <w:rsid w:val="0001164B"/>
    <w:rsid w:val="00030E56"/>
    <w:rsid w:val="00036630"/>
    <w:rsid w:val="00043EA6"/>
    <w:rsid w:val="00057EA4"/>
    <w:rsid w:val="0006525C"/>
    <w:rsid w:val="0007589E"/>
    <w:rsid w:val="00090F0A"/>
    <w:rsid w:val="000A167C"/>
    <w:rsid w:val="000B04B1"/>
    <w:rsid w:val="000C60F6"/>
    <w:rsid w:val="000E5546"/>
    <w:rsid w:val="00115362"/>
    <w:rsid w:val="00124387"/>
    <w:rsid w:val="001325A8"/>
    <w:rsid w:val="00142F2F"/>
    <w:rsid w:val="00143A07"/>
    <w:rsid w:val="001443C3"/>
    <w:rsid w:val="00153BEE"/>
    <w:rsid w:val="001647E6"/>
    <w:rsid w:val="00192F59"/>
    <w:rsid w:val="001E3459"/>
    <w:rsid w:val="002233AD"/>
    <w:rsid w:val="0022382D"/>
    <w:rsid w:val="00223B36"/>
    <w:rsid w:val="00240913"/>
    <w:rsid w:val="00267D8C"/>
    <w:rsid w:val="00274C46"/>
    <w:rsid w:val="002A47EE"/>
    <w:rsid w:val="002A65BA"/>
    <w:rsid w:val="002D0290"/>
    <w:rsid w:val="002D29A0"/>
    <w:rsid w:val="002F2BBB"/>
    <w:rsid w:val="00302FEF"/>
    <w:rsid w:val="00314D2E"/>
    <w:rsid w:val="003322FD"/>
    <w:rsid w:val="0033600F"/>
    <w:rsid w:val="0036509C"/>
    <w:rsid w:val="00391A75"/>
    <w:rsid w:val="00396C99"/>
    <w:rsid w:val="003A2E8A"/>
    <w:rsid w:val="0042152F"/>
    <w:rsid w:val="00461EA0"/>
    <w:rsid w:val="00467C70"/>
    <w:rsid w:val="004805A6"/>
    <w:rsid w:val="00480E56"/>
    <w:rsid w:val="004876D5"/>
    <w:rsid w:val="004C51C2"/>
    <w:rsid w:val="004E26CF"/>
    <w:rsid w:val="00506F85"/>
    <w:rsid w:val="00523447"/>
    <w:rsid w:val="00537CD8"/>
    <w:rsid w:val="005635FB"/>
    <w:rsid w:val="00590644"/>
    <w:rsid w:val="00593C5A"/>
    <w:rsid w:val="005A4DA9"/>
    <w:rsid w:val="005A5631"/>
    <w:rsid w:val="005B27AF"/>
    <w:rsid w:val="005C1DC6"/>
    <w:rsid w:val="005D1EB4"/>
    <w:rsid w:val="005E3DA6"/>
    <w:rsid w:val="005F5744"/>
    <w:rsid w:val="0060735C"/>
    <w:rsid w:val="00621D0C"/>
    <w:rsid w:val="00635634"/>
    <w:rsid w:val="00640E2A"/>
    <w:rsid w:val="00662A00"/>
    <w:rsid w:val="00677E24"/>
    <w:rsid w:val="00692DDB"/>
    <w:rsid w:val="0069574D"/>
    <w:rsid w:val="006C0B85"/>
    <w:rsid w:val="006C2ED1"/>
    <w:rsid w:val="006F2D32"/>
    <w:rsid w:val="006F3365"/>
    <w:rsid w:val="0070755E"/>
    <w:rsid w:val="00744CF6"/>
    <w:rsid w:val="0074557D"/>
    <w:rsid w:val="00747BC8"/>
    <w:rsid w:val="0076587B"/>
    <w:rsid w:val="007971CE"/>
    <w:rsid w:val="007B4D9F"/>
    <w:rsid w:val="007E75A5"/>
    <w:rsid w:val="007F2255"/>
    <w:rsid w:val="00802699"/>
    <w:rsid w:val="0081788C"/>
    <w:rsid w:val="00824697"/>
    <w:rsid w:val="00825AEC"/>
    <w:rsid w:val="008525F9"/>
    <w:rsid w:val="0086661E"/>
    <w:rsid w:val="008A770D"/>
    <w:rsid w:val="008B2348"/>
    <w:rsid w:val="008C76C2"/>
    <w:rsid w:val="008D4304"/>
    <w:rsid w:val="008F7262"/>
    <w:rsid w:val="009673CE"/>
    <w:rsid w:val="009741B6"/>
    <w:rsid w:val="009827F8"/>
    <w:rsid w:val="009B5EF7"/>
    <w:rsid w:val="009D4304"/>
    <w:rsid w:val="009E07B2"/>
    <w:rsid w:val="009E63C0"/>
    <w:rsid w:val="009F172C"/>
    <w:rsid w:val="00A15026"/>
    <w:rsid w:val="00A27165"/>
    <w:rsid w:val="00A31D7D"/>
    <w:rsid w:val="00A6733E"/>
    <w:rsid w:val="00A918D2"/>
    <w:rsid w:val="00A963D3"/>
    <w:rsid w:val="00A973C3"/>
    <w:rsid w:val="00AA37BB"/>
    <w:rsid w:val="00AA7FC2"/>
    <w:rsid w:val="00AB30FE"/>
    <w:rsid w:val="00AE337F"/>
    <w:rsid w:val="00AE5321"/>
    <w:rsid w:val="00B01E7E"/>
    <w:rsid w:val="00B157A4"/>
    <w:rsid w:val="00B23108"/>
    <w:rsid w:val="00B23986"/>
    <w:rsid w:val="00B26765"/>
    <w:rsid w:val="00B424E7"/>
    <w:rsid w:val="00B43B01"/>
    <w:rsid w:val="00B45CEC"/>
    <w:rsid w:val="00B46731"/>
    <w:rsid w:val="00B47F8F"/>
    <w:rsid w:val="00B63AAF"/>
    <w:rsid w:val="00B81B03"/>
    <w:rsid w:val="00BB2D32"/>
    <w:rsid w:val="00BC5A86"/>
    <w:rsid w:val="00BC6E91"/>
    <w:rsid w:val="00BD7EC9"/>
    <w:rsid w:val="00BE29F7"/>
    <w:rsid w:val="00BE6467"/>
    <w:rsid w:val="00BF6768"/>
    <w:rsid w:val="00C1457A"/>
    <w:rsid w:val="00C37949"/>
    <w:rsid w:val="00C43246"/>
    <w:rsid w:val="00C45DAE"/>
    <w:rsid w:val="00C530FB"/>
    <w:rsid w:val="00C71EC2"/>
    <w:rsid w:val="00C81BBF"/>
    <w:rsid w:val="00C82883"/>
    <w:rsid w:val="00C900A1"/>
    <w:rsid w:val="00C9110D"/>
    <w:rsid w:val="00C91D01"/>
    <w:rsid w:val="00C92E45"/>
    <w:rsid w:val="00C936E0"/>
    <w:rsid w:val="00C94FA3"/>
    <w:rsid w:val="00CB5064"/>
    <w:rsid w:val="00CB6A35"/>
    <w:rsid w:val="00CD0561"/>
    <w:rsid w:val="00D20C7E"/>
    <w:rsid w:val="00D72A21"/>
    <w:rsid w:val="00D81DB1"/>
    <w:rsid w:val="00DA1B7B"/>
    <w:rsid w:val="00DB504D"/>
    <w:rsid w:val="00DD26CE"/>
    <w:rsid w:val="00E345BC"/>
    <w:rsid w:val="00E3792E"/>
    <w:rsid w:val="00E461CE"/>
    <w:rsid w:val="00E52296"/>
    <w:rsid w:val="00E53144"/>
    <w:rsid w:val="00E62FA2"/>
    <w:rsid w:val="00E6335F"/>
    <w:rsid w:val="00E80D31"/>
    <w:rsid w:val="00EC1560"/>
    <w:rsid w:val="00EC51C4"/>
    <w:rsid w:val="00EC5D36"/>
    <w:rsid w:val="00ED6BB5"/>
    <w:rsid w:val="00EE0511"/>
    <w:rsid w:val="00EE137B"/>
    <w:rsid w:val="00EE67A7"/>
    <w:rsid w:val="00F00F23"/>
    <w:rsid w:val="00F064BB"/>
    <w:rsid w:val="00F14014"/>
    <w:rsid w:val="00F3116E"/>
    <w:rsid w:val="00F513F4"/>
    <w:rsid w:val="00F65993"/>
    <w:rsid w:val="00F76BDB"/>
    <w:rsid w:val="00F81436"/>
    <w:rsid w:val="00F9337A"/>
    <w:rsid w:val="00FB1B23"/>
    <w:rsid w:val="00FB7CC7"/>
    <w:rsid w:val="00FC57CD"/>
    <w:rsid w:val="00FE2C9F"/>
    <w:rsid w:val="00FE4A4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 w:type="paragraph" w:styleId="Caption">
    <w:name w:val="caption"/>
    <w:basedOn w:val="Normal"/>
    <w:next w:val="Normal"/>
    <w:uiPriority w:val="35"/>
    <w:unhideWhenUsed/>
    <w:qFormat/>
    <w:rsid w:val="00C91D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384209">
      <w:bodyDiv w:val="1"/>
      <w:marLeft w:val="0"/>
      <w:marRight w:val="0"/>
      <w:marTop w:val="0"/>
      <w:marBottom w:val="0"/>
      <w:divBdr>
        <w:top w:val="none" w:sz="0" w:space="0" w:color="auto"/>
        <w:left w:val="none" w:sz="0" w:space="0" w:color="auto"/>
        <w:bottom w:val="none" w:sz="0" w:space="0" w:color="auto"/>
        <w:right w:val="none" w:sz="0" w:space="0" w:color="auto"/>
      </w:divBdr>
      <w:divsChild>
        <w:div w:id="269090954">
          <w:marLeft w:val="0"/>
          <w:marRight w:val="0"/>
          <w:marTop w:val="0"/>
          <w:marBottom w:val="0"/>
          <w:divBdr>
            <w:top w:val="none" w:sz="0" w:space="0" w:color="auto"/>
            <w:left w:val="none" w:sz="0" w:space="0" w:color="auto"/>
            <w:bottom w:val="none" w:sz="0" w:space="0" w:color="auto"/>
            <w:right w:val="none" w:sz="0" w:space="0" w:color="auto"/>
          </w:divBdr>
        </w:div>
        <w:div w:id="688918683">
          <w:marLeft w:val="0"/>
          <w:marRight w:val="0"/>
          <w:marTop w:val="0"/>
          <w:marBottom w:val="0"/>
          <w:divBdr>
            <w:top w:val="none" w:sz="0" w:space="0" w:color="auto"/>
            <w:left w:val="none" w:sz="0" w:space="0" w:color="auto"/>
            <w:bottom w:val="none" w:sz="0" w:space="0" w:color="auto"/>
            <w:right w:val="none" w:sz="0" w:space="0" w:color="auto"/>
          </w:divBdr>
        </w:div>
        <w:div w:id="95449610">
          <w:marLeft w:val="0"/>
          <w:marRight w:val="0"/>
          <w:marTop w:val="0"/>
          <w:marBottom w:val="0"/>
          <w:divBdr>
            <w:top w:val="none" w:sz="0" w:space="0" w:color="auto"/>
            <w:left w:val="none" w:sz="0" w:space="0" w:color="auto"/>
            <w:bottom w:val="none" w:sz="0" w:space="0" w:color="auto"/>
            <w:right w:val="none" w:sz="0" w:space="0" w:color="auto"/>
          </w:divBdr>
        </w:div>
        <w:div w:id="51851504">
          <w:marLeft w:val="0"/>
          <w:marRight w:val="0"/>
          <w:marTop w:val="0"/>
          <w:marBottom w:val="0"/>
          <w:divBdr>
            <w:top w:val="none" w:sz="0" w:space="0" w:color="auto"/>
            <w:left w:val="none" w:sz="0" w:space="0" w:color="auto"/>
            <w:bottom w:val="none" w:sz="0" w:space="0" w:color="auto"/>
            <w:right w:val="none" w:sz="0" w:space="0" w:color="auto"/>
          </w:divBdr>
        </w:div>
        <w:div w:id="161627010">
          <w:marLeft w:val="0"/>
          <w:marRight w:val="0"/>
          <w:marTop w:val="0"/>
          <w:marBottom w:val="0"/>
          <w:divBdr>
            <w:top w:val="none" w:sz="0" w:space="0" w:color="auto"/>
            <w:left w:val="none" w:sz="0" w:space="0" w:color="auto"/>
            <w:bottom w:val="none" w:sz="0" w:space="0" w:color="auto"/>
            <w:right w:val="none" w:sz="0" w:space="0" w:color="auto"/>
          </w:divBdr>
        </w:div>
        <w:div w:id="308293421">
          <w:marLeft w:val="0"/>
          <w:marRight w:val="0"/>
          <w:marTop w:val="0"/>
          <w:marBottom w:val="0"/>
          <w:divBdr>
            <w:top w:val="none" w:sz="0" w:space="0" w:color="auto"/>
            <w:left w:val="none" w:sz="0" w:space="0" w:color="auto"/>
            <w:bottom w:val="none" w:sz="0" w:space="0" w:color="auto"/>
            <w:right w:val="none" w:sz="0" w:space="0" w:color="auto"/>
          </w:divBdr>
        </w:div>
        <w:div w:id="2033919290">
          <w:marLeft w:val="0"/>
          <w:marRight w:val="0"/>
          <w:marTop w:val="0"/>
          <w:marBottom w:val="0"/>
          <w:divBdr>
            <w:top w:val="none" w:sz="0" w:space="0" w:color="auto"/>
            <w:left w:val="none" w:sz="0" w:space="0" w:color="auto"/>
            <w:bottom w:val="none" w:sz="0" w:space="0" w:color="auto"/>
            <w:right w:val="none" w:sz="0" w:space="0" w:color="auto"/>
          </w:divBdr>
        </w:div>
        <w:div w:id="665324275">
          <w:marLeft w:val="0"/>
          <w:marRight w:val="0"/>
          <w:marTop w:val="0"/>
          <w:marBottom w:val="0"/>
          <w:divBdr>
            <w:top w:val="none" w:sz="0" w:space="0" w:color="auto"/>
            <w:left w:val="none" w:sz="0" w:space="0" w:color="auto"/>
            <w:bottom w:val="none" w:sz="0" w:space="0" w:color="auto"/>
            <w:right w:val="none" w:sz="0" w:space="0" w:color="auto"/>
          </w:divBdr>
        </w:div>
        <w:div w:id="584726416">
          <w:marLeft w:val="0"/>
          <w:marRight w:val="0"/>
          <w:marTop w:val="0"/>
          <w:marBottom w:val="0"/>
          <w:divBdr>
            <w:top w:val="none" w:sz="0" w:space="0" w:color="auto"/>
            <w:left w:val="none" w:sz="0" w:space="0" w:color="auto"/>
            <w:bottom w:val="none" w:sz="0" w:space="0" w:color="auto"/>
            <w:right w:val="none" w:sz="0" w:space="0" w:color="auto"/>
          </w:divBdr>
        </w:div>
        <w:div w:id="906649320">
          <w:marLeft w:val="0"/>
          <w:marRight w:val="0"/>
          <w:marTop w:val="0"/>
          <w:marBottom w:val="0"/>
          <w:divBdr>
            <w:top w:val="none" w:sz="0" w:space="0" w:color="auto"/>
            <w:left w:val="none" w:sz="0" w:space="0" w:color="auto"/>
            <w:bottom w:val="none" w:sz="0" w:space="0" w:color="auto"/>
            <w:right w:val="none" w:sz="0" w:space="0" w:color="auto"/>
          </w:divBdr>
        </w:div>
        <w:div w:id="342509835">
          <w:marLeft w:val="0"/>
          <w:marRight w:val="0"/>
          <w:marTop w:val="0"/>
          <w:marBottom w:val="0"/>
          <w:divBdr>
            <w:top w:val="none" w:sz="0" w:space="0" w:color="auto"/>
            <w:left w:val="none" w:sz="0" w:space="0" w:color="auto"/>
            <w:bottom w:val="none" w:sz="0" w:space="0" w:color="auto"/>
            <w:right w:val="none" w:sz="0" w:space="0" w:color="auto"/>
          </w:divBdr>
        </w:div>
        <w:div w:id="1470047305">
          <w:marLeft w:val="0"/>
          <w:marRight w:val="0"/>
          <w:marTop w:val="0"/>
          <w:marBottom w:val="0"/>
          <w:divBdr>
            <w:top w:val="none" w:sz="0" w:space="0" w:color="auto"/>
            <w:left w:val="none" w:sz="0" w:space="0" w:color="auto"/>
            <w:bottom w:val="none" w:sz="0" w:space="0" w:color="auto"/>
            <w:right w:val="none" w:sz="0" w:space="0" w:color="auto"/>
          </w:divBdr>
        </w:div>
        <w:div w:id="638342917">
          <w:marLeft w:val="0"/>
          <w:marRight w:val="0"/>
          <w:marTop w:val="0"/>
          <w:marBottom w:val="0"/>
          <w:divBdr>
            <w:top w:val="none" w:sz="0" w:space="0" w:color="auto"/>
            <w:left w:val="none" w:sz="0" w:space="0" w:color="auto"/>
            <w:bottom w:val="none" w:sz="0" w:space="0" w:color="auto"/>
            <w:right w:val="none" w:sz="0" w:space="0" w:color="auto"/>
          </w:divBdr>
        </w:div>
        <w:div w:id="2074306501">
          <w:marLeft w:val="0"/>
          <w:marRight w:val="0"/>
          <w:marTop w:val="0"/>
          <w:marBottom w:val="0"/>
          <w:divBdr>
            <w:top w:val="none" w:sz="0" w:space="0" w:color="auto"/>
            <w:left w:val="none" w:sz="0" w:space="0" w:color="auto"/>
            <w:bottom w:val="none" w:sz="0" w:space="0" w:color="auto"/>
            <w:right w:val="none" w:sz="0" w:space="0" w:color="auto"/>
          </w:divBdr>
        </w:div>
        <w:div w:id="603850514">
          <w:marLeft w:val="0"/>
          <w:marRight w:val="0"/>
          <w:marTop w:val="0"/>
          <w:marBottom w:val="0"/>
          <w:divBdr>
            <w:top w:val="none" w:sz="0" w:space="0" w:color="auto"/>
            <w:left w:val="none" w:sz="0" w:space="0" w:color="auto"/>
            <w:bottom w:val="none" w:sz="0" w:space="0" w:color="auto"/>
            <w:right w:val="none" w:sz="0" w:space="0" w:color="auto"/>
          </w:divBdr>
        </w:div>
        <w:div w:id="1324626177">
          <w:marLeft w:val="0"/>
          <w:marRight w:val="0"/>
          <w:marTop w:val="0"/>
          <w:marBottom w:val="0"/>
          <w:divBdr>
            <w:top w:val="none" w:sz="0" w:space="0" w:color="auto"/>
            <w:left w:val="none" w:sz="0" w:space="0" w:color="auto"/>
            <w:bottom w:val="none" w:sz="0" w:space="0" w:color="auto"/>
            <w:right w:val="none" w:sz="0" w:space="0" w:color="auto"/>
          </w:divBdr>
        </w:div>
        <w:div w:id="412162127">
          <w:marLeft w:val="0"/>
          <w:marRight w:val="0"/>
          <w:marTop w:val="0"/>
          <w:marBottom w:val="0"/>
          <w:divBdr>
            <w:top w:val="none" w:sz="0" w:space="0" w:color="auto"/>
            <w:left w:val="none" w:sz="0" w:space="0" w:color="auto"/>
            <w:bottom w:val="none" w:sz="0" w:space="0" w:color="auto"/>
            <w:right w:val="none" w:sz="0" w:space="0" w:color="auto"/>
          </w:divBdr>
        </w:div>
        <w:div w:id="555624060">
          <w:marLeft w:val="0"/>
          <w:marRight w:val="0"/>
          <w:marTop w:val="0"/>
          <w:marBottom w:val="0"/>
          <w:divBdr>
            <w:top w:val="none" w:sz="0" w:space="0" w:color="auto"/>
            <w:left w:val="none" w:sz="0" w:space="0" w:color="auto"/>
            <w:bottom w:val="none" w:sz="0" w:space="0" w:color="auto"/>
            <w:right w:val="none" w:sz="0" w:space="0" w:color="auto"/>
          </w:divBdr>
        </w:div>
        <w:div w:id="1866861801">
          <w:marLeft w:val="0"/>
          <w:marRight w:val="0"/>
          <w:marTop w:val="0"/>
          <w:marBottom w:val="0"/>
          <w:divBdr>
            <w:top w:val="none" w:sz="0" w:space="0" w:color="auto"/>
            <w:left w:val="none" w:sz="0" w:space="0" w:color="auto"/>
            <w:bottom w:val="none" w:sz="0" w:space="0" w:color="auto"/>
            <w:right w:val="none" w:sz="0" w:space="0" w:color="auto"/>
          </w:divBdr>
        </w:div>
        <w:div w:id="1163475416">
          <w:marLeft w:val="0"/>
          <w:marRight w:val="0"/>
          <w:marTop w:val="0"/>
          <w:marBottom w:val="0"/>
          <w:divBdr>
            <w:top w:val="none" w:sz="0" w:space="0" w:color="auto"/>
            <w:left w:val="none" w:sz="0" w:space="0" w:color="auto"/>
            <w:bottom w:val="none" w:sz="0" w:space="0" w:color="auto"/>
            <w:right w:val="none" w:sz="0" w:space="0" w:color="auto"/>
          </w:divBdr>
        </w:div>
        <w:div w:id="887031712">
          <w:marLeft w:val="0"/>
          <w:marRight w:val="0"/>
          <w:marTop w:val="0"/>
          <w:marBottom w:val="0"/>
          <w:divBdr>
            <w:top w:val="none" w:sz="0" w:space="0" w:color="auto"/>
            <w:left w:val="none" w:sz="0" w:space="0" w:color="auto"/>
            <w:bottom w:val="none" w:sz="0" w:space="0" w:color="auto"/>
            <w:right w:val="none" w:sz="0" w:space="0" w:color="auto"/>
          </w:divBdr>
        </w:div>
        <w:div w:id="2085182327">
          <w:marLeft w:val="0"/>
          <w:marRight w:val="0"/>
          <w:marTop w:val="0"/>
          <w:marBottom w:val="0"/>
          <w:divBdr>
            <w:top w:val="none" w:sz="0" w:space="0" w:color="auto"/>
            <w:left w:val="none" w:sz="0" w:space="0" w:color="auto"/>
            <w:bottom w:val="none" w:sz="0" w:space="0" w:color="auto"/>
            <w:right w:val="none" w:sz="0" w:space="0" w:color="auto"/>
          </w:divBdr>
        </w:div>
        <w:div w:id="2137409700">
          <w:marLeft w:val="0"/>
          <w:marRight w:val="0"/>
          <w:marTop w:val="0"/>
          <w:marBottom w:val="0"/>
          <w:divBdr>
            <w:top w:val="none" w:sz="0" w:space="0" w:color="auto"/>
            <w:left w:val="none" w:sz="0" w:space="0" w:color="auto"/>
            <w:bottom w:val="none" w:sz="0" w:space="0" w:color="auto"/>
            <w:right w:val="none" w:sz="0" w:space="0" w:color="auto"/>
          </w:divBdr>
        </w:div>
        <w:div w:id="1700812611">
          <w:marLeft w:val="0"/>
          <w:marRight w:val="0"/>
          <w:marTop w:val="0"/>
          <w:marBottom w:val="0"/>
          <w:divBdr>
            <w:top w:val="none" w:sz="0" w:space="0" w:color="auto"/>
            <w:left w:val="none" w:sz="0" w:space="0" w:color="auto"/>
            <w:bottom w:val="none" w:sz="0" w:space="0" w:color="auto"/>
            <w:right w:val="none" w:sz="0" w:space="0" w:color="auto"/>
          </w:divBdr>
        </w:div>
        <w:div w:id="1186945852">
          <w:marLeft w:val="0"/>
          <w:marRight w:val="0"/>
          <w:marTop w:val="0"/>
          <w:marBottom w:val="0"/>
          <w:divBdr>
            <w:top w:val="none" w:sz="0" w:space="0" w:color="auto"/>
            <w:left w:val="none" w:sz="0" w:space="0" w:color="auto"/>
            <w:bottom w:val="none" w:sz="0" w:space="0" w:color="auto"/>
            <w:right w:val="none" w:sz="0" w:space="0" w:color="auto"/>
          </w:divBdr>
        </w:div>
        <w:div w:id="593317665">
          <w:marLeft w:val="0"/>
          <w:marRight w:val="0"/>
          <w:marTop w:val="0"/>
          <w:marBottom w:val="0"/>
          <w:divBdr>
            <w:top w:val="none" w:sz="0" w:space="0" w:color="auto"/>
            <w:left w:val="none" w:sz="0" w:space="0" w:color="auto"/>
            <w:bottom w:val="none" w:sz="0" w:space="0" w:color="auto"/>
            <w:right w:val="none" w:sz="0" w:space="0" w:color="auto"/>
          </w:divBdr>
        </w:div>
        <w:div w:id="1046954085">
          <w:marLeft w:val="0"/>
          <w:marRight w:val="0"/>
          <w:marTop w:val="0"/>
          <w:marBottom w:val="0"/>
          <w:divBdr>
            <w:top w:val="none" w:sz="0" w:space="0" w:color="auto"/>
            <w:left w:val="none" w:sz="0" w:space="0" w:color="auto"/>
            <w:bottom w:val="none" w:sz="0" w:space="0" w:color="auto"/>
            <w:right w:val="none" w:sz="0" w:space="0" w:color="auto"/>
          </w:divBdr>
        </w:div>
        <w:div w:id="2044359157">
          <w:marLeft w:val="0"/>
          <w:marRight w:val="0"/>
          <w:marTop w:val="0"/>
          <w:marBottom w:val="0"/>
          <w:divBdr>
            <w:top w:val="none" w:sz="0" w:space="0" w:color="auto"/>
            <w:left w:val="none" w:sz="0" w:space="0" w:color="auto"/>
            <w:bottom w:val="none" w:sz="0" w:space="0" w:color="auto"/>
            <w:right w:val="none" w:sz="0" w:space="0" w:color="auto"/>
          </w:divBdr>
        </w:div>
        <w:div w:id="1750886179">
          <w:marLeft w:val="0"/>
          <w:marRight w:val="0"/>
          <w:marTop w:val="0"/>
          <w:marBottom w:val="0"/>
          <w:divBdr>
            <w:top w:val="none" w:sz="0" w:space="0" w:color="auto"/>
            <w:left w:val="none" w:sz="0" w:space="0" w:color="auto"/>
            <w:bottom w:val="none" w:sz="0" w:space="0" w:color="auto"/>
            <w:right w:val="none" w:sz="0" w:space="0" w:color="auto"/>
          </w:divBdr>
        </w:div>
        <w:div w:id="1252086112">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687832775">
          <w:marLeft w:val="0"/>
          <w:marRight w:val="0"/>
          <w:marTop w:val="0"/>
          <w:marBottom w:val="0"/>
          <w:divBdr>
            <w:top w:val="none" w:sz="0" w:space="0" w:color="auto"/>
            <w:left w:val="none" w:sz="0" w:space="0" w:color="auto"/>
            <w:bottom w:val="none" w:sz="0" w:space="0" w:color="auto"/>
            <w:right w:val="none" w:sz="0" w:space="0" w:color="auto"/>
          </w:divBdr>
        </w:div>
        <w:div w:id="1235580944">
          <w:marLeft w:val="0"/>
          <w:marRight w:val="0"/>
          <w:marTop w:val="0"/>
          <w:marBottom w:val="0"/>
          <w:divBdr>
            <w:top w:val="none" w:sz="0" w:space="0" w:color="auto"/>
            <w:left w:val="none" w:sz="0" w:space="0" w:color="auto"/>
            <w:bottom w:val="none" w:sz="0" w:space="0" w:color="auto"/>
            <w:right w:val="none" w:sz="0" w:space="0" w:color="auto"/>
          </w:divBdr>
        </w:div>
        <w:div w:id="853612751">
          <w:marLeft w:val="0"/>
          <w:marRight w:val="0"/>
          <w:marTop w:val="0"/>
          <w:marBottom w:val="0"/>
          <w:divBdr>
            <w:top w:val="none" w:sz="0" w:space="0" w:color="auto"/>
            <w:left w:val="none" w:sz="0" w:space="0" w:color="auto"/>
            <w:bottom w:val="none" w:sz="0" w:space="0" w:color="auto"/>
            <w:right w:val="none" w:sz="0" w:space="0" w:color="auto"/>
          </w:divBdr>
        </w:div>
        <w:div w:id="1383402647">
          <w:marLeft w:val="0"/>
          <w:marRight w:val="0"/>
          <w:marTop w:val="0"/>
          <w:marBottom w:val="0"/>
          <w:divBdr>
            <w:top w:val="none" w:sz="0" w:space="0" w:color="auto"/>
            <w:left w:val="none" w:sz="0" w:space="0" w:color="auto"/>
            <w:bottom w:val="none" w:sz="0" w:space="0" w:color="auto"/>
            <w:right w:val="none" w:sz="0" w:space="0" w:color="auto"/>
          </w:divBdr>
        </w:div>
        <w:div w:id="396323365">
          <w:marLeft w:val="0"/>
          <w:marRight w:val="0"/>
          <w:marTop w:val="0"/>
          <w:marBottom w:val="0"/>
          <w:divBdr>
            <w:top w:val="none" w:sz="0" w:space="0" w:color="auto"/>
            <w:left w:val="none" w:sz="0" w:space="0" w:color="auto"/>
            <w:bottom w:val="none" w:sz="0" w:space="0" w:color="auto"/>
            <w:right w:val="none" w:sz="0" w:space="0" w:color="auto"/>
          </w:divBdr>
        </w:div>
        <w:div w:id="699236336">
          <w:marLeft w:val="0"/>
          <w:marRight w:val="0"/>
          <w:marTop w:val="0"/>
          <w:marBottom w:val="0"/>
          <w:divBdr>
            <w:top w:val="none" w:sz="0" w:space="0" w:color="auto"/>
            <w:left w:val="none" w:sz="0" w:space="0" w:color="auto"/>
            <w:bottom w:val="none" w:sz="0" w:space="0" w:color="auto"/>
            <w:right w:val="none" w:sz="0" w:space="0" w:color="auto"/>
          </w:divBdr>
        </w:div>
        <w:div w:id="1153568296">
          <w:marLeft w:val="0"/>
          <w:marRight w:val="0"/>
          <w:marTop w:val="0"/>
          <w:marBottom w:val="0"/>
          <w:divBdr>
            <w:top w:val="none" w:sz="0" w:space="0" w:color="auto"/>
            <w:left w:val="none" w:sz="0" w:space="0" w:color="auto"/>
            <w:bottom w:val="none" w:sz="0" w:space="0" w:color="auto"/>
            <w:right w:val="none" w:sz="0" w:space="0" w:color="auto"/>
          </w:divBdr>
        </w:div>
        <w:div w:id="541282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esor.economie.gouv.fr/Pays/BH/situation-economique-et-financiere-decembre-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plomatie.gouv.fr/fr/dossiers-pays/bahrein/presentation-du-bahre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face.com/fr/actualites-economie-conseils-d-experts/tableau-de-bord-des-risques-economiques/fiches-risques-pays/bah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sclosure.spglobal.com/ratings/en/regulatory/article/-/view/type/HTML/id/3183128" TargetMode="External"/><Relationship Id="rId4" Type="http://schemas.openxmlformats.org/officeDocument/2006/relationships/settings" Target="settings.xml"/><Relationship Id="rId9" Type="http://schemas.openxmlformats.org/officeDocument/2006/relationships/hyperlink" Target="https://app.fitchconnect.com/article/RPT_1026439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877E-3745-4131-AB99-17E003CD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5</Pages>
  <Words>1513</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40</cp:revision>
  <dcterms:created xsi:type="dcterms:W3CDTF">2024-05-27T07:45:00Z</dcterms:created>
  <dcterms:modified xsi:type="dcterms:W3CDTF">2024-07-26T11:46:00Z</dcterms:modified>
</cp:coreProperties>
</file>