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4CC4A" w14:textId="77777777" w:rsidR="006A6814" w:rsidRPr="00AF3E63" w:rsidRDefault="004432FE" w:rsidP="004432FE">
      <w:pPr>
        <w:tabs>
          <w:tab w:val="left" w:pos="3969"/>
        </w:tabs>
        <w:spacing w:after="0"/>
        <w:rPr>
          <w:rFonts w:ascii="Arial" w:hAnsi="Arial" w:cs="Arial"/>
        </w:rPr>
      </w:pPr>
      <w:r w:rsidRPr="00AF3E63">
        <w:rPr>
          <w:rFonts w:ascii="Arial" w:hAnsi="Arial" w:cs="Arial"/>
        </w:rPr>
        <w:tab/>
      </w:r>
    </w:p>
    <w:tbl>
      <w:tblPr>
        <w:tblStyle w:val="Grilledutableau"/>
        <w:tblW w:w="9214" w:type="dxa"/>
        <w:tblLook w:val="04A0" w:firstRow="1" w:lastRow="0" w:firstColumn="1" w:lastColumn="0" w:noHBand="0" w:noVBand="1"/>
      </w:tblPr>
      <w:tblGrid>
        <w:gridCol w:w="5103"/>
        <w:gridCol w:w="3959"/>
        <w:gridCol w:w="152"/>
      </w:tblGrid>
      <w:tr w:rsidR="006A6814" w:rsidRPr="005C5173" w14:paraId="3F8B0232" w14:textId="77777777" w:rsidTr="0057751A">
        <w:tc>
          <w:tcPr>
            <w:tcW w:w="5103" w:type="dxa"/>
            <w:tcBorders>
              <w:top w:val="nil"/>
              <w:left w:val="nil"/>
              <w:bottom w:val="nil"/>
              <w:right w:val="nil"/>
            </w:tcBorders>
          </w:tcPr>
          <w:p w14:paraId="0BFE0C47" w14:textId="77777777" w:rsidR="00AF3E63" w:rsidRPr="005C5173" w:rsidRDefault="006A6814" w:rsidP="006A6814">
            <w:pPr>
              <w:tabs>
                <w:tab w:val="left" w:pos="3969"/>
              </w:tabs>
              <w:rPr>
                <w:rFonts w:ascii="Segoe UI" w:eastAsia="SimSun" w:hAnsi="Segoe UI" w:cs="Segoe UI"/>
                <w:b/>
                <w:color w:val="000000" w:themeColor="text1"/>
                <w:lang w:eastAsia="ja-JP"/>
              </w:rPr>
            </w:pPr>
            <w:r w:rsidRPr="005C5173">
              <w:rPr>
                <w:rFonts w:ascii="Segoe UI" w:eastAsia="SimSun" w:hAnsi="Segoe UI" w:cs="Segoe UI"/>
                <w:b/>
                <w:color w:val="000000" w:themeColor="text1"/>
                <w:lang w:eastAsia="ja-JP"/>
              </w:rPr>
              <w:t xml:space="preserve">  </w:t>
            </w:r>
          </w:p>
          <w:p w14:paraId="5511A3C8" w14:textId="77777777" w:rsidR="00AF3E63" w:rsidRPr="00963B41" w:rsidRDefault="006A6814" w:rsidP="0057751A">
            <w:pPr>
              <w:tabs>
                <w:tab w:val="left" w:pos="3969"/>
              </w:tabs>
              <w:rPr>
                <w:rFonts w:ascii="Segoe UI" w:eastAsia="SimSun" w:hAnsi="Segoe UI" w:cs="Segoe UI"/>
                <w:b/>
                <w:color w:val="000000" w:themeColor="text1"/>
                <w:sz w:val="20"/>
                <w:lang w:eastAsia="ja-JP"/>
              </w:rPr>
            </w:pPr>
            <w:r w:rsidRPr="00963B41">
              <w:rPr>
                <w:rFonts w:ascii="Segoe UI" w:eastAsia="SimSun" w:hAnsi="Segoe UI" w:cs="Segoe UI"/>
                <w:b/>
                <w:color w:val="000000" w:themeColor="text1"/>
                <w:sz w:val="20"/>
                <w:lang w:eastAsia="ja-JP"/>
              </w:rPr>
              <w:t xml:space="preserve">Ambassade de France </w:t>
            </w:r>
            <w:r w:rsidR="0057751A">
              <w:rPr>
                <w:rFonts w:ascii="Segoe UI" w:eastAsia="SimSun" w:hAnsi="Segoe UI" w:cs="Segoe UI"/>
                <w:b/>
                <w:color w:val="000000" w:themeColor="text1"/>
                <w:sz w:val="20"/>
                <w:lang w:eastAsia="ja-JP"/>
              </w:rPr>
              <w:t>au Koweït</w:t>
            </w:r>
          </w:p>
          <w:p w14:paraId="20C52200" w14:textId="77777777" w:rsidR="006A6814" w:rsidRPr="00963B41" w:rsidRDefault="0057751A" w:rsidP="006A6814">
            <w:pPr>
              <w:tabs>
                <w:tab w:val="left" w:pos="3969"/>
              </w:tabs>
              <w:rPr>
                <w:rFonts w:ascii="Segoe UI" w:eastAsia="SimSun" w:hAnsi="Segoe UI" w:cs="Segoe UI"/>
                <w:b/>
                <w:color w:val="000000" w:themeColor="text1"/>
                <w:sz w:val="20"/>
                <w:lang w:eastAsia="ja-JP"/>
              </w:rPr>
            </w:pPr>
            <w:r>
              <w:rPr>
                <w:rFonts w:ascii="Segoe UI" w:eastAsia="SimSun" w:hAnsi="Segoe UI" w:cs="Segoe UI"/>
                <w:b/>
                <w:color w:val="000000" w:themeColor="text1"/>
                <w:sz w:val="20"/>
                <w:lang w:eastAsia="ja-JP"/>
              </w:rPr>
              <w:t>Service économique de Koweït</w:t>
            </w:r>
          </w:p>
          <w:p w14:paraId="45B61485" w14:textId="77777777" w:rsidR="006A6814" w:rsidRPr="005C5173" w:rsidRDefault="006A6814" w:rsidP="004432FE">
            <w:pPr>
              <w:tabs>
                <w:tab w:val="left" w:pos="3969"/>
              </w:tabs>
              <w:rPr>
                <w:rFonts w:ascii="Segoe UI" w:hAnsi="Segoe UI" w:cs="Segoe UI"/>
              </w:rPr>
            </w:pPr>
          </w:p>
        </w:tc>
        <w:tc>
          <w:tcPr>
            <w:tcW w:w="4111" w:type="dxa"/>
            <w:gridSpan w:val="2"/>
            <w:tcBorders>
              <w:top w:val="nil"/>
              <w:left w:val="nil"/>
              <w:bottom w:val="nil"/>
              <w:right w:val="nil"/>
            </w:tcBorders>
          </w:tcPr>
          <w:p w14:paraId="753E06D5" w14:textId="77777777" w:rsidR="00AF3E63" w:rsidRPr="005C5173" w:rsidRDefault="00AF3E63" w:rsidP="007E6B29">
            <w:pPr>
              <w:tabs>
                <w:tab w:val="left" w:pos="3969"/>
              </w:tabs>
              <w:rPr>
                <w:rFonts w:ascii="Segoe UI" w:eastAsia="SimSun" w:hAnsi="Segoe UI" w:cs="Segoe UI"/>
                <w:color w:val="000000" w:themeColor="text1"/>
                <w:sz w:val="20"/>
                <w:lang w:eastAsia="ja-JP"/>
              </w:rPr>
            </w:pPr>
          </w:p>
          <w:p w14:paraId="67991562" w14:textId="77777777" w:rsidR="003C1760" w:rsidRPr="005C5173" w:rsidRDefault="003C1760" w:rsidP="007E6B29">
            <w:pPr>
              <w:tabs>
                <w:tab w:val="left" w:pos="3969"/>
              </w:tabs>
              <w:rPr>
                <w:rFonts w:ascii="Segoe UI" w:eastAsia="SimSun" w:hAnsi="Segoe UI" w:cs="Segoe UI"/>
                <w:color w:val="000000" w:themeColor="text1"/>
                <w:sz w:val="20"/>
                <w:lang w:eastAsia="ja-JP"/>
              </w:rPr>
            </w:pPr>
          </w:p>
          <w:p w14:paraId="76D6421D" w14:textId="36D873ED" w:rsidR="006A6814" w:rsidRPr="005C5173" w:rsidRDefault="00D50735" w:rsidP="00233A6A">
            <w:pPr>
              <w:tabs>
                <w:tab w:val="left" w:pos="3969"/>
              </w:tabs>
              <w:ind w:firstLine="459"/>
              <w:rPr>
                <w:rFonts w:ascii="Segoe UI" w:eastAsia="SimSun" w:hAnsi="Segoe UI" w:cs="Segoe UI"/>
                <w:color w:val="000000" w:themeColor="text1"/>
                <w:sz w:val="20"/>
                <w:lang w:eastAsia="ja-JP"/>
              </w:rPr>
            </w:pPr>
            <w:r>
              <w:rPr>
                <w:rFonts w:ascii="Segoe UI" w:eastAsia="SimSun" w:hAnsi="Segoe UI" w:cs="Segoe UI"/>
                <w:color w:val="000000" w:themeColor="text1"/>
                <w:sz w:val="20"/>
                <w:lang w:eastAsia="ja-JP"/>
              </w:rPr>
              <w:t xml:space="preserve">                 </w:t>
            </w:r>
            <w:r w:rsidR="0025670F">
              <w:rPr>
                <w:rFonts w:ascii="Segoe UI" w:eastAsia="SimSun" w:hAnsi="Segoe UI" w:cs="Segoe UI"/>
                <w:color w:val="000000" w:themeColor="text1"/>
                <w:sz w:val="20"/>
                <w:lang w:eastAsia="ja-JP"/>
              </w:rPr>
              <w:t xml:space="preserve">   </w:t>
            </w:r>
            <w:r w:rsidR="0057751A">
              <w:rPr>
                <w:rFonts w:ascii="Segoe UI" w:eastAsia="SimSun" w:hAnsi="Segoe UI" w:cs="Segoe UI"/>
                <w:color w:val="000000" w:themeColor="text1"/>
                <w:sz w:val="20"/>
                <w:lang w:eastAsia="ja-JP"/>
              </w:rPr>
              <w:t xml:space="preserve">Kuwait City, </w:t>
            </w:r>
            <w:r w:rsidR="00F27B3F">
              <w:rPr>
                <w:rFonts w:ascii="Segoe UI" w:eastAsia="SimSun" w:hAnsi="Segoe UI" w:cs="Segoe UI"/>
                <w:color w:val="000000" w:themeColor="text1"/>
                <w:sz w:val="20"/>
                <w:lang w:eastAsia="ja-JP"/>
              </w:rPr>
              <w:t xml:space="preserve">le </w:t>
            </w:r>
            <w:r w:rsidR="00DD5C33">
              <w:rPr>
                <w:rFonts w:ascii="Segoe UI" w:eastAsia="SimSun" w:hAnsi="Segoe UI" w:cs="Segoe UI"/>
                <w:color w:val="000000" w:themeColor="text1"/>
                <w:sz w:val="20"/>
                <w:lang w:eastAsia="ja-JP"/>
              </w:rPr>
              <w:t>7</w:t>
            </w:r>
            <w:r w:rsidR="0025670F">
              <w:rPr>
                <w:rFonts w:ascii="Segoe UI" w:eastAsia="SimSun" w:hAnsi="Segoe UI" w:cs="Segoe UI"/>
                <w:color w:val="000000" w:themeColor="text1"/>
                <w:sz w:val="20"/>
                <w:lang w:eastAsia="ja-JP"/>
              </w:rPr>
              <w:t xml:space="preserve"> avril</w:t>
            </w:r>
            <w:r w:rsidR="00D4640E">
              <w:rPr>
                <w:rFonts w:ascii="Segoe UI" w:eastAsia="SimSun" w:hAnsi="Segoe UI" w:cs="Segoe UI"/>
                <w:color w:val="000000" w:themeColor="text1"/>
                <w:sz w:val="20"/>
                <w:lang w:eastAsia="ja-JP"/>
              </w:rPr>
              <w:t xml:space="preserve"> 202</w:t>
            </w:r>
            <w:r w:rsidR="00BE541D">
              <w:rPr>
                <w:rFonts w:ascii="Segoe UI" w:eastAsia="SimSun" w:hAnsi="Segoe UI" w:cs="Segoe UI"/>
                <w:color w:val="000000" w:themeColor="text1"/>
                <w:sz w:val="20"/>
                <w:lang w:eastAsia="ja-JP"/>
              </w:rPr>
              <w:t>4</w:t>
            </w:r>
          </w:p>
          <w:p w14:paraId="14B359DC" w14:textId="3FEBAC7F" w:rsidR="006A6814" w:rsidRPr="005C5173" w:rsidRDefault="006A6814" w:rsidP="003C1760">
            <w:pPr>
              <w:tabs>
                <w:tab w:val="left" w:pos="3969"/>
              </w:tabs>
              <w:ind w:firstLine="459"/>
              <w:rPr>
                <w:rFonts w:ascii="Segoe UI" w:hAnsi="Segoe UI" w:cs="Segoe UI"/>
              </w:rPr>
            </w:pPr>
          </w:p>
        </w:tc>
      </w:tr>
      <w:tr w:rsidR="00F37E56" w:rsidRPr="00821B9A" w14:paraId="176D7276" w14:textId="77777777" w:rsidTr="0057751A">
        <w:trPr>
          <w:gridAfter w:val="1"/>
          <w:wAfter w:w="152" w:type="dxa"/>
        </w:trPr>
        <w:tc>
          <w:tcPr>
            <w:tcW w:w="9062" w:type="dxa"/>
            <w:gridSpan w:val="2"/>
            <w:tcBorders>
              <w:top w:val="nil"/>
              <w:left w:val="nil"/>
              <w:bottom w:val="nil"/>
              <w:right w:val="nil"/>
            </w:tcBorders>
          </w:tcPr>
          <w:p w14:paraId="52E0179F" w14:textId="0017E7B5" w:rsidR="00723BCF" w:rsidRPr="00821B9A" w:rsidRDefault="0025670F" w:rsidP="00B50782">
            <w:pPr>
              <w:tabs>
                <w:tab w:val="left" w:pos="3969"/>
                <w:tab w:val="center" w:pos="4423"/>
                <w:tab w:val="right" w:pos="8846"/>
              </w:tabs>
              <w:jc w:val="center"/>
              <w:rPr>
                <w:rFonts w:ascii="Segoe UI" w:eastAsia="Calibri" w:hAnsi="Segoe UI" w:cs="Segoe UI"/>
                <w:color w:val="006CE5"/>
                <w:sz w:val="32"/>
                <w:szCs w:val="32"/>
                <w:lang w:eastAsia="fr-FR"/>
              </w:rPr>
            </w:pPr>
            <w:r>
              <w:rPr>
                <w:rFonts w:ascii="Segoe UI" w:eastAsia="Calibri" w:hAnsi="Segoe UI" w:cs="Segoe UI"/>
                <w:color w:val="006CE5"/>
                <w:sz w:val="32"/>
                <w:szCs w:val="32"/>
                <w:lang w:eastAsia="fr-FR"/>
              </w:rPr>
              <w:t>Cadrage économique et financier</w:t>
            </w:r>
          </w:p>
          <w:p w14:paraId="79F71855" w14:textId="77777777" w:rsidR="00904EBC" w:rsidRPr="00821B9A" w:rsidRDefault="00E7604C" w:rsidP="00723BCF">
            <w:pPr>
              <w:tabs>
                <w:tab w:val="left" w:pos="3969"/>
                <w:tab w:val="center" w:pos="4423"/>
                <w:tab w:val="right" w:pos="8846"/>
              </w:tabs>
              <w:jc w:val="center"/>
              <w:rPr>
                <w:rFonts w:ascii="Segoe UI" w:eastAsia="Calibri" w:hAnsi="Segoe UI" w:cs="Segoe UI"/>
                <w:color w:val="006CE5"/>
                <w:sz w:val="32"/>
                <w:szCs w:val="32"/>
                <w:lang w:eastAsia="fr-FR"/>
              </w:rPr>
            </w:pPr>
            <w:r w:rsidRPr="00821B9A">
              <w:rPr>
                <w:rFonts w:ascii="Segoe UI" w:eastAsia="Calibri" w:hAnsi="Segoe UI" w:cs="Segoe UI"/>
                <w:color w:val="006CE5"/>
                <w:sz w:val="32"/>
                <w:szCs w:val="32"/>
                <w:lang w:eastAsia="fr-FR"/>
              </w:rPr>
              <w:tab/>
            </w:r>
            <w:r w:rsidRPr="00821B9A">
              <w:rPr>
                <w:rFonts w:ascii="Segoe UI" w:eastAsia="Calibri" w:hAnsi="Segoe UI" w:cs="Segoe UI"/>
                <w:color w:val="006CE5"/>
                <w:sz w:val="32"/>
                <w:szCs w:val="32"/>
                <w:lang w:eastAsia="fr-FR"/>
              </w:rPr>
              <w:tab/>
            </w:r>
          </w:p>
        </w:tc>
      </w:tr>
    </w:tbl>
    <w:p w14:paraId="18E23BF6" w14:textId="20444244" w:rsidR="0025670F" w:rsidRDefault="0025670F" w:rsidP="00C60A57">
      <w:pPr>
        <w:jc w:val="both"/>
        <w:rPr>
          <w:rFonts w:ascii="Segoe UI" w:eastAsia="Times New Roman" w:hAnsi="Segoe UI" w:cs="Segoe UI"/>
          <w:sz w:val="23"/>
          <w:szCs w:val="23"/>
          <w:lang w:eastAsia="fr-FR"/>
        </w:rPr>
      </w:pPr>
      <w:r w:rsidRPr="00E375A2">
        <w:rPr>
          <w:rFonts w:ascii="Segoe UI" w:hAnsi="Segoe UI" w:cs="Segoe UI"/>
          <w:noProof/>
          <w:sz w:val="23"/>
          <w:szCs w:val="23"/>
        </w:rPr>
        <mc:AlternateContent>
          <mc:Choice Requires="wps">
            <w:drawing>
              <wp:inline distT="0" distB="0" distL="0" distR="0" wp14:anchorId="75AEE7B1" wp14:editId="6A3E45DF">
                <wp:extent cx="5760720" cy="304800"/>
                <wp:effectExtent l="0" t="0" r="0" b="0"/>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304800"/>
                        </a:xfrm>
                        <a:prstGeom prst="rect">
                          <a:avLst/>
                        </a:prstGeom>
                        <a:solidFill>
                          <a:srgbClr val="006CE5"/>
                        </a:solidFill>
                        <a:ln w="9525">
                          <a:noFill/>
                          <a:miter lim="800000"/>
                          <a:headEnd/>
                          <a:tailEnd/>
                        </a:ln>
                      </wps:spPr>
                      <wps:txbx>
                        <w:txbxContent>
                          <w:p w14:paraId="68BBD409" w14:textId="21D3C2DE" w:rsidR="0025670F" w:rsidRPr="00316304" w:rsidRDefault="0025670F" w:rsidP="0025670F">
                            <w:pPr>
                              <w:pStyle w:val="Paragraphedeliste"/>
                              <w:numPr>
                                <w:ilvl w:val="0"/>
                                <w:numId w:val="8"/>
                              </w:numPr>
                              <w:spacing w:after="160" w:line="259" w:lineRule="auto"/>
                              <w:rPr>
                                <w:rFonts w:ascii="Segoe UI Historic" w:hAnsi="Segoe UI Historic" w:cs="Segoe UI Historic"/>
                                <w:color w:val="FFFFFF" w:themeColor="background1"/>
                                <w:sz w:val="24"/>
                              </w:rPr>
                            </w:pPr>
                            <w:r>
                              <w:rPr>
                                <w:rFonts w:ascii="Segoe UI Historic" w:hAnsi="Segoe UI Historic" w:cs="Segoe UI Historic"/>
                                <w:color w:val="FFFFFF" w:themeColor="background1"/>
                                <w:sz w:val="24"/>
                              </w:rPr>
                              <w:t xml:space="preserve">Cadre général et situation </w:t>
                            </w:r>
                          </w:p>
                        </w:txbxContent>
                      </wps:txbx>
                      <wps:bodyPr rot="0" vert="horz" wrap="square" lIns="91440" tIns="45720" rIns="91440" bIns="45720" anchor="t" anchorCtr="0">
                        <a:noAutofit/>
                      </wps:bodyPr>
                    </wps:wsp>
                  </a:graphicData>
                </a:graphic>
              </wp:inline>
            </w:drawing>
          </mc:Choice>
          <mc:Fallback>
            <w:pict>
              <v:shapetype w14:anchorId="75AEE7B1" id="_x0000_t202" coordsize="21600,21600" o:spt="202" path="m,l,21600r21600,l21600,xe">
                <v:stroke joinstyle="miter"/>
                <v:path gradientshapeok="t" o:connecttype="rect"/>
              </v:shapetype>
              <v:shape id="Zone de texte 2" o:spid="_x0000_s1026" type="#_x0000_t202" style="width:453.6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" fillcolor="#006ce5" stroked="f">
                <v:textbox>
                  <w:txbxContent>
                    <w:p w14:paraId="68BBD409" w14:textId="21D3C2DE" w:rsidR="0025670F" w:rsidRPr="00316304" w:rsidRDefault="0025670F" w:rsidP="0025670F">
                      <w:pPr>
                        <w:pStyle w:val="Paragraphedeliste"/>
                        <w:numPr>
                          <w:ilvl w:val="0"/>
                          <w:numId w:val="8"/>
                        </w:numPr>
                        <w:spacing w:after="160" w:line="259" w:lineRule="auto"/>
                        <w:rPr>
                          <w:rFonts w:ascii="Segoe UI Historic" w:hAnsi="Segoe UI Historic" w:cs="Segoe UI Historic"/>
                          <w:color w:val="FFFFFF" w:themeColor="background1"/>
                          <w:sz w:val="24"/>
                        </w:rPr>
                      </w:pPr>
                      <w:r>
                        <w:rPr>
                          <w:rFonts w:ascii="Segoe UI Historic" w:hAnsi="Segoe UI Historic" w:cs="Segoe UI Historic"/>
                          <w:color w:val="FFFFFF" w:themeColor="background1"/>
                          <w:sz w:val="24"/>
                        </w:rPr>
                        <w:t xml:space="preserve">Cadre général et situation </w:t>
                      </w:r>
                    </w:p>
                  </w:txbxContent>
                </v:textbox>
                <w10:anchorlock/>
              </v:shape>
            </w:pict>
          </mc:Fallback>
        </mc:AlternateContent>
      </w:r>
    </w:p>
    <w:p w14:paraId="6D22431A" w14:textId="77777777" w:rsidR="0025670F" w:rsidRDefault="0025670F" w:rsidP="00C60A57">
      <w:pPr>
        <w:jc w:val="both"/>
        <w:rPr>
          <w:rFonts w:ascii="Segoe UI" w:eastAsia="Times New Roman" w:hAnsi="Segoe UI" w:cs="Segoe UI"/>
          <w:sz w:val="23"/>
          <w:szCs w:val="23"/>
          <w:lang w:eastAsia="fr-FR"/>
        </w:rPr>
      </w:pPr>
    </w:p>
    <w:p w14:paraId="09526CEF" w14:textId="7919234C" w:rsidR="0025670F" w:rsidRPr="00A14260" w:rsidRDefault="0025670F" w:rsidP="0025670F">
      <w:pPr>
        <w:jc w:val="both"/>
        <w:rPr>
          <w:rFonts w:ascii="Segoe UI" w:eastAsia="Times New Roman" w:hAnsi="Segoe UI" w:cs="Segoe UI"/>
          <w:b/>
          <w:bCs/>
          <w:sz w:val="23"/>
          <w:szCs w:val="23"/>
          <w:lang w:eastAsia="fr-FR"/>
        </w:rPr>
      </w:pPr>
      <w:r w:rsidRPr="0040065E">
        <w:rPr>
          <w:rFonts w:ascii="Segoe UI" w:eastAsia="Times New Roman" w:hAnsi="Segoe UI" w:cs="Segoe UI"/>
          <w:sz w:val="23"/>
          <w:szCs w:val="23"/>
          <w:lang w:eastAsia="fr-FR"/>
        </w:rPr>
        <w:t>Avec un PIB estimé en projection à plus de 1</w:t>
      </w:r>
      <w:r w:rsidR="0040065E" w:rsidRPr="0040065E">
        <w:rPr>
          <w:rFonts w:ascii="Segoe UI" w:eastAsia="Times New Roman" w:hAnsi="Segoe UI" w:cs="Segoe UI"/>
          <w:sz w:val="23"/>
          <w:szCs w:val="23"/>
          <w:lang w:eastAsia="fr-FR"/>
        </w:rPr>
        <w:t>60</w:t>
      </w:r>
      <w:r w:rsidRPr="0040065E">
        <w:rPr>
          <w:rFonts w:ascii="Segoe UI" w:eastAsia="Times New Roman" w:hAnsi="Segoe UI" w:cs="Segoe UI"/>
          <w:sz w:val="23"/>
          <w:szCs w:val="23"/>
          <w:lang w:eastAsia="fr-FR"/>
        </w:rPr>
        <w:t xml:space="preserve"> Mds USD en 202</w:t>
      </w:r>
      <w:r w:rsidR="0040065E">
        <w:rPr>
          <w:rFonts w:ascii="Segoe UI" w:eastAsia="Times New Roman" w:hAnsi="Segoe UI" w:cs="Segoe UI"/>
          <w:sz w:val="23"/>
          <w:szCs w:val="23"/>
          <w:lang w:eastAsia="fr-FR"/>
        </w:rPr>
        <w:t>3</w:t>
      </w:r>
      <w:r w:rsidRPr="0040065E">
        <w:rPr>
          <w:rFonts w:ascii="Segoe UI" w:eastAsia="Times New Roman" w:hAnsi="Segoe UI" w:cs="Segoe UI"/>
          <w:sz w:val="23"/>
          <w:szCs w:val="23"/>
          <w:lang w:eastAsia="fr-FR"/>
        </w:rPr>
        <w:t xml:space="preserve"> par le FMI</w:t>
      </w:r>
      <w:r w:rsidRPr="00730505">
        <w:rPr>
          <w:rFonts w:ascii="Segoe UI" w:eastAsia="Times New Roman" w:hAnsi="Segoe UI" w:cs="Segoe UI"/>
          <w:sz w:val="23"/>
          <w:szCs w:val="23"/>
          <w:lang w:eastAsia="fr-FR"/>
        </w:rPr>
        <w:t xml:space="preserve">, </w:t>
      </w:r>
      <w:r w:rsidRPr="001B3E38">
        <w:rPr>
          <w:rFonts w:ascii="Segoe UI" w:eastAsia="Times New Roman" w:hAnsi="Segoe UI" w:cs="Segoe UI"/>
          <w:b/>
          <w:bCs/>
          <w:sz w:val="23"/>
          <w:szCs w:val="23"/>
          <w:lang w:eastAsia="fr-FR"/>
        </w:rPr>
        <w:t>le Koweït est la 59ème économie mondiale</w:t>
      </w:r>
      <w:r w:rsidRPr="00964B61">
        <w:rPr>
          <w:rFonts w:ascii="Segoe UI" w:eastAsia="Times New Roman" w:hAnsi="Segoe UI" w:cs="Segoe UI"/>
          <w:sz w:val="23"/>
          <w:szCs w:val="23"/>
          <w:lang w:eastAsia="fr-FR"/>
        </w:rPr>
        <w:t xml:space="preserve"> derrière l’Algérie et devant le Maroc</w:t>
      </w:r>
      <w:r w:rsidRPr="005A42FC">
        <w:rPr>
          <w:rFonts w:ascii="Segoe UI" w:eastAsia="Times New Roman" w:hAnsi="Segoe UI" w:cs="Segoe UI"/>
          <w:sz w:val="23"/>
          <w:szCs w:val="23"/>
          <w:lang w:eastAsia="fr-FR"/>
        </w:rPr>
        <w:t xml:space="preserve">, et la 4ème économie </w:t>
      </w:r>
      <w:r w:rsidR="005A42FC">
        <w:rPr>
          <w:rFonts w:ascii="Segoe UI" w:eastAsia="Times New Roman" w:hAnsi="Segoe UI" w:cs="Segoe UI"/>
          <w:sz w:val="23"/>
          <w:szCs w:val="23"/>
          <w:lang w:eastAsia="fr-FR"/>
        </w:rPr>
        <w:t>du CCEAG</w:t>
      </w:r>
      <w:r w:rsidRPr="00171C38">
        <w:rPr>
          <w:rFonts w:ascii="Segoe UI" w:eastAsia="Times New Roman" w:hAnsi="Segoe UI" w:cs="Segoe UI"/>
          <w:sz w:val="23"/>
          <w:szCs w:val="23"/>
          <w:lang w:eastAsia="fr-FR"/>
        </w:rPr>
        <w:t>. Son PIB nominal par habitant (3</w:t>
      </w:r>
      <w:r w:rsidR="00021838" w:rsidRPr="00171C38">
        <w:rPr>
          <w:rFonts w:ascii="Segoe UI" w:eastAsia="Times New Roman" w:hAnsi="Segoe UI" w:cs="Segoe UI"/>
          <w:sz w:val="23"/>
          <w:szCs w:val="23"/>
          <w:lang w:eastAsia="fr-FR"/>
        </w:rPr>
        <w:t>2</w:t>
      </w:r>
      <w:r w:rsidRPr="00171C38">
        <w:rPr>
          <w:rFonts w:ascii="Segoe UI" w:eastAsia="Times New Roman" w:hAnsi="Segoe UI" w:cs="Segoe UI"/>
          <w:sz w:val="23"/>
          <w:szCs w:val="23"/>
          <w:lang w:eastAsia="fr-FR"/>
        </w:rPr>
        <w:t xml:space="preserve"> </w:t>
      </w:r>
      <w:r w:rsidR="00021838" w:rsidRPr="00171C38">
        <w:rPr>
          <w:rFonts w:ascii="Segoe UI" w:eastAsia="Times New Roman" w:hAnsi="Segoe UI" w:cs="Segoe UI"/>
          <w:sz w:val="23"/>
          <w:szCs w:val="23"/>
          <w:lang w:eastAsia="fr-FR"/>
        </w:rPr>
        <w:t>215</w:t>
      </w:r>
      <w:r w:rsidRPr="00171C38">
        <w:rPr>
          <w:rFonts w:ascii="Segoe UI" w:eastAsia="Times New Roman" w:hAnsi="Segoe UI" w:cs="Segoe UI"/>
          <w:sz w:val="23"/>
          <w:szCs w:val="23"/>
          <w:lang w:eastAsia="fr-FR"/>
        </w:rPr>
        <w:t xml:space="preserve"> USD en 202</w:t>
      </w:r>
      <w:r w:rsidR="00021838" w:rsidRPr="00171C38">
        <w:rPr>
          <w:rFonts w:ascii="Segoe UI" w:eastAsia="Times New Roman" w:hAnsi="Segoe UI" w:cs="Segoe UI"/>
          <w:sz w:val="23"/>
          <w:szCs w:val="23"/>
          <w:lang w:eastAsia="fr-FR"/>
        </w:rPr>
        <w:t>3</w:t>
      </w:r>
      <w:r w:rsidRPr="00171C38">
        <w:rPr>
          <w:rFonts w:ascii="Segoe UI" w:eastAsia="Times New Roman" w:hAnsi="Segoe UI" w:cs="Segoe UI"/>
          <w:sz w:val="23"/>
          <w:szCs w:val="23"/>
          <w:lang w:eastAsia="fr-FR"/>
        </w:rPr>
        <w:t>) le place au 4</w:t>
      </w:r>
      <w:r w:rsidR="00021838" w:rsidRPr="00171C38">
        <w:rPr>
          <w:rFonts w:ascii="Segoe UI" w:eastAsia="Times New Roman" w:hAnsi="Segoe UI" w:cs="Segoe UI"/>
          <w:sz w:val="23"/>
          <w:szCs w:val="23"/>
          <w:lang w:eastAsia="fr-FR"/>
        </w:rPr>
        <w:t>0</w:t>
      </w:r>
      <w:r w:rsidRPr="00171C38">
        <w:rPr>
          <w:rFonts w:ascii="Segoe UI" w:eastAsia="Times New Roman" w:hAnsi="Segoe UI" w:cs="Segoe UI"/>
          <w:sz w:val="23"/>
          <w:szCs w:val="23"/>
          <w:lang w:eastAsia="fr-FR"/>
        </w:rPr>
        <w:t>ème rang mondial, mais rapporté au nombre de nationaux</w:t>
      </w:r>
      <w:r w:rsidRPr="001B3E38">
        <w:rPr>
          <w:rFonts w:ascii="Segoe UI" w:eastAsia="Times New Roman" w:hAnsi="Segoe UI" w:cs="Segoe UI"/>
          <w:b/>
          <w:bCs/>
          <w:sz w:val="23"/>
          <w:szCs w:val="23"/>
          <w:lang w:eastAsia="fr-FR"/>
        </w:rPr>
        <w:t xml:space="preserve">, il atteindrait près de </w:t>
      </w:r>
      <w:r w:rsidR="00476BDD" w:rsidRPr="001B3E38">
        <w:rPr>
          <w:rFonts w:ascii="Segoe UI" w:eastAsia="Times New Roman" w:hAnsi="Segoe UI" w:cs="Segoe UI"/>
          <w:b/>
          <w:bCs/>
          <w:sz w:val="23"/>
          <w:szCs w:val="23"/>
          <w:lang w:eastAsia="fr-FR"/>
        </w:rPr>
        <w:t xml:space="preserve">103 478 </w:t>
      </w:r>
      <w:r w:rsidRPr="001B3E38">
        <w:rPr>
          <w:rFonts w:ascii="Segoe UI" w:eastAsia="Times New Roman" w:hAnsi="Segoe UI" w:cs="Segoe UI"/>
          <w:b/>
          <w:bCs/>
          <w:sz w:val="23"/>
          <w:szCs w:val="23"/>
          <w:lang w:eastAsia="fr-FR"/>
        </w:rPr>
        <w:t>USD, soit un niveau supérieur à celui d</w:t>
      </w:r>
      <w:r w:rsidR="00476BDD" w:rsidRPr="001B3E38">
        <w:rPr>
          <w:rFonts w:ascii="Segoe UI" w:eastAsia="Times New Roman" w:hAnsi="Segoe UI" w:cs="Segoe UI"/>
          <w:b/>
          <w:bCs/>
          <w:sz w:val="23"/>
          <w:szCs w:val="23"/>
          <w:lang w:eastAsia="fr-FR"/>
        </w:rPr>
        <w:t>es Etats-Unis</w:t>
      </w:r>
      <w:r w:rsidRPr="001B3E38">
        <w:rPr>
          <w:rFonts w:ascii="Segoe UI" w:eastAsia="Times New Roman" w:hAnsi="Segoe UI" w:cs="Segoe UI"/>
          <w:b/>
          <w:bCs/>
          <w:sz w:val="23"/>
          <w:szCs w:val="23"/>
          <w:lang w:eastAsia="fr-FR"/>
        </w:rPr>
        <w:t>.</w:t>
      </w:r>
    </w:p>
    <w:p w14:paraId="499AD78D" w14:textId="546C0E5F" w:rsidR="00A14260" w:rsidRPr="0025670F" w:rsidRDefault="0025670F" w:rsidP="0025670F">
      <w:pPr>
        <w:jc w:val="both"/>
        <w:rPr>
          <w:rFonts w:ascii="Segoe UI" w:eastAsia="Times New Roman" w:hAnsi="Segoe UI" w:cs="Segoe UI"/>
          <w:sz w:val="23"/>
          <w:szCs w:val="23"/>
          <w:highlight w:val="yellow"/>
          <w:lang w:eastAsia="fr-FR"/>
        </w:rPr>
      </w:pPr>
      <w:r w:rsidRPr="00A14260">
        <w:rPr>
          <w:rFonts w:ascii="Segoe UI" w:eastAsia="Times New Roman" w:hAnsi="Segoe UI" w:cs="Segoe UI"/>
          <w:b/>
          <w:bCs/>
          <w:sz w:val="23"/>
          <w:szCs w:val="23"/>
          <w:lang w:eastAsia="fr-FR"/>
        </w:rPr>
        <w:t>Le modèle économique du pays est particulièrement dépendant des hydrocarbures (101,5 Mds b de réserves prouvées, 6ième rang mondial).</w:t>
      </w:r>
      <w:r w:rsidRPr="00B72B51">
        <w:rPr>
          <w:rFonts w:ascii="Segoe UI" w:eastAsia="Times New Roman" w:hAnsi="Segoe UI" w:cs="Segoe UI"/>
          <w:sz w:val="23"/>
          <w:szCs w:val="23"/>
          <w:lang w:eastAsia="fr-FR"/>
        </w:rPr>
        <w:t xml:space="preserve"> </w:t>
      </w:r>
      <w:r w:rsidRPr="0025670F">
        <w:rPr>
          <w:rFonts w:ascii="Segoe UI" w:eastAsia="Times New Roman" w:hAnsi="Segoe UI" w:cs="Segoe UI"/>
          <w:sz w:val="23"/>
          <w:szCs w:val="23"/>
          <w:lang w:eastAsia="fr-FR"/>
        </w:rPr>
        <w:t xml:space="preserve">La découverte, l’extraction (1938), l’exportation (1946) et la nationalisation (1975) précoces du pétrole ont permis au Koweït de consolider un pacte politique original dans la région (monarchie constitutionnelle et représentative) en développant un Etat-providence très généreux. Ce système assure, à travers un secteur public pléthorique </w:t>
      </w:r>
      <w:r w:rsidRPr="001C2DF7">
        <w:rPr>
          <w:rFonts w:ascii="Segoe UI" w:eastAsia="Times New Roman" w:hAnsi="Segoe UI" w:cs="Segoe UI"/>
          <w:sz w:val="23"/>
          <w:szCs w:val="23"/>
          <w:lang w:eastAsia="fr-FR"/>
        </w:rPr>
        <w:t xml:space="preserve">(55% du PIB </w:t>
      </w:r>
      <w:r w:rsidRPr="00CB15FB">
        <w:rPr>
          <w:rFonts w:ascii="Segoe UI" w:eastAsia="Times New Roman" w:hAnsi="Segoe UI" w:cs="Segoe UI"/>
          <w:sz w:val="23"/>
          <w:szCs w:val="23"/>
          <w:lang w:eastAsia="fr-FR"/>
        </w:rPr>
        <w:t>et plus de 80 % de l’emploi koweïtien salarié),</w:t>
      </w:r>
      <w:r w:rsidRPr="00DF3AAD">
        <w:rPr>
          <w:rFonts w:ascii="Segoe UI" w:eastAsia="Times New Roman" w:hAnsi="Segoe UI" w:cs="Segoe UI"/>
          <w:sz w:val="23"/>
          <w:szCs w:val="23"/>
          <w:lang w:eastAsia="fr-FR"/>
        </w:rPr>
        <w:t xml:space="preserve"> un niveau de vie très élevé à 1,</w:t>
      </w:r>
      <w:r w:rsidR="00DF3AAD" w:rsidRPr="00DF3AAD">
        <w:rPr>
          <w:rFonts w:ascii="Segoe UI" w:eastAsia="Times New Roman" w:hAnsi="Segoe UI" w:cs="Segoe UI"/>
          <w:sz w:val="23"/>
          <w:szCs w:val="23"/>
          <w:lang w:eastAsia="fr-FR"/>
        </w:rPr>
        <w:t>54</w:t>
      </w:r>
      <w:r w:rsidRPr="00DF3AAD">
        <w:rPr>
          <w:rFonts w:ascii="Segoe UI" w:eastAsia="Times New Roman" w:hAnsi="Segoe UI" w:cs="Segoe UI"/>
          <w:sz w:val="23"/>
          <w:szCs w:val="23"/>
          <w:lang w:eastAsia="fr-FR"/>
        </w:rPr>
        <w:t xml:space="preserve"> million de citoyens.</w:t>
      </w:r>
      <w:r w:rsidRPr="0025670F">
        <w:rPr>
          <w:rFonts w:ascii="Segoe UI" w:eastAsia="Times New Roman" w:hAnsi="Segoe UI" w:cs="Segoe UI"/>
          <w:sz w:val="23"/>
          <w:szCs w:val="23"/>
          <w:highlight w:val="yellow"/>
          <w:lang w:eastAsia="fr-FR"/>
        </w:rPr>
        <w:t xml:space="preserve"> </w:t>
      </w:r>
    </w:p>
    <w:p w14:paraId="6C6D88B9" w14:textId="72A9E333" w:rsidR="004834FC" w:rsidRPr="0025670F" w:rsidRDefault="0025670F" w:rsidP="004834FC">
      <w:pPr>
        <w:jc w:val="both"/>
        <w:rPr>
          <w:rFonts w:ascii="Segoe UI" w:eastAsia="Times New Roman" w:hAnsi="Segoe UI" w:cs="Segoe UI"/>
          <w:sz w:val="23"/>
          <w:szCs w:val="23"/>
          <w:highlight w:val="yellow"/>
          <w:lang w:eastAsia="fr-FR"/>
        </w:rPr>
      </w:pPr>
      <w:r w:rsidRPr="00B433F1">
        <w:rPr>
          <w:rFonts w:ascii="Segoe UI" w:eastAsia="Times New Roman" w:hAnsi="Segoe UI" w:cs="Segoe UI"/>
          <w:sz w:val="23"/>
          <w:szCs w:val="23"/>
          <w:lang w:eastAsia="fr-FR"/>
        </w:rPr>
        <w:t xml:space="preserve">La hausse particulièrement marquée des cours </w:t>
      </w:r>
      <w:r w:rsidR="00B433F1" w:rsidRPr="00B433F1">
        <w:rPr>
          <w:rFonts w:ascii="Segoe UI" w:eastAsia="Times New Roman" w:hAnsi="Segoe UI" w:cs="Segoe UI"/>
          <w:sz w:val="23"/>
          <w:szCs w:val="23"/>
          <w:lang w:eastAsia="fr-FR"/>
        </w:rPr>
        <w:t>en 2022</w:t>
      </w:r>
      <w:r w:rsidR="00B433F1">
        <w:rPr>
          <w:rFonts w:ascii="Segoe UI" w:eastAsia="Times New Roman" w:hAnsi="Segoe UI" w:cs="Segoe UI"/>
          <w:sz w:val="23"/>
          <w:szCs w:val="23"/>
          <w:lang w:eastAsia="fr-FR"/>
        </w:rPr>
        <w:t xml:space="preserve"> (101 USD/baril en moyenne)</w:t>
      </w:r>
      <w:r w:rsidR="00B433F1" w:rsidRPr="00B433F1">
        <w:rPr>
          <w:rFonts w:ascii="Segoe UI" w:eastAsia="Times New Roman" w:hAnsi="Segoe UI" w:cs="Segoe UI"/>
          <w:sz w:val="23"/>
          <w:szCs w:val="23"/>
          <w:lang w:eastAsia="fr-FR"/>
        </w:rPr>
        <w:t xml:space="preserve"> a</w:t>
      </w:r>
      <w:r w:rsidRPr="00B433F1">
        <w:rPr>
          <w:rFonts w:ascii="Segoe UI" w:eastAsia="Times New Roman" w:hAnsi="Segoe UI" w:cs="Segoe UI"/>
          <w:sz w:val="23"/>
          <w:szCs w:val="23"/>
          <w:lang w:eastAsia="fr-FR"/>
        </w:rPr>
        <w:t xml:space="preserve"> représent</w:t>
      </w:r>
      <w:r w:rsidR="00B433F1" w:rsidRPr="00B433F1">
        <w:rPr>
          <w:rFonts w:ascii="Segoe UI" w:eastAsia="Times New Roman" w:hAnsi="Segoe UI" w:cs="Segoe UI"/>
          <w:sz w:val="23"/>
          <w:szCs w:val="23"/>
          <w:lang w:eastAsia="fr-FR"/>
        </w:rPr>
        <w:t>é</w:t>
      </w:r>
      <w:r w:rsidRPr="00B433F1">
        <w:rPr>
          <w:rFonts w:ascii="Segoe UI" w:eastAsia="Times New Roman" w:hAnsi="Segoe UI" w:cs="Segoe UI"/>
          <w:sz w:val="23"/>
          <w:szCs w:val="23"/>
          <w:lang w:eastAsia="fr-FR"/>
        </w:rPr>
        <w:t xml:space="preserve"> pour le Koweït un effet d’aubaine considérable qui </w:t>
      </w:r>
      <w:r w:rsidR="00B433F1" w:rsidRPr="00B433F1">
        <w:rPr>
          <w:rFonts w:ascii="Segoe UI" w:eastAsia="Times New Roman" w:hAnsi="Segoe UI" w:cs="Segoe UI"/>
          <w:sz w:val="23"/>
          <w:szCs w:val="23"/>
          <w:lang w:eastAsia="fr-FR"/>
        </w:rPr>
        <w:t>a</w:t>
      </w:r>
      <w:r w:rsidRPr="00B433F1">
        <w:rPr>
          <w:rFonts w:ascii="Segoe UI" w:eastAsia="Times New Roman" w:hAnsi="Segoe UI" w:cs="Segoe UI"/>
          <w:sz w:val="23"/>
          <w:szCs w:val="23"/>
          <w:lang w:eastAsia="fr-FR"/>
        </w:rPr>
        <w:t xml:space="preserve"> stimul</w:t>
      </w:r>
      <w:r w:rsidR="00B433F1" w:rsidRPr="00B433F1">
        <w:rPr>
          <w:rFonts w:ascii="Segoe UI" w:eastAsia="Times New Roman" w:hAnsi="Segoe UI" w:cs="Segoe UI"/>
          <w:sz w:val="23"/>
          <w:szCs w:val="23"/>
          <w:lang w:eastAsia="fr-FR"/>
        </w:rPr>
        <w:t>é</w:t>
      </w:r>
      <w:r w:rsidRPr="00B433F1">
        <w:rPr>
          <w:rFonts w:ascii="Segoe UI" w:eastAsia="Times New Roman" w:hAnsi="Segoe UI" w:cs="Segoe UI"/>
          <w:sz w:val="23"/>
          <w:szCs w:val="23"/>
          <w:lang w:eastAsia="fr-FR"/>
        </w:rPr>
        <w:t xml:space="preserve"> sa croissance</w:t>
      </w:r>
      <w:r w:rsidR="00AD0E86">
        <w:rPr>
          <w:rFonts w:ascii="Segoe UI" w:eastAsia="Times New Roman" w:hAnsi="Segoe UI" w:cs="Segoe UI"/>
          <w:sz w:val="23"/>
          <w:szCs w:val="23"/>
          <w:lang w:eastAsia="fr-FR"/>
        </w:rPr>
        <w:t xml:space="preserve"> (+8,9%)</w:t>
      </w:r>
      <w:r w:rsidRPr="00AD0E86">
        <w:rPr>
          <w:rFonts w:ascii="Segoe UI" w:eastAsia="Times New Roman" w:hAnsi="Segoe UI" w:cs="Segoe UI"/>
          <w:sz w:val="23"/>
          <w:szCs w:val="23"/>
          <w:lang w:eastAsia="fr-FR"/>
        </w:rPr>
        <w:t>, major</w:t>
      </w:r>
      <w:r w:rsidR="00AD0E86" w:rsidRPr="00AD0E86">
        <w:rPr>
          <w:rFonts w:ascii="Segoe UI" w:eastAsia="Times New Roman" w:hAnsi="Segoe UI" w:cs="Segoe UI"/>
          <w:sz w:val="23"/>
          <w:szCs w:val="23"/>
          <w:lang w:eastAsia="fr-FR"/>
        </w:rPr>
        <w:t>é</w:t>
      </w:r>
      <w:r w:rsidRPr="00AD0E86">
        <w:rPr>
          <w:rFonts w:ascii="Segoe UI" w:eastAsia="Times New Roman" w:hAnsi="Segoe UI" w:cs="Segoe UI"/>
          <w:sz w:val="23"/>
          <w:szCs w:val="23"/>
          <w:lang w:eastAsia="fr-FR"/>
        </w:rPr>
        <w:t xml:space="preserve"> son excédent courant </w:t>
      </w:r>
      <w:r w:rsidR="00AD0E86" w:rsidRPr="00AD0E86">
        <w:rPr>
          <w:rFonts w:ascii="Segoe UI" w:eastAsia="Times New Roman" w:hAnsi="Segoe UI" w:cs="Segoe UI"/>
          <w:sz w:val="23"/>
          <w:szCs w:val="23"/>
          <w:lang w:eastAsia="fr-FR"/>
        </w:rPr>
        <w:t xml:space="preserve">(36% du PIB) </w:t>
      </w:r>
      <w:r w:rsidRPr="00AD0E86">
        <w:rPr>
          <w:rFonts w:ascii="Segoe UI" w:eastAsia="Times New Roman" w:hAnsi="Segoe UI" w:cs="Segoe UI"/>
          <w:sz w:val="23"/>
          <w:szCs w:val="23"/>
          <w:lang w:eastAsia="fr-FR"/>
        </w:rPr>
        <w:t>et lui</w:t>
      </w:r>
      <w:r w:rsidR="00AD0E86" w:rsidRPr="00AD0E86">
        <w:rPr>
          <w:rFonts w:ascii="Segoe UI" w:eastAsia="Times New Roman" w:hAnsi="Segoe UI" w:cs="Segoe UI"/>
          <w:sz w:val="23"/>
          <w:szCs w:val="23"/>
          <w:lang w:eastAsia="fr-FR"/>
        </w:rPr>
        <w:t xml:space="preserve"> a</w:t>
      </w:r>
      <w:r w:rsidRPr="00AD0E86">
        <w:rPr>
          <w:rFonts w:ascii="Segoe UI" w:eastAsia="Times New Roman" w:hAnsi="Segoe UI" w:cs="Segoe UI"/>
          <w:sz w:val="23"/>
          <w:szCs w:val="23"/>
          <w:lang w:eastAsia="fr-FR"/>
        </w:rPr>
        <w:t xml:space="preserve"> perm</w:t>
      </w:r>
      <w:r w:rsidR="00AD0E86" w:rsidRPr="00AD0E86">
        <w:rPr>
          <w:rFonts w:ascii="Segoe UI" w:eastAsia="Times New Roman" w:hAnsi="Segoe UI" w:cs="Segoe UI"/>
          <w:sz w:val="23"/>
          <w:szCs w:val="23"/>
          <w:lang w:eastAsia="fr-FR"/>
        </w:rPr>
        <w:t>is</w:t>
      </w:r>
      <w:r w:rsidRPr="00AD0E86">
        <w:rPr>
          <w:rFonts w:ascii="Segoe UI" w:eastAsia="Times New Roman" w:hAnsi="Segoe UI" w:cs="Segoe UI"/>
          <w:sz w:val="23"/>
          <w:szCs w:val="23"/>
          <w:lang w:eastAsia="fr-FR"/>
        </w:rPr>
        <w:t>, pour la première fois depuis 9 ans, de dégager un surplus budgétaire substantiel</w:t>
      </w:r>
      <w:r w:rsidRPr="00C715A0">
        <w:rPr>
          <w:rFonts w:ascii="Segoe UI" w:eastAsia="Times New Roman" w:hAnsi="Segoe UI" w:cs="Segoe UI"/>
          <w:sz w:val="23"/>
          <w:szCs w:val="23"/>
          <w:lang w:eastAsia="fr-FR"/>
        </w:rPr>
        <w:t xml:space="preserve"> (</w:t>
      </w:r>
      <w:r w:rsidR="00C715A0" w:rsidRPr="00C715A0">
        <w:rPr>
          <w:rFonts w:ascii="Segoe UI" w:eastAsia="Times New Roman" w:hAnsi="Segoe UI" w:cs="Segoe UI"/>
          <w:sz w:val="23"/>
          <w:szCs w:val="23"/>
          <w:lang w:eastAsia="fr-FR"/>
        </w:rPr>
        <w:t>21 Mds USD</w:t>
      </w:r>
      <w:r w:rsidRPr="00C715A0">
        <w:rPr>
          <w:rFonts w:ascii="Segoe UI" w:eastAsia="Times New Roman" w:hAnsi="Segoe UI" w:cs="Segoe UI"/>
          <w:sz w:val="23"/>
          <w:szCs w:val="23"/>
          <w:lang w:eastAsia="fr-FR"/>
        </w:rPr>
        <w:t>).</w:t>
      </w:r>
      <w:r w:rsidR="00C715A0">
        <w:rPr>
          <w:rFonts w:ascii="Segoe UI" w:eastAsia="Times New Roman" w:hAnsi="Segoe UI" w:cs="Segoe UI"/>
          <w:sz w:val="23"/>
          <w:szCs w:val="23"/>
          <w:lang w:eastAsia="fr-FR"/>
        </w:rPr>
        <w:t xml:space="preserve"> </w:t>
      </w:r>
      <w:r w:rsidR="00C715A0" w:rsidRPr="003132B3">
        <w:rPr>
          <w:rFonts w:ascii="Segoe UI" w:eastAsia="Times New Roman" w:hAnsi="Segoe UI" w:cs="Segoe UI"/>
          <w:b/>
          <w:bCs/>
          <w:sz w:val="23"/>
          <w:szCs w:val="23"/>
          <w:lang w:eastAsia="fr-FR"/>
        </w:rPr>
        <w:t xml:space="preserve">Cette dynamique s’est stoppée en 2023 à cause d’un prix du baril en baisse (-19 USD/baril, pour atteindre 83 USD/baril) et </w:t>
      </w:r>
      <w:r w:rsidR="003132B3">
        <w:rPr>
          <w:rFonts w:ascii="Segoe UI" w:eastAsia="Times New Roman" w:hAnsi="Segoe UI" w:cs="Segoe UI"/>
          <w:b/>
          <w:bCs/>
          <w:sz w:val="23"/>
          <w:szCs w:val="23"/>
          <w:lang w:eastAsia="fr-FR"/>
        </w:rPr>
        <w:t>d’</w:t>
      </w:r>
      <w:r w:rsidR="00C715A0" w:rsidRPr="003132B3">
        <w:rPr>
          <w:rFonts w:ascii="Segoe UI" w:eastAsia="Times New Roman" w:hAnsi="Segoe UI" w:cs="Segoe UI"/>
          <w:b/>
          <w:bCs/>
          <w:sz w:val="23"/>
          <w:szCs w:val="23"/>
          <w:lang w:eastAsia="fr-FR"/>
        </w:rPr>
        <w:t>une réduction des quotas</w:t>
      </w:r>
      <w:r w:rsidR="00C715A0">
        <w:rPr>
          <w:rFonts w:ascii="Segoe UI" w:eastAsia="Times New Roman" w:hAnsi="Segoe UI" w:cs="Segoe UI"/>
          <w:sz w:val="23"/>
          <w:szCs w:val="23"/>
          <w:lang w:eastAsia="fr-FR"/>
        </w:rPr>
        <w:t xml:space="preserve"> de production d’hydrocarbure</w:t>
      </w:r>
      <w:r w:rsidR="004834FC">
        <w:rPr>
          <w:rFonts w:ascii="Segoe UI" w:eastAsia="Times New Roman" w:hAnsi="Segoe UI" w:cs="Segoe UI"/>
          <w:sz w:val="23"/>
          <w:szCs w:val="23"/>
          <w:lang w:eastAsia="fr-FR"/>
        </w:rPr>
        <w:t>s accordées par l’OPEC +</w:t>
      </w:r>
      <w:r w:rsidR="00C715A0">
        <w:rPr>
          <w:rFonts w:ascii="Segoe UI" w:eastAsia="Times New Roman" w:hAnsi="Segoe UI" w:cs="Segoe UI"/>
          <w:sz w:val="23"/>
          <w:szCs w:val="23"/>
          <w:lang w:eastAsia="fr-FR"/>
        </w:rPr>
        <w:t xml:space="preserve"> (</w:t>
      </w:r>
      <w:r w:rsidR="004834FC">
        <w:rPr>
          <w:rFonts w:ascii="Segoe UI" w:eastAsia="Times New Roman" w:hAnsi="Segoe UI" w:cs="Segoe UI"/>
          <w:sz w:val="23"/>
          <w:szCs w:val="23"/>
          <w:lang w:eastAsia="fr-FR"/>
        </w:rPr>
        <w:t>2,676 Mbj accordés en 2024, auquel retrancher 135 000 de coupes volontaires du Koweït pour atteindre 2,541 Mbj).</w:t>
      </w:r>
      <w:r w:rsidR="00E313B2">
        <w:rPr>
          <w:rFonts w:ascii="Segoe UI" w:eastAsia="Times New Roman" w:hAnsi="Segoe UI" w:cs="Segoe UI"/>
          <w:sz w:val="23"/>
          <w:szCs w:val="23"/>
          <w:lang w:eastAsia="fr-FR"/>
        </w:rPr>
        <w:t xml:space="preserve"> </w:t>
      </w:r>
      <w:r w:rsidR="00E313B2" w:rsidRPr="00E313B2">
        <w:rPr>
          <w:rFonts w:ascii="Segoe UI" w:eastAsia="Times New Roman" w:hAnsi="Segoe UI" w:cs="Segoe UI"/>
          <w:b/>
          <w:bCs/>
          <w:sz w:val="23"/>
          <w:szCs w:val="23"/>
          <w:lang w:eastAsia="fr-FR"/>
        </w:rPr>
        <w:t xml:space="preserve">L’activité s’est donc contractée, avec une évolution du PIB </w:t>
      </w:r>
      <w:r w:rsidR="00E313B2">
        <w:rPr>
          <w:rFonts w:ascii="Segoe UI" w:eastAsia="Times New Roman" w:hAnsi="Segoe UI" w:cs="Segoe UI"/>
          <w:b/>
          <w:bCs/>
          <w:sz w:val="23"/>
          <w:szCs w:val="23"/>
          <w:lang w:eastAsia="fr-FR"/>
        </w:rPr>
        <w:t>réel</w:t>
      </w:r>
      <w:r w:rsidR="00E313B2" w:rsidRPr="00E313B2">
        <w:rPr>
          <w:rFonts w:ascii="Segoe UI" w:eastAsia="Times New Roman" w:hAnsi="Segoe UI" w:cs="Segoe UI"/>
          <w:b/>
          <w:bCs/>
          <w:sz w:val="23"/>
          <w:szCs w:val="23"/>
          <w:lang w:eastAsia="fr-FR"/>
        </w:rPr>
        <w:t xml:space="preserve"> estimée</w:t>
      </w:r>
      <w:r w:rsidR="00E313B2">
        <w:rPr>
          <w:rFonts w:ascii="Segoe UI" w:eastAsia="Times New Roman" w:hAnsi="Segoe UI" w:cs="Segoe UI"/>
          <w:b/>
          <w:bCs/>
          <w:sz w:val="23"/>
          <w:szCs w:val="23"/>
          <w:lang w:eastAsia="fr-FR"/>
        </w:rPr>
        <w:t xml:space="preserve"> par le FMI à -0,6% en 2023. </w:t>
      </w:r>
      <w:r w:rsidR="00E313B2">
        <w:rPr>
          <w:rFonts w:ascii="Segoe UI" w:eastAsia="Times New Roman" w:hAnsi="Segoe UI" w:cs="Segoe UI"/>
          <w:sz w:val="23"/>
          <w:szCs w:val="23"/>
          <w:lang w:eastAsia="fr-FR"/>
        </w:rPr>
        <w:t xml:space="preserve"> </w:t>
      </w:r>
      <w:r w:rsidR="003132B3">
        <w:rPr>
          <w:rFonts w:ascii="Segoe UI" w:eastAsia="Times New Roman" w:hAnsi="Segoe UI" w:cs="Segoe UI"/>
          <w:sz w:val="23"/>
          <w:szCs w:val="23"/>
          <w:lang w:eastAsia="fr-FR"/>
        </w:rPr>
        <w:t xml:space="preserve">  </w:t>
      </w:r>
      <w:r w:rsidR="00A14260">
        <w:rPr>
          <w:rFonts w:ascii="Segoe UI" w:eastAsia="Times New Roman" w:hAnsi="Segoe UI" w:cs="Segoe UI"/>
          <w:sz w:val="23"/>
          <w:szCs w:val="23"/>
          <w:lang w:eastAsia="fr-FR"/>
        </w:rPr>
        <w:t xml:space="preserve"> </w:t>
      </w:r>
    </w:p>
    <w:p w14:paraId="4B79BE3F" w14:textId="28B0027A" w:rsidR="0025670F" w:rsidRDefault="0025670F" w:rsidP="0025670F">
      <w:pPr>
        <w:jc w:val="both"/>
        <w:rPr>
          <w:rFonts w:ascii="Segoe UI" w:eastAsia="Times New Roman" w:hAnsi="Segoe UI" w:cs="Segoe UI"/>
          <w:sz w:val="23"/>
          <w:szCs w:val="23"/>
          <w:highlight w:val="yellow"/>
          <w:lang w:eastAsia="fr-FR"/>
        </w:rPr>
      </w:pPr>
      <w:r w:rsidRPr="004834FC">
        <w:rPr>
          <w:rFonts w:ascii="Segoe UI" w:eastAsia="Times New Roman" w:hAnsi="Segoe UI" w:cs="Segoe UI"/>
          <w:sz w:val="23"/>
          <w:szCs w:val="23"/>
          <w:lang w:eastAsia="fr-FR"/>
        </w:rPr>
        <w:t xml:space="preserve">Malgré cette dépendance persistante aux </w:t>
      </w:r>
      <w:r w:rsidR="004834FC" w:rsidRPr="004834FC">
        <w:rPr>
          <w:rFonts w:ascii="Segoe UI" w:eastAsia="Times New Roman" w:hAnsi="Segoe UI" w:cs="Segoe UI"/>
          <w:sz w:val="23"/>
          <w:szCs w:val="23"/>
          <w:lang w:eastAsia="fr-FR"/>
        </w:rPr>
        <w:t>hydrocarbures</w:t>
      </w:r>
      <w:r w:rsidRPr="004834FC">
        <w:rPr>
          <w:rFonts w:ascii="Segoe UI" w:eastAsia="Times New Roman" w:hAnsi="Segoe UI" w:cs="Segoe UI"/>
          <w:sz w:val="23"/>
          <w:szCs w:val="23"/>
          <w:lang w:eastAsia="fr-FR"/>
        </w:rPr>
        <w:t xml:space="preserve">, </w:t>
      </w:r>
      <w:r w:rsidRPr="00A14260">
        <w:rPr>
          <w:rFonts w:ascii="Segoe UI" w:eastAsia="Times New Roman" w:hAnsi="Segoe UI" w:cs="Segoe UI"/>
          <w:b/>
          <w:bCs/>
          <w:sz w:val="23"/>
          <w:szCs w:val="23"/>
          <w:lang w:eastAsia="fr-FR"/>
        </w:rPr>
        <w:t xml:space="preserve">le Koweït présente des fondamentaux sains : </w:t>
      </w:r>
      <w:r w:rsidRPr="004834FC">
        <w:rPr>
          <w:rFonts w:ascii="Segoe UI" w:eastAsia="Times New Roman" w:hAnsi="Segoe UI" w:cs="Segoe UI"/>
          <w:sz w:val="23"/>
          <w:szCs w:val="23"/>
          <w:lang w:eastAsia="fr-FR"/>
        </w:rPr>
        <w:t xml:space="preserve">son endettement public s’élève à </w:t>
      </w:r>
      <w:r w:rsidR="004834FC" w:rsidRPr="004834FC">
        <w:rPr>
          <w:rFonts w:ascii="Segoe UI" w:eastAsia="Times New Roman" w:hAnsi="Segoe UI" w:cs="Segoe UI"/>
          <w:sz w:val="23"/>
          <w:szCs w:val="23"/>
          <w:lang w:eastAsia="fr-FR"/>
        </w:rPr>
        <w:t>3</w:t>
      </w:r>
      <w:r w:rsidRPr="004834FC">
        <w:rPr>
          <w:rFonts w:ascii="Segoe UI" w:eastAsia="Times New Roman" w:hAnsi="Segoe UI" w:cs="Segoe UI"/>
          <w:sz w:val="23"/>
          <w:szCs w:val="23"/>
          <w:lang w:eastAsia="fr-FR"/>
        </w:rPr>
        <w:t>,</w:t>
      </w:r>
      <w:r w:rsidR="004834FC" w:rsidRPr="004834FC">
        <w:rPr>
          <w:rFonts w:ascii="Segoe UI" w:eastAsia="Times New Roman" w:hAnsi="Segoe UI" w:cs="Segoe UI"/>
          <w:sz w:val="23"/>
          <w:szCs w:val="23"/>
          <w:lang w:eastAsia="fr-FR"/>
        </w:rPr>
        <w:t>4</w:t>
      </w:r>
      <w:r w:rsidRPr="004834FC">
        <w:rPr>
          <w:rFonts w:ascii="Segoe UI" w:eastAsia="Times New Roman" w:hAnsi="Segoe UI" w:cs="Segoe UI"/>
          <w:sz w:val="23"/>
          <w:szCs w:val="23"/>
          <w:lang w:eastAsia="fr-FR"/>
        </w:rPr>
        <w:t>% du PIB</w:t>
      </w:r>
      <w:r w:rsidR="004834FC" w:rsidRPr="004834FC">
        <w:rPr>
          <w:rFonts w:ascii="Segoe UI" w:eastAsia="Times New Roman" w:hAnsi="Segoe UI" w:cs="Segoe UI"/>
          <w:sz w:val="23"/>
          <w:szCs w:val="23"/>
          <w:lang w:eastAsia="fr-FR"/>
        </w:rPr>
        <w:t xml:space="preserve"> fin 2023</w:t>
      </w:r>
      <w:r w:rsidRPr="0065329A">
        <w:rPr>
          <w:rFonts w:ascii="Segoe UI" w:eastAsia="Times New Roman" w:hAnsi="Segoe UI" w:cs="Segoe UI"/>
          <w:sz w:val="23"/>
          <w:szCs w:val="23"/>
          <w:lang w:eastAsia="fr-FR"/>
        </w:rPr>
        <w:t>, le taux de chômage est à 2,</w:t>
      </w:r>
      <w:r w:rsidR="0065329A" w:rsidRPr="0065329A">
        <w:rPr>
          <w:rFonts w:ascii="Segoe UI" w:eastAsia="Times New Roman" w:hAnsi="Segoe UI" w:cs="Segoe UI"/>
          <w:sz w:val="23"/>
          <w:szCs w:val="23"/>
          <w:lang w:eastAsia="fr-FR"/>
        </w:rPr>
        <w:t>65</w:t>
      </w:r>
      <w:r w:rsidRPr="0065329A">
        <w:rPr>
          <w:rFonts w:ascii="Segoe UI" w:eastAsia="Times New Roman" w:hAnsi="Segoe UI" w:cs="Segoe UI"/>
          <w:sz w:val="23"/>
          <w:szCs w:val="23"/>
          <w:lang w:eastAsia="fr-FR"/>
        </w:rPr>
        <w:t>%</w:t>
      </w:r>
      <w:r w:rsidRPr="005825AA">
        <w:rPr>
          <w:rFonts w:ascii="Segoe UI" w:eastAsia="Times New Roman" w:hAnsi="Segoe UI" w:cs="Segoe UI"/>
          <w:sz w:val="23"/>
          <w:szCs w:val="23"/>
          <w:lang w:eastAsia="fr-FR"/>
        </w:rPr>
        <w:t xml:space="preserve"> et l’inflation à 3,4%</w:t>
      </w:r>
      <w:r w:rsidR="005825AA" w:rsidRPr="005825AA">
        <w:rPr>
          <w:rFonts w:ascii="Segoe UI" w:eastAsia="Times New Roman" w:hAnsi="Segoe UI" w:cs="Segoe UI"/>
          <w:sz w:val="23"/>
          <w:szCs w:val="23"/>
          <w:lang w:eastAsia="fr-FR"/>
        </w:rPr>
        <w:t xml:space="preserve"> en glissement annuel en février 2024</w:t>
      </w:r>
      <w:r w:rsidRPr="005825AA">
        <w:rPr>
          <w:rFonts w:ascii="Segoe UI" w:eastAsia="Times New Roman" w:hAnsi="Segoe UI" w:cs="Segoe UI"/>
          <w:sz w:val="23"/>
          <w:szCs w:val="23"/>
          <w:lang w:eastAsia="fr-FR"/>
        </w:rPr>
        <w:t>.</w:t>
      </w:r>
      <w:r w:rsidRPr="0025670F">
        <w:rPr>
          <w:rFonts w:ascii="Segoe UI" w:eastAsia="Times New Roman" w:hAnsi="Segoe UI" w:cs="Segoe UI"/>
          <w:sz w:val="23"/>
          <w:szCs w:val="23"/>
          <w:highlight w:val="yellow"/>
          <w:lang w:eastAsia="fr-FR"/>
        </w:rPr>
        <w:t xml:space="preserve"> </w:t>
      </w:r>
    </w:p>
    <w:p w14:paraId="7DB83461" w14:textId="77777777" w:rsidR="00246DAE" w:rsidRPr="0025670F" w:rsidRDefault="00246DAE" w:rsidP="0025670F">
      <w:pPr>
        <w:jc w:val="both"/>
        <w:rPr>
          <w:rFonts w:ascii="Segoe UI" w:eastAsia="Times New Roman" w:hAnsi="Segoe UI" w:cs="Segoe UI"/>
          <w:sz w:val="23"/>
          <w:szCs w:val="23"/>
          <w:highlight w:val="yellow"/>
          <w:lang w:eastAsia="fr-FR"/>
        </w:rPr>
      </w:pPr>
    </w:p>
    <w:p w14:paraId="5F3008A2" w14:textId="29293D54" w:rsidR="00246DAE" w:rsidRPr="0025670F" w:rsidRDefault="00246DAE" w:rsidP="0025670F">
      <w:pPr>
        <w:jc w:val="both"/>
        <w:rPr>
          <w:rFonts w:ascii="Segoe UI" w:eastAsia="Times New Roman" w:hAnsi="Segoe UI" w:cs="Segoe UI"/>
          <w:sz w:val="23"/>
          <w:szCs w:val="23"/>
          <w:highlight w:val="yellow"/>
          <w:lang w:eastAsia="fr-FR"/>
        </w:rPr>
      </w:pPr>
      <w:r w:rsidRPr="00E375A2">
        <w:rPr>
          <w:rFonts w:ascii="Segoe UI" w:hAnsi="Segoe UI" w:cs="Segoe UI"/>
          <w:noProof/>
          <w:sz w:val="23"/>
          <w:szCs w:val="23"/>
        </w:rPr>
        <mc:AlternateContent>
          <mc:Choice Requires="wps">
            <w:drawing>
              <wp:inline distT="0" distB="0" distL="0" distR="0" wp14:anchorId="5EE06E1B" wp14:editId="4C4BA3AE">
                <wp:extent cx="5760720" cy="304800"/>
                <wp:effectExtent l="0" t="0" r="0" b="0"/>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304800"/>
                        </a:xfrm>
                        <a:prstGeom prst="rect">
                          <a:avLst/>
                        </a:prstGeom>
                        <a:solidFill>
                          <a:srgbClr val="006CE5"/>
                        </a:solidFill>
                        <a:ln w="9525">
                          <a:noFill/>
                          <a:miter lim="800000"/>
                          <a:headEnd/>
                          <a:tailEnd/>
                        </a:ln>
                      </wps:spPr>
                      <wps:txbx>
                        <w:txbxContent>
                          <w:p w14:paraId="0AB1C82F" w14:textId="5599AAFC" w:rsidR="00246DAE" w:rsidRPr="00316304" w:rsidRDefault="00246DAE" w:rsidP="00246DAE">
                            <w:pPr>
                              <w:pStyle w:val="Paragraphedeliste"/>
                              <w:numPr>
                                <w:ilvl w:val="0"/>
                                <w:numId w:val="8"/>
                              </w:numPr>
                              <w:spacing w:after="160" w:line="259" w:lineRule="auto"/>
                              <w:rPr>
                                <w:rFonts w:ascii="Segoe UI Historic" w:hAnsi="Segoe UI Historic" w:cs="Segoe UI Historic"/>
                                <w:color w:val="FFFFFF" w:themeColor="background1"/>
                                <w:sz w:val="24"/>
                              </w:rPr>
                            </w:pPr>
                            <w:r>
                              <w:rPr>
                                <w:rFonts w:ascii="Segoe UI Historic" w:hAnsi="Segoe UI Historic" w:cs="Segoe UI Historic"/>
                                <w:color w:val="FFFFFF" w:themeColor="background1"/>
                                <w:sz w:val="24"/>
                              </w:rPr>
                              <w:t>Position extérieure</w:t>
                            </w:r>
                          </w:p>
                        </w:txbxContent>
                      </wps:txbx>
                      <wps:bodyPr rot="0" vert="horz" wrap="square" lIns="91440" tIns="45720" rIns="91440" bIns="45720" anchor="t" anchorCtr="0">
                        <a:noAutofit/>
                      </wps:bodyPr>
                    </wps:wsp>
                  </a:graphicData>
                </a:graphic>
              </wp:inline>
            </w:drawing>
          </mc:Choice>
          <mc:Fallback>
            <w:pict>
              <v:shape w14:anchorId="5EE06E1B" id="_x0000_s1027" type="#_x0000_t202" style="width:453.6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" fillcolor="#006ce5" stroked="f">
                <v:textbox>
                  <w:txbxContent>
                    <w:p w14:paraId="0AB1C82F" w14:textId="5599AAFC" w:rsidR="00246DAE" w:rsidRPr="00316304" w:rsidRDefault="00246DAE" w:rsidP="00246DAE">
                      <w:pPr>
                        <w:pStyle w:val="Paragraphedeliste"/>
                        <w:numPr>
                          <w:ilvl w:val="0"/>
                          <w:numId w:val="8"/>
                        </w:numPr>
                        <w:spacing w:after="160" w:line="259" w:lineRule="auto"/>
                        <w:rPr>
                          <w:rFonts w:ascii="Segoe UI Historic" w:hAnsi="Segoe UI Historic" w:cs="Segoe UI Historic"/>
                          <w:color w:val="FFFFFF" w:themeColor="background1"/>
                          <w:sz w:val="24"/>
                        </w:rPr>
                      </w:pPr>
                      <w:r>
                        <w:rPr>
                          <w:rFonts w:ascii="Segoe UI Historic" w:hAnsi="Segoe UI Historic" w:cs="Segoe UI Historic"/>
                          <w:color w:val="FFFFFF" w:themeColor="background1"/>
                          <w:sz w:val="24"/>
                        </w:rPr>
                        <w:t>Position extérieure</w:t>
                      </w:r>
                    </w:p>
                  </w:txbxContent>
                </v:textbox>
                <w10:anchorlock/>
              </v:shape>
            </w:pict>
          </mc:Fallback>
        </mc:AlternateContent>
      </w:r>
    </w:p>
    <w:p w14:paraId="6F0E11C5" w14:textId="4E0FA6B4" w:rsidR="0025670F" w:rsidRPr="00974E02" w:rsidRDefault="0025670F" w:rsidP="0025670F">
      <w:pPr>
        <w:jc w:val="both"/>
        <w:rPr>
          <w:rFonts w:ascii="Segoe UI" w:eastAsia="Times New Roman" w:hAnsi="Segoe UI" w:cs="Segoe UI"/>
          <w:sz w:val="23"/>
          <w:szCs w:val="23"/>
          <w:lang w:eastAsia="fr-FR"/>
        </w:rPr>
      </w:pPr>
      <w:r w:rsidRPr="001E68A0">
        <w:rPr>
          <w:rFonts w:ascii="Segoe UI" w:eastAsia="Times New Roman" w:hAnsi="Segoe UI" w:cs="Segoe UI"/>
          <w:sz w:val="23"/>
          <w:szCs w:val="23"/>
          <w:lang w:eastAsia="fr-FR"/>
        </w:rPr>
        <w:lastRenderedPageBreak/>
        <w:t xml:space="preserve">Le Koweït dégage un </w:t>
      </w:r>
      <w:r w:rsidRPr="00974E02">
        <w:rPr>
          <w:rFonts w:ascii="Segoe UI" w:eastAsia="Times New Roman" w:hAnsi="Segoe UI" w:cs="Segoe UI"/>
          <w:b/>
          <w:bCs/>
          <w:sz w:val="23"/>
          <w:szCs w:val="23"/>
          <w:lang w:eastAsia="fr-FR"/>
        </w:rPr>
        <w:t>excédent courant structurellement élevé (</w:t>
      </w:r>
      <w:r w:rsidR="001E68A0" w:rsidRPr="00974E02">
        <w:rPr>
          <w:rFonts w:ascii="Segoe UI" w:eastAsia="Times New Roman" w:hAnsi="Segoe UI" w:cs="Segoe UI"/>
          <w:b/>
          <w:bCs/>
          <w:sz w:val="23"/>
          <w:szCs w:val="23"/>
          <w:lang w:eastAsia="fr-FR"/>
        </w:rPr>
        <w:t>2</w:t>
      </w:r>
      <w:r w:rsidRPr="00974E02">
        <w:rPr>
          <w:rFonts w:ascii="Segoe UI" w:eastAsia="Times New Roman" w:hAnsi="Segoe UI" w:cs="Segoe UI"/>
          <w:b/>
          <w:bCs/>
          <w:sz w:val="23"/>
          <w:szCs w:val="23"/>
          <w:lang w:eastAsia="fr-FR"/>
        </w:rPr>
        <w:t>1% du PIB en moyenne depuis 201</w:t>
      </w:r>
      <w:r w:rsidR="001E68A0" w:rsidRPr="00974E02">
        <w:rPr>
          <w:rFonts w:ascii="Segoe UI" w:eastAsia="Times New Roman" w:hAnsi="Segoe UI" w:cs="Segoe UI"/>
          <w:b/>
          <w:bCs/>
          <w:sz w:val="23"/>
          <w:szCs w:val="23"/>
          <w:lang w:eastAsia="fr-FR"/>
        </w:rPr>
        <w:t>8</w:t>
      </w:r>
      <w:r w:rsidRPr="00974E02">
        <w:rPr>
          <w:rFonts w:ascii="Segoe UI" w:eastAsia="Times New Roman" w:hAnsi="Segoe UI" w:cs="Segoe UI"/>
          <w:b/>
          <w:bCs/>
          <w:sz w:val="23"/>
          <w:szCs w:val="23"/>
          <w:lang w:eastAsia="fr-FR"/>
        </w:rPr>
        <w:t xml:space="preserve">, </w:t>
      </w:r>
      <w:r w:rsidR="001E68A0" w:rsidRPr="00974E02">
        <w:rPr>
          <w:rFonts w:ascii="Segoe UI" w:eastAsia="Times New Roman" w:hAnsi="Segoe UI" w:cs="Segoe UI"/>
          <w:b/>
          <w:bCs/>
          <w:sz w:val="23"/>
          <w:szCs w:val="23"/>
          <w:lang w:eastAsia="fr-FR"/>
        </w:rPr>
        <w:t>36</w:t>
      </w:r>
      <w:r w:rsidRPr="00974E02">
        <w:rPr>
          <w:rFonts w:ascii="Segoe UI" w:eastAsia="Times New Roman" w:hAnsi="Segoe UI" w:cs="Segoe UI"/>
          <w:b/>
          <w:bCs/>
          <w:sz w:val="23"/>
          <w:szCs w:val="23"/>
          <w:lang w:eastAsia="fr-FR"/>
        </w:rPr>
        <w:t>% en 202</w:t>
      </w:r>
      <w:r w:rsidR="001E68A0" w:rsidRPr="00974E02">
        <w:rPr>
          <w:rFonts w:ascii="Segoe UI" w:eastAsia="Times New Roman" w:hAnsi="Segoe UI" w:cs="Segoe UI"/>
          <w:b/>
          <w:bCs/>
          <w:sz w:val="23"/>
          <w:szCs w:val="23"/>
          <w:lang w:eastAsia="fr-FR"/>
        </w:rPr>
        <w:t>2</w:t>
      </w:r>
      <w:r w:rsidRPr="00974E02">
        <w:rPr>
          <w:rFonts w:ascii="Segoe UI" w:eastAsia="Times New Roman" w:hAnsi="Segoe UI" w:cs="Segoe UI"/>
          <w:b/>
          <w:bCs/>
          <w:sz w:val="23"/>
          <w:szCs w:val="23"/>
          <w:lang w:eastAsia="fr-FR"/>
        </w:rPr>
        <w:t>)</w:t>
      </w:r>
      <w:r w:rsidRPr="001E68A0">
        <w:rPr>
          <w:rFonts w:ascii="Segoe UI" w:eastAsia="Times New Roman" w:hAnsi="Segoe UI" w:cs="Segoe UI"/>
          <w:sz w:val="23"/>
          <w:szCs w:val="23"/>
          <w:lang w:eastAsia="fr-FR"/>
        </w:rPr>
        <w:t>,</w:t>
      </w:r>
      <w:r w:rsidRPr="005D7933">
        <w:rPr>
          <w:rFonts w:ascii="Segoe UI" w:eastAsia="Times New Roman" w:hAnsi="Segoe UI" w:cs="Segoe UI"/>
          <w:sz w:val="23"/>
          <w:szCs w:val="23"/>
          <w:lang w:eastAsia="fr-FR"/>
        </w:rPr>
        <w:t xml:space="preserve"> le plus important de la région, principalement en raison d’un excédent commercial considérable porté par les exportations (64,</w:t>
      </w:r>
      <w:r w:rsidR="005D7933" w:rsidRPr="005D7933">
        <w:rPr>
          <w:rFonts w:ascii="Segoe UI" w:eastAsia="Times New Roman" w:hAnsi="Segoe UI" w:cs="Segoe UI"/>
          <w:sz w:val="23"/>
          <w:szCs w:val="23"/>
          <w:lang w:eastAsia="fr-FR"/>
        </w:rPr>
        <w:t>6</w:t>
      </w:r>
      <w:r w:rsidRPr="005D7933">
        <w:rPr>
          <w:rFonts w:ascii="Segoe UI" w:eastAsia="Times New Roman" w:hAnsi="Segoe UI" w:cs="Segoe UI"/>
          <w:sz w:val="23"/>
          <w:szCs w:val="23"/>
          <w:lang w:eastAsia="fr-FR"/>
        </w:rPr>
        <w:t xml:space="preserve"> Mds USD au total), à 91% pétrolières.</w:t>
      </w:r>
      <w:r w:rsidR="00765EB1">
        <w:rPr>
          <w:rFonts w:ascii="Segoe UI" w:eastAsia="Times New Roman" w:hAnsi="Segoe UI" w:cs="Segoe UI"/>
          <w:sz w:val="23"/>
          <w:szCs w:val="23"/>
          <w:lang w:eastAsia="fr-FR"/>
        </w:rPr>
        <w:t xml:space="preserve"> </w:t>
      </w:r>
      <w:r w:rsidRPr="009C51A7">
        <w:rPr>
          <w:rFonts w:ascii="Segoe UI" w:eastAsia="Times New Roman" w:hAnsi="Segoe UI" w:cs="Segoe UI"/>
          <w:sz w:val="23"/>
          <w:szCs w:val="23"/>
          <w:lang w:eastAsia="fr-FR"/>
        </w:rPr>
        <w:t>En 20</w:t>
      </w:r>
      <w:r w:rsidR="00967DDD" w:rsidRPr="009C51A7">
        <w:rPr>
          <w:rFonts w:ascii="Segoe UI" w:eastAsia="Times New Roman" w:hAnsi="Segoe UI" w:cs="Segoe UI"/>
          <w:sz w:val="23"/>
          <w:szCs w:val="23"/>
          <w:lang w:eastAsia="fr-FR"/>
        </w:rPr>
        <w:t>2</w:t>
      </w:r>
      <w:r w:rsidR="009C51A7" w:rsidRPr="009C51A7">
        <w:rPr>
          <w:rFonts w:ascii="Segoe UI" w:eastAsia="Times New Roman" w:hAnsi="Segoe UI" w:cs="Segoe UI"/>
          <w:sz w:val="23"/>
          <w:szCs w:val="23"/>
          <w:lang w:eastAsia="fr-FR"/>
        </w:rPr>
        <w:t>2</w:t>
      </w:r>
      <w:r w:rsidRPr="009C51A7">
        <w:rPr>
          <w:rFonts w:ascii="Segoe UI" w:eastAsia="Times New Roman" w:hAnsi="Segoe UI" w:cs="Segoe UI"/>
          <w:sz w:val="23"/>
          <w:szCs w:val="23"/>
          <w:lang w:eastAsia="fr-FR"/>
        </w:rPr>
        <w:t xml:space="preserve">, </w:t>
      </w:r>
      <w:r w:rsidRPr="00974E02">
        <w:rPr>
          <w:rFonts w:ascii="Segoe UI" w:eastAsia="Times New Roman" w:hAnsi="Segoe UI" w:cs="Segoe UI"/>
          <w:b/>
          <w:bCs/>
          <w:sz w:val="23"/>
          <w:szCs w:val="23"/>
          <w:lang w:eastAsia="fr-FR"/>
        </w:rPr>
        <w:t>la Chine est le principal partenaire commercial du pays</w:t>
      </w:r>
      <w:r w:rsidRPr="009C51A7">
        <w:rPr>
          <w:rFonts w:ascii="Segoe UI" w:eastAsia="Times New Roman" w:hAnsi="Segoe UI" w:cs="Segoe UI"/>
          <w:sz w:val="23"/>
          <w:szCs w:val="23"/>
          <w:lang w:eastAsia="fr-FR"/>
        </w:rPr>
        <w:t xml:space="preserve">, représentant </w:t>
      </w:r>
      <w:r w:rsidR="009C51A7" w:rsidRPr="009C51A7">
        <w:rPr>
          <w:rFonts w:ascii="Segoe UI" w:eastAsia="Times New Roman" w:hAnsi="Segoe UI" w:cs="Segoe UI"/>
          <w:sz w:val="23"/>
          <w:szCs w:val="23"/>
          <w:lang w:eastAsia="fr-FR"/>
        </w:rPr>
        <w:t>6</w:t>
      </w:r>
      <w:r w:rsidR="00967DDD" w:rsidRPr="009C51A7">
        <w:rPr>
          <w:rFonts w:ascii="Segoe UI" w:eastAsia="Times New Roman" w:hAnsi="Segoe UI" w:cs="Segoe UI"/>
          <w:sz w:val="23"/>
          <w:szCs w:val="23"/>
          <w:lang w:eastAsia="fr-FR"/>
        </w:rPr>
        <w:t>,</w:t>
      </w:r>
      <w:r w:rsidR="009C51A7" w:rsidRPr="009C51A7">
        <w:rPr>
          <w:rFonts w:ascii="Segoe UI" w:eastAsia="Times New Roman" w:hAnsi="Segoe UI" w:cs="Segoe UI"/>
          <w:sz w:val="23"/>
          <w:szCs w:val="23"/>
          <w:lang w:eastAsia="fr-FR"/>
        </w:rPr>
        <w:t>7</w:t>
      </w:r>
      <w:r w:rsidRPr="009C51A7">
        <w:rPr>
          <w:rFonts w:ascii="Segoe UI" w:eastAsia="Times New Roman" w:hAnsi="Segoe UI" w:cs="Segoe UI"/>
          <w:sz w:val="23"/>
          <w:szCs w:val="23"/>
          <w:lang w:eastAsia="fr-FR"/>
        </w:rPr>
        <w:t xml:space="preserve"> Mds USD </w:t>
      </w:r>
      <w:r w:rsidR="00967DDD" w:rsidRPr="009C51A7">
        <w:rPr>
          <w:rFonts w:ascii="Segoe UI" w:eastAsia="Times New Roman" w:hAnsi="Segoe UI" w:cs="Segoe UI"/>
          <w:sz w:val="23"/>
          <w:szCs w:val="23"/>
          <w:lang w:eastAsia="fr-FR"/>
        </w:rPr>
        <w:t>d</w:t>
      </w:r>
      <w:r w:rsidR="009C51A7" w:rsidRPr="009C51A7">
        <w:rPr>
          <w:rFonts w:ascii="Segoe UI" w:eastAsia="Times New Roman" w:hAnsi="Segoe UI" w:cs="Segoe UI"/>
          <w:sz w:val="23"/>
          <w:szCs w:val="23"/>
          <w:lang w:eastAsia="fr-FR"/>
        </w:rPr>
        <w:t>’importations vers le</w:t>
      </w:r>
      <w:r w:rsidRPr="009C51A7">
        <w:rPr>
          <w:rFonts w:ascii="Segoe UI" w:eastAsia="Times New Roman" w:hAnsi="Segoe UI" w:cs="Segoe UI"/>
          <w:sz w:val="23"/>
          <w:szCs w:val="23"/>
          <w:lang w:eastAsia="fr-FR"/>
        </w:rPr>
        <w:t xml:space="preserve"> </w:t>
      </w:r>
      <w:r w:rsidR="009C51A7" w:rsidRPr="009C51A7">
        <w:rPr>
          <w:rFonts w:ascii="Segoe UI" w:eastAsia="Times New Roman" w:hAnsi="Segoe UI" w:cs="Segoe UI"/>
          <w:sz w:val="23"/>
          <w:szCs w:val="23"/>
          <w:lang w:eastAsia="fr-FR"/>
        </w:rPr>
        <w:t>Koweït</w:t>
      </w:r>
      <w:r w:rsidRPr="009C51A7">
        <w:rPr>
          <w:rFonts w:ascii="Segoe UI" w:eastAsia="Times New Roman" w:hAnsi="Segoe UI" w:cs="Segoe UI"/>
          <w:sz w:val="23"/>
          <w:szCs w:val="23"/>
          <w:lang w:eastAsia="fr-FR"/>
        </w:rPr>
        <w:t xml:space="preserve"> (soit </w:t>
      </w:r>
      <w:r w:rsidR="009C51A7" w:rsidRPr="009C51A7">
        <w:rPr>
          <w:rFonts w:ascii="Segoe UI" w:eastAsia="Times New Roman" w:hAnsi="Segoe UI" w:cs="Segoe UI"/>
          <w:sz w:val="23"/>
          <w:szCs w:val="23"/>
          <w:lang w:eastAsia="fr-FR"/>
        </w:rPr>
        <w:t>18</w:t>
      </w:r>
      <w:r w:rsidRPr="009C51A7">
        <w:rPr>
          <w:rFonts w:ascii="Segoe UI" w:eastAsia="Times New Roman" w:hAnsi="Segoe UI" w:cs="Segoe UI"/>
          <w:sz w:val="23"/>
          <w:szCs w:val="23"/>
          <w:lang w:eastAsia="fr-FR"/>
        </w:rPr>
        <w:t>,</w:t>
      </w:r>
      <w:r w:rsidR="009C51A7" w:rsidRPr="009C51A7">
        <w:rPr>
          <w:rFonts w:ascii="Segoe UI" w:eastAsia="Times New Roman" w:hAnsi="Segoe UI" w:cs="Segoe UI"/>
          <w:sz w:val="23"/>
          <w:szCs w:val="23"/>
          <w:lang w:eastAsia="fr-FR"/>
        </w:rPr>
        <w:t>8</w:t>
      </w:r>
      <w:r w:rsidRPr="009C51A7">
        <w:rPr>
          <w:rFonts w:ascii="Segoe UI" w:eastAsia="Times New Roman" w:hAnsi="Segoe UI" w:cs="Segoe UI"/>
          <w:sz w:val="23"/>
          <w:szCs w:val="23"/>
          <w:lang w:eastAsia="fr-FR"/>
        </w:rPr>
        <w:t>% du total).</w:t>
      </w:r>
      <w:r w:rsidR="00974E02">
        <w:rPr>
          <w:rFonts w:ascii="Segoe UI" w:eastAsia="Times New Roman" w:hAnsi="Segoe UI" w:cs="Segoe UI"/>
          <w:sz w:val="23"/>
          <w:szCs w:val="23"/>
          <w:lang w:eastAsia="fr-FR"/>
        </w:rPr>
        <w:t xml:space="preserve"> Elle est aussi depuis 2018 le premier client du pétrole brut koweïtien, représentant plus du tiers du volume </w:t>
      </w:r>
      <w:r w:rsidR="003E253F">
        <w:rPr>
          <w:rFonts w:ascii="Segoe UI" w:eastAsia="Times New Roman" w:hAnsi="Segoe UI" w:cs="Segoe UI"/>
          <w:sz w:val="23"/>
          <w:szCs w:val="23"/>
          <w:lang w:eastAsia="fr-FR"/>
        </w:rPr>
        <w:t>d’huile exporté</w:t>
      </w:r>
      <w:r w:rsidR="00974E02">
        <w:rPr>
          <w:rFonts w:ascii="Segoe UI" w:eastAsia="Times New Roman" w:hAnsi="Segoe UI" w:cs="Segoe UI"/>
          <w:sz w:val="23"/>
          <w:szCs w:val="23"/>
          <w:lang w:eastAsia="fr-FR"/>
        </w:rPr>
        <w:t xml:space="preserve">. </w:t>
      </w:r>
    </w:p>
    <w:p w14:paraId="09CCA583" w14:textId="72DB688D" w:rsidR="0025670F" w:rsidRDefault="0025670F" w:rsidP="0025670F">
      <w:pPr>
        <w:jc w:val="both"/>
        <w:rPr>
          <w:rFonts w:ascii="Segoe UI" w:eastAsia="Times New Roman" w:hAnsi="Segoe UI" w:cs="Segoe UI"/>
          <w:sz w:val="23"/>
          <w:szCs w:val="23"/>
          <w:highlight w:val="yellow"/>
          <w:lang w:eastAsia="fr-FR"/>
        </w:rPr>
      </w:pPr>
      <w:r w:rsidRPr="00246DAE">
        <w:rPr>
          <w:rFonts w:ascii="Segoe UI" w:eastAsia="Times New Roman" w:hAnsi="Segoe UI" w:cs="Segoe UI"/>
          <w:sz w:val="23"/>
          <w:szCs w:val="23"/>
          <w:lang w:eastAsia="fr-FR"/>
        </w:rPr>
        <w:t xml:space="preserve">Sur le plan des capitaux, le Koweït est </w:t>
      </w:r>
      <w:r w:rsidRPr="00974E02">
        <w:rPr>
          <w:rFonts w:ascii="Segoe UI" w:eastAsia="Times New Roman" w:hAnsi="Segoe UI" w:cs="Segoe UI"/>
          <w:b/>
          <w:bCs/>
          <w:sz w:val="23"/>
          <w:szCs w:val="23"/>
          <w:lang w:eastAsia="fr-FR"/>
        </w:rPr>
        <w:t xml:space="preserve">émetteur net d’investissements directs étrangers (IDE) </w:t>
      </w:r>
      <w:r w:rsidRPr="00246DAE">
        <w:rPr>
          <w:rFonts w:ascii="Segoe UI" w:eastAsia="Times New Roman" w:hAnsi="Segoe UI" w:cs="Segoe UI"/>
          <w:sz w:val="23"/>
          <w:szCs w:val="23"/>
          <w:lang w:eastAsia="fr-FR"/>
        </w:rPr>
        <w:t>et détenait en 202</w:t>
      </w:r>
      <w:r w:rsidR="00246DAE" w:rsidRPr="00246DAE">
        <w:rPr>
          <w:rFonts w:ascii="Segoe UI" w:eastAsia="Times New Roman" w:hAnsi="Segoe UI" w:cs="Segoe UI"/>
          <w:sz w:val="23"/>
          <w:szCs w:val="23"/>
          <w:lang w:eastAsia="fr-FR"/>
        </w:rPr>
        <w:t>2</w:t>
      </w:r>
      <w:r w:rsidRPr="00246DAE">
        <w:rPr>
          <w:rFonts w:ascii="Segoe UI" w:eastAsia="Times New Roman" w:hAnsi="Segoe UI" w:cs="Segoe UI"/>
          <w:sz w:val="23"/>
          <w:szCs w:val="23"/>
          <w:lang w:eastAsia="fr-FR"/>
        </w:rPr>
        <w:t xml:space="preserve"> un stock d’IDE sortants de </w:t>
      </w:r>
      <w:r w:rsidR="00246DAE" w:rsidRPr="00246DAE">
        <w:rPr>
          <w:rFonts w:ascii="Segoe UI" w:eastAsia="Times New Roman" w:hAnsi="Segoe UI" w:cs="Segoe UI"/>
          <w:sz w:val="23"/>
          <w:szCs w:val="23"/>
          <w:lang w:eastAsia="fr-FR"/>
        </w:rPr>
        <w:t>46</w:t>
      </w:r>
      <w:r w:rsidRPr="00246DAE">
        <w:rPr>
          <w:rFonts w:ascii="Segoe UI" w:eastAsia="Times New Roman" w:hAnsi="Segoe UI" w:cs="Segoe UI"/>
          <w:sz w:val="23"/>
          <w:szCs w:val="23"/>
          <w:lang w:eastAsia="fr-FR"/>
        </w:rPr>
        <w:t xml:space="preserve"> Mds USD contre un stock d’IDE entrants de 1</w:t>
      </w:r>
      <w:r w:rsidR="00246DAE" w:rsidRPr="00246DAE">
        <w:rPr>
          <w:rFonts w:ascii="Segoe UI" w:eastAsia="Times New Roman" w:hAnsi="Segoe UI" w:cs="Segoe UI"/>
          <w:sz w:val="23"/>
          <w:szCs w:val="23"/>
          <w:lang w:eastAsia="fr-FR"/>
        </w:rPr>
        <w:t>5,4</w:t>
      </w:r>
      <w:r w:rsidRPr="00246DAE">
        <w:rPr>
          <w:rFonts w:ascii="Segoe UI" w:eastAsia="Times New Roman" w:hAnsi="Segoe UI" w:cs="Segoe UI"/>
          <w:sz w:val="23"/>
          <w:szCs w:val="23"/>
          <w:lang w:eastAsia="fr-FR"/>
        </w:rPr>
        <w:t xml:space="preserve"> Mds USD.</w:t>
      </w:r>
      <w:r w:rsidRPr="00716C90">
        <w:rPr>
          <w:rFonts w:ascii="Segoe UI" w:eastAsia="Times New Roman" w:hAnsi="Segoe UI" w:cs="Segoe UI"/>
          <w:sz w:val="23"/>
          <w:szCs w:val="23"/>
          <w:lang w:eastAsia="fr-FR"/>
        </w:rPr>
        <w:t xml:space="preserve"> Par ailleurs, la dette extérieure reste limitée (</w:t>
      </w:r>
      <w:r w:rsidR="00716C90" w:rsidRPr="00716C90">
        <w:rPr>
          <w:rFonts w:ascii="Segoe UI" w:eastAsia="Times New Roman" w:hAnsi="Segoe UI" w:cs="Segoe UI"/>
          <w:sz w:val="23"/>
          <w:szCs w:val="23"/>
          <w:lang w:eastAsia="fr-FR"/>
        </w:rPr>
        <w:t>37</w:t>
      </w:r>
      <w:r w:rsidRPr="00716C90">
        <w:rPr>
          <w:rFonts w:ascii="Segoe UI" w:eastAsia="Times New Roman" w:hAnsi="Segoe UI" w:cs="Segoe UI"/>
          <w:sz w:val="23"/>
          <w:szCs w:val="23"/>
          <w:lang w:eastAsia="fr-FR"/>
        </w:rPr>
        <w:t>% du PIB en 202</w:t>
      </w:r>
      <w:r w:rsidR="00716C90" w:rsidRPr="00716C90">
        <w:rPr>
          <w:rFonts w:ascii="Segoe UI" w:eastAsia="Times New Roman" w:hAnsi="Segoe UI" w:cs="Segoe UI"/>
          <w:sz w:val="23"/>
          <w:szCs w:val="23"/>
          <w:lang w:eastAsia="fr-FR"/>
        </w:rPr>
        <w:t>3</w:t>
      </w:r>
      <w:r w:rsidRPr="003E253F">
        <w:rPr>
          <w:rFonts w:ascii="Segoe UI" w:eastAsia="Times New Roman" w:hAnsi="Segoe UI" w:cs="Segoe UI"/>
          <w:sz w:val="23"/>
          <w:szCs w:val="23"/>
          <w:lang w:eastAsia="fr-FR"/>
        </w:rPr>
        <w:t xml:space="preserve">), notamment au regard du montant considérable d’actifs détenus à l’étranger (environ 1000 Mds USD) : </w:t>
      </w:r>
      <w:r w:rsidRPr="006A586F">
        <w:rPr>
          <w:rFonts w:ascii="Segoe UI" w:eastAsia="Times New Roman" w:hAnsi="Segoe UI" w:cs="Segoe UI"/>
          <w:sz w:val="23"/>
          <w:szCs w:val="23"/>
          <w:lang w:eastAsia="fr-FR"/>
        </w:rPr>
        <w:t xml:space="preserve">aux </w:t>
      </w:r>
      <w:r w:rsidR="006A586F" w:rsidRPr="006A586F">
        <w:rPr>
          <w:rFonts w:ascii="Segoe UI" w:eastAsia="Times New Roman" w:hAnsi="Segoe UI" w:cs="Segoe UI"/>
          <w:sz w:val="23"/>
          <w:szCs w:val="23"/>
          <w:lang w:eastAsia="fr-FR"/>
        </w:rPr>
        <w:t>846</w:t>
      </w:r>
      <w:r w:rsidRPr="006A586F">
        <w:rPr>
          <w:rFonts w:ascii="Segoe UI" w:eastAsia="Times New Roman" w:hAnsi="Segoe UI" w:cs="Segoe UI"/>
          <w:sz w:val="23"/>
          <w:szCs w:val="23"/>
          <w:lang w:eastAsia="fr-FR"/>
        </w:rPr>
        <w:t xml:space="preserve"> Mds USD du Fonds souverain (estimation du </w:t>
      </w:r>
      <w:r w:rsidR="00BC421F">
        <w:rPr>
          <w:rFonts w:ascii="Segoe UI" w:eastAsia="Times New Roman" w:hAnsi="Segoe UI" w:cs="Segoe UI"/>
          <w:sz w:val="23"/>
          <w:szCs w:val="23"/>
          <w:lang w:eastAsia="fr-FR"/>
        </w:rPr>
        <w:t>global SWF</w:t>
      </w:r>
      <w:r w:rsidRPr="006A586F">
        <w:rPr>
          <w:rFonts w:ascii="Segoe UI" w:eastAsia="Times New Roman" w:hAnsi="Segoe UI" w:cs="Segoe UI"/>
          <w:sz w:val="23"/>
          <w:szCs w:val="23"/>
          <w:lang w:eastAsia="fr-FR"/>
        </w:rPr>
        <w:t xml:space="preserve">) </w:t>
      </w:r>
      <w:r w:rsidRPr="00BC421F">
        <w:rPr>
          <w:rFonts w:ascii="Segoe UI" w:eastAsia="Times New Roman" w:hAnsi="Segoe UI" w:cs="Segoe UI"/>
          <w:sz w:val="23"/>
          <w:szCs w:val="23"/>
          <w:lang w:eastAsia="fr-FR"/>
        </w:rPr>
        <w:t xml:space="preserve">s’ajoutent 150 Mds USD de réserves du fonds de pension public (Kuwait Public Institution for social </w:t>
      </w:r>
      <w:proofErr w:type="spellStart"/>
      <w:r w:rsidRPr="00BC421F">
        <w:rPr>
          <w:rFonts w:ascii="Segoe UI" w:eastAsia="Times New Roman" w:hAnsi="Segoe UI" w:cs="Segoe UI"/>
          <w:sz w:val="23"/>
          <w:szCs w:val="23"/>
          <w:lang w:eastAsia="fr-FR"/>
        </w:rPr>
        <w:t>security</w:t>
      </w:r>
      <w:proofErr w:type="spellEnd"/>
      <w:r w:rsidRPr="00BC421F">
        <w:rPr>
          <w:rFonts w:ascii="Segoe UI" w:eastAsia="Times New Roman" w:hAnsi="Segoe UI" w:cs="Segoe UI"/>
          <w:sz w:val="23"/>
          <w:szCs w:val="23"/>
          <w:lang w:eastAsia="fr-FR"/>
        </w:rPr>
        <w:t xml:space="preserve">), </w:t>
      </w:r>
      <w:r w:rsidRPr="00A27A47">
        <w:rPr>
          <w:rFonts w:ascii="Segoe UI" w:eastAsia="Times New Roman" w:hAnsi="Segoe UI" w:cs="Segoe UI"/>
          <w:sz w:val="23"/>
          <w:szCs w:val="23"/>
          <w:lang w:eastAsia="fr-FR"/>
        </w:rPr>
        <w:t xml:space="preserve">41 Mds USD de réserves de change de la Banque centrale, </w:t>
      </w:r>
      <w:r w:rsidRPr="00253ED3">
        <w:rPr>
          <w:rFonts w:ascii="Segoe UI" w:eastAsia="Times New Roman" w:hAnsi="Segoe UI" w:cs="Segoe UI"/>
          <w:sz w:val="23"/>
          <w:szCs w:val="23"/>
          <w:lang w:eastAsia="fr-FR"/>
        </w:rPr>
        <w:t xml:space="preserve">près de 13 </w:t>
      </w:r>
      <w:r w:rsidR="00253ED3" w:rsidRPr="00253ED3">
        <w:rPr>
          <w:rFonts w:ascii="Segoe UI" w:eastAsia="Times New Roman" w:hAnsi="Segoe UI" w:cs="Segoe UI"/>
          <w:sz w:val="23"/>
          <w:szCs w:val="23"/>
          <w:lang w:eastAsia="fr-FR"/>
        </w:rPr>
        <w:t xml:space="preserve">Mds USD </w:t>
      </w:r>
      <w:r w:rsidRPr="00253ED3">
        <w:rPr>
          <w:rFonts w:ascii="Segoe UI" w:eastAsia="Times New Roman" w:hAnsi="Segoe UI" w:cs="Segoe UI"/>
          <w:sz w:val="23"/>
          <w:szCs w:val="23"/>
          <w:lang w:eastAsia="fr-FR"/>
        </w:rPr>
        <w:t>de réserves financière</w:t>
      </w:r>
      <w:r w:rsidR="00AA3239" w:rsidRPr="00253ED3">
        <w:rPr>
          <w:rFonts w:ascii="Segoe UI" w:eastAsia="Times New Roman" w:hAnsi="Segoe UI" w:cs="Segoe UI"/>
          <w:sz w:val="23"/>
          <w:szCs w:val="23"/>
          <w:lang w:eastAsia="fr-FR"/>
        </w:rPr>
        <w:t>s</w:t>
      </w:r>
      <w:r w:rsidRPr="00253ED3">
        <w:rPr>
          <w:rFonts w:ascii="Segoe UI" w:eastAsia="Times New Roman" w:hAnsi="Segoe UI" w:cs="Segoe UI"/>
          <w:sz w:val="23"/>
          <w:szCs w:val="23"/>
          <w:lang w:eastAsia="fr-FR"/>
        </w:rPr>
        <w:t xml:space="preserve"> pour le Fonds koweïtien et </w:t>
      </w:r>
      <w:r w:rsidR="00412C4A" w:rsidRPr="00253ED3">
        <w:rPr>
          <w:rFonts w:ascii="Segoe UI" w:eastAsia="Times New Roman" w:hAnsi="Segoe UI" w:cs="Segoe UI"/>
          <w:sz w:val="23"/>
          <w:szCs w:val="23"/>
          <w:lang w:eastAsia="fr-FR"/>
        </w:rPr>
        <w:t>environ 5</w:t>
      </w:r>
      <w:r w:rsidRPr="00871FCA">
        <w:rPr>
          <w:rFonts w:ascii="Segoe UI" w:eastAsia="Times New Roman" w:hAnsi="Segoe UI" w:cs="Segoe UI"/>
          <w:sz w:val="23"/>
          <w:szCs w:val="23"/>
          <w:lang w:eastAsia="fr-FR"/>
        </w:rPr>
        <w:t xml:space="preserve"> Mds de trésorerie mobilisable chez la pétrolière KPC.</w:t>
      </w:r>
    </w:p>
    <w:p w14:paraId="0CBD00A9" w14:textId="77777777" w:rsidR="008E6875" w:rsidRPr="0025670F" w:rsidRDefault="008E6875" w:rsidP="0025670F">
      <w:pPr>
        <w:jc w:val="both"/>
        <w:rPr>
          <w:rFonts w:ascii="Segoe UI" w:eastAsia="Times New Roman" w:hAnsi="Segoe UI" w:cs="Segoe UI"/>
          <w:sz w:val="23"/>
          <w:szCs w:val="23"/>
          <w:highlight w:val="yellow"/>
          <w:lang w:eastAsia="fr-FR"/>
        </w:rPr>
      </w:pPr>
    </w:p>
    <w:p w14:paraId="0AF63848" w14:textId="7DB5ABC5" w:rsidR="0025670F" w:rsidRPr="0025670F" w:rsidRDefault="008E6875" w:rsidP="0025670F">
      <w:pPr>
        <w:jc w:val="both"/>
        <w:rPr>
          <w:rFonts w:ascii="Segoe UI" w:eastAsia="Times New Roman" w:hAnsi="Segoe UI" w:cs="Segoe UI"/>
          <w:sz w:val="23"/>
          <w:szCs w:val="23"/>
          <w:highlight w:val="yellow"/>
          <w:lang w:eastAsia="fr-FR"/>
        </w:rPr>
      </w:pPr>
      <w:r w:rsidRPr="00E375A2">
        <w:rPr>
          <w:rFonts w:ascii="Segoe UI" w:hAnsi="Segoe UI" w:cs="Segoe UI"/>
          <w:noProof/>
          <w:sz w:val="23"/>
          <w:szCs w:val="23"/>
        </w:rPr>
        <mc:AlternateContent>
          <mc:Choice Requires="wps">
            <w:drawing>
              <wp:inline distT="0" distB="0" distL="0" distR="0" wp14:anchorId="3D8BA0A6" wp14:editId="4939E6FD">
                <wp:extent cx="5760720" cy="304800"/>
                <wp:effectExtent l="0" t="0" r="0" b="0"/>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304800"/>
                        </a:xfrm>
                        <a:prstGeom prst="rect">
                          <a:avLst/>
                        </a:prstGeom>
                        <a:solidFill>
                          <a:srgbClr val="006CE5"/>
                        </a:solidFill>
                        <a:ln w="9525">
                          <a:noFill/>
                          <a:miter lim="800000"/>
                          <a:headEnd/>
                          <a:tailEnd/>
                        </a:ln>
                      </wps:spPr>
                      <wps:txbx>
                        <w:txbxContent>
                          <w:p w14:paraId="5622E4E5" w14:textId="38609B80" w:rsidR="008E6875" w:rsidRPr="00316304" w:rsidRDefault="008E6875" w:rsidP="008E6875">
                            <w:pPr>
                              <w:pStyle w:val="Paragraphedeliste"/>
                              <w:numPr>
                                <w:ilvl w:val="0"/>
                                <w:numId w:val="8"/>
                              </w:numPr>
                              <w:spacing w:after="160" w:line="259" w:lineRule="auto"/>
                              <w:rPr>
                                <w:rFonts w:ascii="Segoe UI Historic" w:hAnsi="Segoe UI Historic" w:cs="Segoe UI Historic"/>
                                <w:color w:val="FFFFFF" w:themeColor="background1"/>
                                <w:sz w:val="24"/>
                              </w:rPr>
                            </w:pPr>
                            <w:r>
                              <w:rPr>
                                <w:rFonts w:ascii="Segoe UI Historic" w:hAnsi="Segoe UI Historic" w:cs="Segoe UI Historic"/>
                                <w:color w:val="FFFFFF" w:themeColor="background1"/>
                                <w:sz w:val="24"/>
                              </w:rPr>
                              <w:t>Finances publiques</w:t>
                            </w:r>
                          </w:p>
                        </w:txbxContent>
                      </wps:txbx>
                      <wps:bodyPr rot="0" vert="horz" wrap="square" lIns="91440" tIns="45720" rIns="91440" bIns="45720" anchor="t" anchorCtr="0">
                        <a:noAutofit/>
                      </wps:bodyPr>
                    </wps:wsp>
                  </a:graphicData>
                </a:graphic>
              </wp:inline>
            </w:drawing>
          </mc:Choice>
          <mc:Fallback>
            <w:pict>
              <v:shape w14:anchorId="3D8BA0A6" id="_x0000_s1028" type="#_x0000_t202" style="width:453.6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" fillcolor="#006ce5" stroked="f">
                <v:textbox>
                  <w:txbxContent>
                    <w:p w14:paraId="5622E4E5" w14:textId="38609B80" w:rsidR="008E6875" w:rsidRPr="00316304" w:rsidRDefault="008E6875" w:rsidP="008E6875">
                      <w:pPr>
                        <w:pStyle w:val="Paragraphedeliste"/>
                        <w:numPr>
                          <w:ilvl w:val="0"/>
                          <w:numId w:val="8"/>
                        </w:numPr>
                        <w:spacing w:after="160" w:line="259" w:lineRule="auto"/>
                        <w:rPr>
                          <w:rFonts w:ascii="Segoe UI Historic" w:hAnsi="Segoe UI Historic" w:cs="Segoe UI Historic"/>
                          <w:color w:val="FFFFFF" w:themeColor="background1"/>
                          <w:sz w:val="24"/>
                        </w:rPr>
                      </w:pPr>
                      <w:r>
                        <w:rPr>
                          <w:rFonts w:ascii="Segoe UI Historic" w:hAnsi="Segoe UI Historic" w:cs="Segoe UI Historic"/>
                          <w:color w:val="FFFFFF" w:themeColor="background1"/>
                          <w:sz w:val="24"/>
                        </w:rPr>
                        <w:t>Finances publiques</w:t>
                      </w:r>
                    </w:p>
                  </w:txbxContent>
                </v:textbox>
                <w10:anchorlock/>
              </v:shape>
            </w:pict>
          </mc:Fallback>
        </mc:AlternateContent>
      </w:r>
    </w:p>
    <w:p w14:paraId="1BFF0158" w14:textId="77777777" w:rsidR="0025670F" w:rsidRPr="0025670F" w:rsidRDefault="0025670F" w:rsidP="0025670F">
      <w:pPr>
        <w:jc w:val="both"/>
        <w:rPr>
          <w:rFonts w:ascii="Segoe UI" w:eastAsia="Times New Roman" w:hAnsi="Segoe UI" w:cs="Segoe UI"/>
          <w:sz w:val="23"/>
          <w:szCs w:val="23"/>
          <w:highlight w:val="yellow"/>
          <w:lang w:eastAsia="fr-FR"/>
        </w:rPr>
      </w:pPr>
    </w:p>
    <w:p w14:paraId="37DA281A" w14:textId="0138C450" w:rsidR="00076A38" w:rsidRDefault="003A6E16" w:rsidP="00076A38">
      <w:pPr>
        <w:jc w:val="both"/>
        <w:rPr>
          <w:rFonts w:ascii="Segoe UI" w:eastAsia="Times New Roman" w:hAnsi="Segoe UI" w:cs="Segoe UI"/>
          <w:b/>
          <w:bCs/>
          <w:sz w:val="23"/>
          <w:szCs w:val="23"/>
          <w:lang w:eastAsia="fr-FR"/>
        </w:rPr>
      </w:pPr>
      <w:r w:rsidRPr="003E253F">
        <w:rPr>
          <w:rFonts w:ascii="Segoe UI" w:eastAsia="Times New Roman" w:hAnsi="Segoe UI" w:cs="Segoe UI"/>
          <w:sz w:val="23"/>
          <w:szCs w:val="23"/>
          <w:lang w:eastAsia="fr-FR"/>
        </w:rPr>
        <w:t>Le projet de loi de finance prévoit pour</w:t>
      </w:r>
      <w:r w:rsidR="0025670F" w:rsidRPr="003E253F">
        <w:rPr>
          <w:rFonts w:ascii="Segoe UI" w:eastAsia="Times New Roman" w:hAnsi="Segoe UI" w:cs="Segoe UI"/>
          <w:sz w:val="23"/>
          <w:szCs w:val="23"/>
          <w:lang w:eastAsia="fr-FR"/>
        </w:rPr>
        <w:t xml:space="preserve"> l'exercice fiscal 202</w:t>
      </w:r>
      <w:r w:rsidR="009931B6" w:rsidRPr="003E253F">
        <w:rPr>
          <w:rFonts w:ascii="Segoe UI" w:eastAsia="Times New Roman" w:hAnsi="Segoe UI" w:cs="Segoe UI"/>
          <w:sz w:val="23"/>
          <w:szCs w:val="23"/>
          <w:lang w:eastAsia="fr-FR"/>
        </w:rPr>
        <w:t>4</w:t>
      </w:r>
      <w:r w:rsidR="0025670F" w:rsidRPr="003E253F">
        <w:rPr>
          <w:rFonts w:ascii="Segoe UI" w:eastAsia="Times New Roman" w:hAnsi="Segoe UI" w:cs="Segoe UI"/>
          <w:sz w:val="23"/>
          <w:szCs w:val="23"/>
          <w:lang w:eastAsia="fr-FR"/>
        </w:rPr>
        <w:t>/2</w:t>
      </w:r>
      <w:r w:rsidR="009931B6" w:rsidRPr="003E253F">
        <w:rPr>
          <w:rFonts w:ascii="Segoe UI" w:eastAsia="Times New Roman" w:hAnsi="Segoe UI" w:cs="Segoe UI"/>
          <w:sz w:val="23"/>
          <w:szCs w:val="23"/>
          <w:lang w:eastAsia="fr-FR"/>
        </w:rPr>
        <w:t>0</w:t>
      </w:r>
      <w:r w:rsidR="0025670F" w:rsidRPr="003E253F">
        <w:rPr>
          <w:rFonts w:ascii="Segoe UI" w:eastAsia="Times New Roman" w:hAnsi="Segoe UI" w:cs="Segoe UI"/>
          <w:sz w:val="23"/>
          <w:szCs w:val="23"/>
          <w:lang w:eastAsia="fr-FR"/>
        </w:rPr>
        <w:t>2</w:t>
      </w:r>
      <w:r w:rsidR="009931B6" w:rsidRPr="003E253F">
        <w:rPr>
          <w:rFonts w:ascii="Segoe UI" w:eastAsia="Times New Roman" w:hAnsi="Segoe UI" w:cs="Segoe UI"/>
          <w:sz w:val="23"/>
          <w:szCs w:val="23"/>
          <w:lang w:eastAsia="fr-FR"/>
        </w:rPr>
        <w:t>5</w:t>
      </w:r>
      <w:r w:rsidR="00B80565" w:rsidRPr="003E253F">
        <w:rPr>
          <w:rFonts w:ascii="Segoe UI" w:eastAsia="Times New Roman" w:hAnsi="Segoe UI" w:cs="Segoe UI"/>
          <w:b/>
          <w:bCs/>
          <w:sz w:val="23"/>
          <w:szCs w:val="23"/>
          <w:lang w:eastAsia="fr-FR"/>
        </w:rPr>
        <w:t xml:space="preserve"> une légère réduction du déficit public</w:t>
      </w:r>
      <w:r w:rsidR="009931B6" w:rsidRPr="003E253F">
        <w:rPr>
          <w:rFonts w:ascii="Segoe UI" w:eastAsia="Times New Roman" w:hAnsi="Segoe UI" w:cs="Segoe UI"/>
          <w:b/>
          <w:bCs/>
          <w:sz w:val="23"/>
          <w:szCs w:val="23"/>
          <w:lang w:eastAsia="fr-FR"/>
        </w:rPr>
        <w:t xml:space="preserve"> </w:t>
      </w:r>
      <w:r w:rsidR="00B80565" w:rsidRPr="003E253F">
        <w:rPr>
          <w:rFonts w:ascii="Segoe UI" w:eastAsia="Times New Roman" w:hAnsi="Segoe UI" w:cs="Segoe UI"/>
          <w:b/>
          <w:bCs/>
          <w:sz w:val="23"/>
          <w:szCs w:val="23"/>
          <w:lang w:eastAsia="fr-FR"/>
        </w:rPr>
        <w:t>qui</w:t>
      </w:r>
      <w:r w:rsidR="0025670F" w:rsidRPr="003E253F">
        <w:rPr>
          <w:rFonts w:ascii="Segoe UI" w:eastAsia="Times New Roman" w:hAnsi="Segoe UI" w:cs="Segoe UI"/>
          <w:b/>
          <w:bCs/>
          <w:sz w:val="23"/>
          <w:szCs w:val="23"/>
          <w:lang w:eastAsia="fr-FR"/>
        </w:rPr>
        <w:t xml:space="preserve"> atteindr</w:t>
      </w:r>
      <w:r w:rsidR="00B80565" w:rsidRPr="003E253F">
        <w:rPr>
          <w:rFonts w:ascii="Segoe UI" w:eastAsia="Times New Roman" w:hAnsi="Segoe UI" w:cs="Segoe UI"/>
          <w:b/>
          <w:bCs/>
          <w:sz w:val="23"/>
          <w:szCs w:val="23"/>
          <w:lang w:eastAsia="fr-FR"/>
        </w:rPr>
        <w:t>ait</w:t>
      </w:r>
      <w:r w:rsidR="009931B6" w:rsidRPr="003E253F">
        <w:rPr>
          <w:rFonts w:ascii="Segoe UI" w:eastAsia="Times New Roman" w:hAnsi="Segoe UI" w:cs="Segoe UI"/>
          <w:b/>
          <w:bCs/>
          <w:sz w:val="23"/>
          <w:szCs w:val="23"/>
          <w:lang w:eastAsia="fr-FR"/>
        </w:rPr>
        <w:t xml:space="preserve"> 19,15 Mds USD</w:t>
      </w:r>
      <w:r w:rsidRPr="003E253F">
        <w:rPr>
          <w:rFonts w:ascii="Segoe UI" w:eastAsia="Times New Roman" w:hAnsi="Segoe UI" w:cs="Segoe UI"/>
          <w:b/>
          <w:bCs/>
          <w:sz w:val="23"/>
          <w:szCs w:val="23"/>
          <w:lang w:eastAsia="fr-FR"/>
        </w:rPr>
        <w:t xml:space="preserve"> (3,6% du PIB 2023).</w:t>
      </w:r>
      <w:r w:rsidR="00B80565">
        <w:rPr>
          <w:rFonts w:ascii="Segoe UI" w:eastAsia="Times New Roman" w:hAnsi="Segoe UI" w:cs="Segoe UI"/>
          <w:sz w:val="23"/>
          <w:szCs w:val="23"/>
          <w:lang w:eastAsia="fr-FR"/>
        </w:rPr>
        <w:t xml:space="preserve"> </w:t>
      </w:r>
      <w:r w:rsidR="00076A38">
        <w:rPr>
          <w:rFonts w:ascii="Segoe UI" w:eastAsia="Times New Roman" w:hAnsi="Segoe UI" w:cs="Segoe UI"/>
          <w:sz w:val="23"/>
          <w:szCs w:val="23"/>
          <w:lang w:eastAsia="fr-FR"/>
        </w:rPr>
        <w:t xml:space="preserve">A l’exception de l’année 2022-2023 qui a vu un excédent budgétaire de plus de 20 Mds USD (grâce à un cours du Brent très élevé), </w:t>
      </w:r>
      <w:r w:rsidR="00076A38" w:rsidRPr="003E253F">
        <w:rPr>
          <w:rFonts w:ascii="Segoe UI" w:eastAsia="Times New Roman" w:hAnsi="Segoe UI" w:cs="Segoe UI"/>
          <w:b/>
          <w:bCs/>
          <w:sz w:val="23"/>
          <w:szCs w:val="23"/>
          <w:lang w:eastAsia="fr-FR"/>
        </w:rPr>
        <w:t xml:space="preserve">le pays connaît une situation de déficit tous les ans depuis une décennie. </w:t>
      </w:r>
    </w:p>
    <w:p w14:paraId="79CFF086" w14:textId="77777777" w:rsidR="003C1FFA" w:rsidRPr="003E253F" w:rsidRDefault="003C1FFA" w:rsidP="00076A38">
      <w:pPr>
        <w:jc w:val="both"/>
        <w:rPr>
          <w:rFonts w:ascii="Segoe UI" w:eastAsia="Times New Roman" w:hAnsi="Segoe UI" w:cs="Segoe UI"/>
          <w:b/>
          <w:bCs/>
          <w:sz w:val="23"/>
          <w:szCs w:val="23"/>
          <w:highlight w:val="yellow"/>
          <w:lang w:eastAsia="fr-FR"/>
        </w:rPr>
      </w:pPr>
    </w:p>
    <w:p w14:paraId="45DD37F5" w14:textId="1AFF741F" w:rsidR="0025670F" w:rsidRPr="00412C4A" w:rsidRDefault="0025670F" w:rsidP="0025670F">
      <w:pPr>
        <w:jc w:val="both"/>
        <w:rPr>
          <w:rFonts w:ascii="Segoe UI" w:eastAsia="Times New Roman" w:hAnsi="Segoe UI" w:cs="Segoe UI"/>
          <w:sz w:val="23"/>
          <w:szCs w:val="23"/>
          <w:lang w:eastAsia="fr-FR"/>
        </w:rPr>
      </w:pPr>
      <w:r w:rsidRPr="003C1FFA">
        <w:rPr>
          <w:rFonts w:ascii="Segoe UI" w:eastAsia="Times New Roman" w:hAnsi="Segoe UI" w:cs="Segoe UI"/>
          <w:b/>
          <w:bCs/>
          <w:sz w:val="23"/>
          <w:szCs w:val="23"/>
          <w:lang w:eastAsia="fr-FR"/>
        </w:rPr>
        <w:t xml:space="preserve">Pour financer </w:t>
      </w:r>
      <w:r w:rsidR="00076A38" w:rsidRPr="003C1FFA">
        <w:rPr>
          <w:rFonts w:ascii="Segoe UI" w:eastAsia="Times New Roman" w:hAnsi="Segoe UI" w:cs="Segoe UI"/>
          <w:b/>
          <w:bCs/>
          <w:sz w:val="23"/>
          <w:szCs w:val="23"/>
          <w:lang w:eastAsia="fr-FR"/>
        </w:rPr>
        <w:t>c</w:t>
      </w:r>
      <w:r w:rsidR="009931B6" w:rsidRPr="003C1FFA">
        <w:rPr>
          <w:rFonts w:ascii="Segoe UI" w:eastAsia="Times New Roman" w:hAnsi="Segoe UI" w:cs="Segoe UI"/>
          <w:b/>
          <w:bCs/>
          <w:sz w:val="23"/>
          <w:szCs w:val="23"/>
          <w:lang w:eastAsia="fr-FR"/>
        </w:rPr>
        <w:t>es déficits structurels,</w:t>
      </w:r>
      <w:r w:rsidRPr="003C1FFA">
        <w:rPr>
          <w:rFonts w:ascii="Segoe UI" w:eastAsia="Times New Roman" w:hAnsi="Segoe UI" w:cs="Segoe UI"/>
          <w:b/>
          <w:bCs/>
          <w:sz w:val="23"/>
          <w:szCs w:val="23"/>
          <w:lang w:eastAsia="fr-FR"/>
        </w:rPr>
        <w:t xml:space="preserve"> le gouvernement ne peut toujours pas émettre de nouvelle dette,</w:t>
      </w:r>
      <w:r w:rsidRPr="008E6875">
        <w:rPr>
          <w:rFonts w:ascii="Segoe UI" w:eastAsia="Times New Roman" w:hAnsi="Segoe UI" w:cs="Segoe UI"/>
          <w:sz w:val="23"/>
          <w:szCs w:val="23"/>
          <w:lang w:eastAsia="fr-FR"/>
        </w:rPr>
        <w:t xml:space="preserve"> en l’absence de base légale, mais s’appuie sur le fonds de réserve générale (géré par </w:t>
      </w:r>
      <w:r w:rsidRPr="00412C4A">
        <w:rPr>
          <w:rFonts w:ascii="Segoe UI" w:eastAsia="Times New Roman" w:hAnsi="Segoe UI" w:cs="Segoe UI"/>
          <w:sz w:val="23"/>
          <w:szCs w:val="23"/>
          <w:lang w:eastAsia="fr-FR"/>
        </w:rPr>
        <w:t>le KIA et collectant la totalité des recettes fiscales de l’Etat), dont les réserves sont en voie d’épuisement.</w:t>
      </w:r>
    </w:p>
    <w:p w14:paraId="3A1DF1CC" w14:textId="48043603" w:rsidR="001D2E5E" w:rsidRDefault="0025670F" w:rsidP="0025670F">
      <w:pPr>
        <w:jc w:val="both"/>
        <w:rPr>
          <w:rFonts w:ascii="Segoe UI" w:eastAsia="Times New Roman" w:hAnsi="Segoe UI" w:cs="Segoe UI"/>
          <w:sz w:val="23"/>
          <w:szCs w:val="23"/>
          <w:lang w:eastAsia="fr-FR"/>
        </w:rPr>
      </w:pPr>
      <w:r w:rsidRPr="00412C4A">
        <w:rPr>
          <w:rFonts w:ascii="Segoe UI" w:eastAsia="Times New Roman" w:hAnsi="Segoe UI" w:cs="Segoe UI"/>
          <w:sz w:val="23"/>
          <w:szCs w:val="23"/>
          <w:lang w:eastAsia="fr-FR"/>
        </w:rPr>
        <w:t xml:space="preserve">Afin de desserrer cette contrainte, le gouvernement a présenté un </w:t>
      </w:r>
      <w:r w:rsidRPr="00412C4A">
        <w:rPr>
          <w:rFonts w:ascii="Segoe UI" w:eastAsia="Times New Roman" w:hAnsi="Segoe UI" w:cs="Segoe UI"/>
          <w:b/>
          <w:bCs/>
          <w:sz w:val="23"/>
          <w:szCs w:val="23"/>
          <w:lang w:eastAsia="fr-FR"/>
        </w:rPr>
        <w:t xml:space="preserve">programme de loi d’endettement qui lui donnerait la possibilité d’emprunter à nouveau sur les marchés (jusqu’à </w:t>
      </w:r>
      <w:r w:rsidR="00412C4A" w:rsidRPr="00412C4A">
        <w:rPr>
          <w:rFonts w:ascii="Segoe UI" w:eastAsia="Times New Roman" w:hAnsi="Segoe UI" w:cs="Segoe UI"/>
          <w:b/>
          <w:bCs/>
          <w:sz w:val="23"/>
          <w:szCs w:val="23"/>
          <w:lang w:eastAsia="fr-FR"/>
        </w:rPr>
        <w:t>1</w:t>
      </w:r>
      <w:r w:rsidRPr="00412C4A">
        <w:rPr>
          <w:rFonts w:ascii="Segoe UI" w:eastAsia="Times New Roman" w:hAnsi="Segoe UI" w:cs="Segoe UI"/>
          <w:b/>
          <w:bCs/>
          <w:sz w:val="23"/>
          <w:szCs w:val="23"/>
          <w:lang w:eastAsia="fr-FR"/>
        </w:rPr>
        <w:t xml:space="preserve">0 Mds KWD soit </w:t>
      </w:r>
      <w:r w:rsidR="00412C4A" w:rsidRPr="00412C4A">
        <w:rPr>
          <w:rFonts w:ascii="Segoe UI" w:eastAsia="Times New Roman" w:hAnsi="Segoe UI" w:cs="Segoe UI"/>
          <w:b/>
          <w:bCs/>
          <w:sz w:val="23"/>
          <w:szCs w:val="23"/>
          <w:lang w:eastAsia="fr-FR"/>
        </w:rPr>
        <w:t>environ 33</w:t>
      </w:r>
      <w:r w:rsidRPr="00412C4A">
        <w:rPr>
          <w:rFonts w:ascii="Segoe UI" w:eastAsia="Times New Roman" w:hAnsi="Segoe UI" w:cs="Segoe UI"/>
          <w:b/>
          <w:bCs/>
          <w:sz w:val="23"/>
          <w:szCs w:val="23"/>
          <w:lang w:eastAsia="fr-FR"/>
        </w:rPr>
        <w:t xml:space="preserve"> Mds USD).</w:t>
      </w:r>
      <w:r w:rsidRPr="00412C4A">
        <w:rPr>
          <w:rFonts w:ascii="Segoe UI" w:eastAsia="Times New Roman" w:hAnsi="Segoe UI" w:cs="Segoe UI"/>
          <w:sz w:val="23"/>
          <w:szCs w:val="23"/>
          <w:lang w:eastAsia="fr-FR"/>
        </w:rPr>
        <w:t xml:space="preserve"> En outre, il a proposé aux parlementaires en février 2021 un projet de loi de réforme du fonds souverain (550 Mds USD) afin de permettre une ponction annuelle plafonnée à 17,5 Mds USD. Enfin, </w:t>
      </w:r>
      <w:r w:rsidRPr="00412C4A">
        <w:rPr>
          <w:rFonts w:ascii="Segoe UI" w:eastAsia="Times New Roman" w:hAnsi="Segoe UI" w:cs="Segoe UI"/>
          <w:b/>
          <w:bCs/>
          <w:sz w:val="23"/>
          <w:szCs w:val="23"/>
          <w:lang w:eastAsia="fr-FR"/>
        </w:rPr>
        <w:t>il a élaboré un plan de diversification des recettes fiscales</w:t>
      </w:r>
      <w:r w:rsidRPr="00412C4A">
        <w:rPr>
          <w:rFonts w:ascii="Segoe UI" w:eastAsia="Times New Roman" w:hAnsi="Segoe UI" w:cs="Segoe UI"/>
          <w:sz w:val="23"/>
          <w:szCs w:val="23"/>
          <w:lang w:eastAsia="fr-FR"/>
        </w:rPr>
        <w:t xml:space="preserve"> (TVA à 5% </w:t>
      </w:r>
      <w:r w:rsidR="005D180B" w:rsidRPr="00412C4A">
        <w:rPr>
          <w:rFonts w:ascii="Segoe UI" w:eastAsia="Times New Roman" w:hAnsi="Segoe UI" w:cs="Segoe UI"/>
          <w:sz w:val="23"/>
          <w:szCs w:val="23"/>
          <w:lang w:eastAsia="fr-FR"/>
        </w:rPr>
        <w:t xml:space="preserve">un temps </w:t>
      </w:r>
      <w:r w:rsidRPr="00412C4A">
        <w:rPr>
          <w:rFonts w:ascii="Segoe UI" w:eastAsia="Times New Roman" w:hAnsi="Segoe UI" w:cs="Segoe UI"/>
          <w:sz w:val="23"/>
          <w:szCs w:val="23"/>
          <w:lang w:eastAsia="fr-FR"/>
        </w:rPr>
        <w:t>envisagée</w:t>
      </w:r>
      <w:r w:rsidR="005D180B" w:rsidRPr="005D180B">
        <w:rPr>
          <w:rFonts w:ascii="Segoe UI" w:eastAsia="Times New Roman" w:hAnsi="Segoe UI" w:cs="Segoe UI"/>
          <w:sz w:val="23"/>
          <w:szCs w:val="23"/>
          <w:lang w:eastAsia="fr-FR"/>
        </w:rPr>
        <w:t xml:space="preserve"> mais pour le moment de nouveau écartée</w:t>
      </w:r>
      <w:r w:rsidRPr="005D180B">
        <w:rPr>
          <w:rFonts w:ascii="Segoe UI" w:eastAsia="Times New Roman" w:hAnsi="Segoe UI" w:cs="Segoe UI"/>
          <w:sz w:val="23"/>
          <w:szCs w:val="23"/>
          <w:lang w:eastAsia="fr-FR"/>
        </w:rPr>
        <w:t>, droits d’accises sur le tabac et les boissons sucrées envisagés</w:t>
      </w:r>
      <w:r w:rsidR="005D180B" w:rsidRPr="005D180B">
        <w:rPr>
          <w:rFonts w:ascii="Segoe UI" w:eastAsia="Times New Roman" w:hAnsi="Segoe UI" w:cs="Segoe UI"/>
          <w:sz w:val="23"/>
          <w:szCs w:val="23"/>
          <w:lang w:eastAsia="fr-FR"/>
        </w:rPr>
        <w:t xml:space="preserve"> depuis quelques années mais toujours pas mises en œuvre aujourd’hui</w:t>
      </w:r>
      <w:r w:rsidRPr="005D180B">
        <w:rPr>
          <w:rFonts w:ascii="Segoe UI" w:eastAsia="Times New Roman" w:hAnsi="Segoe UI" w:cs="Segoe UI"/>
          <w:sz w:val="23"/>
          <w:szCs w:val="23"/>
          <w:lang w:eastAsia="fr-FR"/>
        </w:rPr>
        <w:t xml:space="preserve">) et de rationalisation des dépenses. </w:t>
      </w:r>
      <w:r w:rsidRPr="00283487">
        <w:rPr>
          <w:rFonts w:ascii="Segoe UI" w:eastAsia="Times New Roman" w:hAnsi="Segoe UI" w:cs="Segoe UI"/>
          <w:sz w:val="23"/>
          <w:szCs w:val="23"/>
          <w:lang w:eastAsia="fr-FR"/>
        </w:rPr>
        <w:t xml:space="preserve">Ces dernières ont beaucoup augmenté depuis 2014 à </w:t>
      </w:r>
      <w:r w:rsidRPr="00283487">
        <w:rPr>
          <w:rFonts w:ascii="Segoe UI" w:eastAsia="Times New Roman" w:hAnsi="Segoe UI" w:cs="Segoe UI"/>
          <w:sz w:val="23"/>
          <w:szCs w:val="23"/>
          <w:lang w:eastAsia="fr-FR"/>
        </w:rPr>
        <w:lastRenderedPageBreak/>
        <w:t>la faveur d’un Etat providence toujours plus généreux qui garantit l’éducation</w:t>
      </w:r>
      <w:r w:rsidRPr="005D180B">
        <w:rPr>
          <w:rFonts w:ascii="Segoe UI" w:eastAsia="Times New Roman" w:hAnsi="Segoe UI" w:cs="Segoe UI"/>
          <w:sz w:val="23"/>
          <w:szCs w:val="23"/>
          <w:lang w:eastAsia="fr-FR"/>
        </w:rPr>
        <w:t>, la santé, un logement et un emploi à chaque citoyen et compense quasiment intégralement les coûts de nombreuses utilities (eau et électricité quasi-gratuites)</w:t>
      </w:r>
      <w:r w:rsidR="00283487">
        <w:rPr>
          <w:rFonts w:ascii="Segoe UI" w:eastAsia="Times New Roman" w:hAnsi="Segoe UI" w:cs="Segoe UI"/>
          <w:sz w:val="23"/>
          <w:szCs w:val="23"/>
          <w:lang w:eastAsia="fr-FR"/>
        </w:rPr>
        <w:t>.</w:t>
      </w:r>
      <w:r w:rsidRPr="005D180B">
        <w:rPr>
          <w:rFonts w:ascii="Segoe UI" w:eastAsia="Times New Roman" w:hAnsi="Segoe UI" w:cs="Segoe UI"/>
          <w:sz w:val="23"/>
          <w:szCs w:val="23"/>
          <w:lang w:eastAsia="fr-FR"/>
        </w:rPr>
        <w:t xml:space="preserve"> </w:t>
      </w:r>
    </w:p>
    <w:p w14:paraId="498755EE" w14:textId="2C3CBB90" w:rsidR="00666985" w:rsidRDefault="00666985" w:rsidP="0025670F">
      <w:pPr>
        <w:jc w:val="both"/>
        <w:rPr>
          <w:rFonts w:ascii="Segoe UI" w:eastAsia="Times New Roman" w:hAnsi="Segoe UI" w:cs="Segoe UI"/>
          <w:sz w:val="23"/>
          <w:szCs w:val="23"/>
          <w:lang w:eastAsia="fr-FR"/>
        </w:rPr>
      </w:pPr>
      <w:r w:rsidRPr="00666985">
        <w:rPr>
          <w:rFonts w:ascii="Segoe UI" w:eastAsia="Times New Roman" w:hAnsi="Segoe UI" w:cs="Segoe UI"/>
          <w:b/>
          <w:bCs/>
          <w:sz w:val="23"/>
          <w:szCs w:val="23"/>
          <w:lang w:eastAsia="fr-FR"/>
        </w:rPr>
        <w:t>Les subventions représentent 19% du total des dépenses de l’Etat, et les salaires de la fonction publique près de 60%.</w:t>
      </w:r>
      <w:r w:rsidRPr="00666985">
        <w:rPr>
          <w:rFonts w:ascii="Segoe UI" w:eastAsia="Times New Roman" w:hAnsi="Segoe UI" w:cs="Segoe UI"/>
          <w:sz w:val="23"/>
          <w:szCs w:val="23"/>
          <w:lang w:eastAsia="fr-FR"/>
        </w:rPr>
        <w:t xml:space="preserve"> Toutes ces propositions du gouvernement ont jusqu’à présent été rejetées par le Parlement, qui fait levier sur le sujet pour exiger des changements sur le terrain politique.</w:t>
      </w:r>
      <w:r w:rsidRPr="004D6375">
        <w:rPr>
          <w:rFonts w:ascii="Segoe UI" w:eastAsia="Times New Roman" w:hAnsi="Segoe UI" w:cs="Segoe UI"/>
          <w:sz w:val="23"/>
          <w:szCs w:val="23"/>
          <w:lang w:eastAsia="fr-FR"/>
        </w:rPr>
        <w:t xml:space="preserve"> </w:t>
      </w:r>
    </w:p>
    <w:p w14:paraId="30F43F42" w14:textId="77777777" w:rsidR="004551C5" w:rsidRDefault="004551C5" w:rsidP="0025670F">
      <w:pPr>
        <w:jc w:val="both"/>
        <w:rPr>
          <w:rFonts w:ascii="Segoe UI" w:eastAsia="Times New Roman" w:hAnsi="Segoe UI" w:cs="Segoe UI"/>
          <w:sz w:val="23"/>
          <w:szCs w:val="23"/>
          <w:lang w:eastAsia="fr-FR"/>
        </w:rPr>
      </w:pPr>
    </w:p>
    <w:p w14:paraId="5232578C" w14:textId="6B4F954C" w:rsidR="0045573D" w:rsidRDefault="0045573D" w:rsidP="0025670F">
      <w:pPr>
        <w:jc w:val="both"/>
        <w:rPr>
          <w:rFonts w:ascii="Segoe UI" w:eastAsia="Times New Roman" w:hAnsi="Segoe UI" w:cs="Segoe UI"/>
          <w:sz w:val="23"/>
          <w:szCs w:val="23"/>
          <w:lang w:eastAsia="fr-FR"/>
        </w:rPr>
      </w:pPr>
      <w:r w:rsidRPr="00F6714C">
        <w:rPr>
          <w:rFonts w:ascii="Segoe UI" w:eastAsia="Times New Roman" w:hAnsi="Segoe UI" w:cs="Segoe UI"/>
          <w:sz w:val="23"/>
          <w:szCs w:val="23"/>
          <w:lang w:eastAsia="fr-FR"/>
        </w:rPr>
        <w:t xml:space="preserve">L’augmentation des recettes fiscales dans l’avenir pourrait se faire par </w:t>
      </w:r>
      <w:r w:rsidRPr="00F6714C">
        <w:rPr>
          <w:rFonts w:ascii="Segoe UI" w:eastAsia="Times New Roman" w:hAnsi="Segoe UI" w:cs="Segoe UI"/>
          <w:b/>
          <w:bCs/>
          <w:sz w:val="23"/>
          <w:szCs w:val="23"/>
          <w:lang w:eastAsia="fr-FR"/>
        </w:rPr>
        <w:t>l’introduction d’un impôt sur les sociétés</w:t>
      </w:r>
      <w:r w:rsidRPr="00F6714C">
        <w:rPr>
          <w:rFonts w:ascii="Segoe UI" w:eastAsia="Times New Roman" w:hAnsi="Segoe UI" w:cs="Segoe UI"/>
          <w:sz w:val="23"/>
          <w:szCs w:val="23"/>
          <w:lang w:eastAsia="fr-FR"/>
        </w:rPr>
        <w:t>, inexistant</w:t>
      </w:r>
      <w:r>
        <w:rPr>
          <w:rFonts w:ascii="Segoe UI" w:eastAsia="Times New Roman" w:hAnsi="Segoe UI" w:cs="Segoe UI"/>
          <w:sz w:val="23"/>
          <w:szCs w:val="23"/>
          <w:lang w:eastAsia="fr-FR"/>
        </w:rPr>
        <w:t xml:space="preserve"> </w:t>
      </w:r>
      <w:r w:rsidR="00952DE8">
        <w:rPr>
          <w:rFonts w:ascii="Segoe UI" w:eastAsia="Times New Roman" w:hAnsi="Segoe UI" w:cs="Segoe UI"/>
          <w:sz w:val="23"/>
          <w:szCs w:val="23"/>
          <w:lang w:eastAsia="fr-FR"/>
        </w:rPr>
        <w:t xml:space="preserve">pour les entreprises locales à l’heure actuelle. En effet, </w:t>
      </w:r>
      <w:r w:rsidR="00952DE8" w:rsidRPr="00952DE8">
        <w:rPr>
          <w:rFonts w:ascii="Segoe UI" w:eastAsia="Times New Roman" w:hAnsi="Segoe UI" w:cs="Segoe UI"/>
          <w:b/>
          <w:bCs/>
          <w:sz w:val="23"/>
          <w:szCs w:val="23"/>
          <w:lang w:eastAsia="fr-FR"/>
        </w:rPr>
        <w:t xml:space="preserve">le Koweït est devenu </w:t>
      </w:r>
      <w:r w:rsidR="003C1FFA">
        <w:rPr>
          <w:rFonts w:ascii="Segoe UI" w:eastAsia="Times New Roman" w:hAnsi="Segoe UI" w:cs="Segoe UI"/>
          <w:b/>
          <w:bCs/>
          <w:sz w:val="23"/>
          <w:szCs w:val="23"/>
          <w:lang w:eastAsia="fr-FR"/>
        </w:rPr>
        <w:t xml:space="preserve">en 2023 </w:t>
      </w:r>
      <w:r w:rsidR="00952DE8" w:rsidRPr="00952DE8">
        <w:rPr>
          <w:rFonts w:ascii="Segoe UI" w:eastAsia="Times New Roman" w:hAnsi="Segoe UI" w:cs="Segoe UI"/>
          <w:b/>
          <w:bCs/>
          <w:sz w:val="23"/>
          <w:szCs w:val="23"/>
          <w:lang w:eastAsia="fr-FR"/>
        </w:rPr>
        <w:t>membre de l’initiative de taxation inclusive BEPS</w:t>
      </w:r>
      <w:r w:rsidR="00952DE8">
        <w:rPr>
          <w:rFonts w:ascii="Segoe UI" w:eastAsia="Times New Roman" w:hAnsi="Segoe UI" w:cs="Segoe UI"/>
          <w:sz w:val="23"/>
          <w:szCs w:val="23"/>
          <w:lang w:eastAsia="fr-FR"/>
        </w:rPr>
        <w:t xml:space="preserve"> (érosion de la base d’imposition et transfert des bénéfices) menée par l’OCDE. Ce cadre comprend notamment </w:t>
      </w:r>
      <w:r w:rsidR="00952DE8" w:rsidRPr="00952DE8">
        <w:rPr>
          <w:rFonts w:ascii="Segoe UI" w:eastAsia="Times New Roman" w:hAnsi="Segoe UI" w:cs="Segoe UI"/>
          <w:b/>
          <w:bCs/>
          <w:sz w:val="23"/>
          <w:szCs w:val="23"/>
          <w:lang w:eastAsia="fr-FR"/>
        </w:rPr>
        <w:t>l’instauration d’un taux d’imposition sur les sociétés de minimum 15%</w:t>
      </w:r>
      <w:r w:rsidR="00952DE8">
        <w:rPr>
          <w:rFonts w:ascii="Segoe UI" w:eastAsia="Times New Roman" w:hAnsi="Segoe UI" w:cs="Segoe UI"/>
          <w:b/>
          <w:bCs/>
          <w:sz w:val="23"/>
          <w:szCs w:val="23"/>
          <w:lang w:eastAsia="fr-FR"/>
        </w:rPr>
        <w:t>.</w:t>
      </w:r>
      <w:r w:rsidR="00EB532B">
        <w:rPr>
          <w:rFonts w:ascii="Segoe UI" w:eastAsia="Times New Roman" w:hAnsi="Segoe UI" w:cs="Segoe UI"/>
          <w:b/>
          <w:bCs/>
          <w:sz w:val="23"/>
          <w:szCs w:val="23"/>
          <w:lang w:eastAsia="fr-FR"/>
        </w:rPr>
        <w:t xml:space="preserve"> </w:t>
      </w:r>
      <w:r w:rsidR="00EB532B">
        <w:rPr>
          <w:rFonts w:ascii="Segoe UI" w:eastAsia="Times New Roman" w:hAnsi="Segoe UI" w:cs="Segoe UI"/>
          <w:sz w:val="23"/>
          <w:szCs w:val="23"/>
          <w:lang w:eastAsia="fr-FR"/>
        </w:rPr>
        <w:t xml:space="preserve">A l’heure actuelle, cette taxe est annoncée effective à </w:t>
      </w:r>
      <w:r w:rsidR="00EB532B" w:rsidRPr="00EB532B">
        <w:rPr>
          <w:rFonts w:ascii="Segoe UI" w:eastAsia="Times New Roman" w:hAnsi="Segoe UI" w:cs="Segoe UI"/>
          <w:b/>
          <w:bCs/>
          <w:sz w:val="23"/>
          <w:szCs w:val="23"/>
          <w:lang w:eastAsia="fr-FR"/>
        </w:rPr>
        <w:t>partir du 1</w:t>
      </w:r>
      <w:r w:rsidR="00EB532B" w:rsidRPr="00EB532B">
        <w:rPr>
          <w:rFonts w:ascii="Segoe UI" w:eastAsia="Times New Roman" w:hAnsi="Segoe UI" w:cs="Segoe UI"/>
          <w:b/>
          <w:bCs/>
          <w:sz w:val="23"/>
          <w:szCs w:val="23"/>
          <w:vertAlign w:val="superscript"/>
          <w:lang w:eastAsia="fr-FR"/>
        </w:rPr>
        <w:t>er</w:t>
      </w:r>
      <w:r w:rsidR="00EB532B" w:rsidRPr="00EB532B">
        <w:rPr>
          <w:rFonts w:ascii="Segoe UI" w:eastAsia="Times New Roman" w:hAnsi="Segoe UI" w:cs="Segoe UI"/>
          <w:b/>
          <w:bCs/>
          <w:sz w:val="23"/>
          <w:szCs w:val="23"/>
          <w:lang w:eastAsia="fr-FR"/>
        </w:rPr>
        <w:t xml:space="preserve"> janvier 2025 </w:t>
      </w:r>
      <w:r w:rsidR="00EB532B">
        <w:rPr>
          <w:rFonts w:ascii="Segoe UI" w:eastAsia="Times New Roman" w:hAnsi="Segoe UI" w:cs="Segoe UI"/>
          <w:sz w:val="23"/>
          <w:szCs w:val="23"/>
          <w:lang w:eastAsia="fr-FR"/>
        </w:rPr>
        <w:t xml:space="preserve">mais cela devra encore être confirmé par l’amendement des lois relatives à ce sujet.   </w:t>
      </w:r>
    </w:p>
    <w:p w14:paraId="1D76BC07" w14:textId="77777777" w:rsidR="00C14724" w:rsidRDefault="00C14724" w:rsidP="0025670F">
      <w:pPr>
        <w:jc w:val="both"/>
        <w:rPr>
          <w:rFonts w:ascii="Segoe UI" w:eastAsia="Times New Roman" w:hAnsi="Segoe UI" w:cs="Segoe UI"/>
          <w:sz w:val="23"/>
          <w:szCs w:val="23"/>
          <w:lang w:eastAsia="fr-FR"/>
        </w:rPr>
      </w:pPr>
    </w:p>
    <w:p w14:paraId="0DFEE1F4" w14:textId="770E247F" w:rsidR="0025670F" w:rsidRPr="0025670F" w:rsidRDefault="0025670F" w:rsidP="0025670F">
      <w:pPr>
        <w:jc w:val="both"/>
        <w:rPr>
          <w:rFonts w:ascii="Segoe UI" w:eastAsia="Times New Roman" w:hAnsi="Segoe UI" w:cs="Segoe UI"/>
          <w:sz w:val="23"/>
          <w:szCs w:val="23"/>
          <w:highlight w:val="yellow"/>
          <w:lang w:eastAsia="fr-FR"/>
        </w:rPr>
      </w:pPr>
      <w:r w:rsidRPr="009E30C3">
        <w:rPr>
          <w:rFonts w:ascii="Segoe UI" w:eastAsia="Times New Roman" w:hAnsi="Segoe UI" w:cs="Segoe UI"/>
          <w:sz w:val="23"/>
          <w:szCs w:val="23"/>
          <w:lang w:eastAsia="fr-FR"/>
        </w:rPr>
        <w:t xml:space="preserve">Cette situation d’incertitude sur la gouvernance du Koweït et ses finances publiques a conduit S&amp;P </w:t>
      </w:r>
      <w:r w:rsidR="00C57C6A" w:rsidRPr="009E30C3">
        <w:rPr>
          <w:rFonts w:ascii="Segoe UI" w:eastAsia="Times New Roman" w:hAnsi="Segoe UI" w:cs="Segoe UI"/>
          <w:sz w:val="23"/>
          <w:szCs w:val="23"/>
          <w:lang w:eastAsia="fr-FR"/>
        </w:rPr>
        <w:t>à</w:t>
      </w:r>
      <w:r w:rsidRPr="009E30C3">
        <w:rPr>
          <w:rFonts w:ascii="Segoe UI" w:eastAsia="Times New Roman" w:hAnsi="Segoe UI" w:cs="Segoe UI"/>
          <w:sz w:val="23"/>
          <w:szCs w:val="23"/>
          <w:lang w:eastAsia="fr-FR"/>
        </w:rPr>
        <w:t xml:space="preserve"> </w:t>
      </w:r>
      <w:r w:rsidRPr="00C14724">
        <w:rPr>
          <w:rFonts w:ascii="Segoe UI" w:eastAsia="Times New Roman" w:hAnsi="Segoe UI" w:cs="Segoe UI"/>
          <w:sz w:val="23"/>
          <w:szCs w:val="23"/>
          <w:lang w:eastAsia="fr-FR"/>
        </w:rPr>
        <w:t xml:space="preserve">dégrader la note souveraine du Koweït en juillet 2021 </w:t>
      </w:r>
      <w:r w:rsidRPr="009E30C3">
        <w:rPr>
          <w:rFonts w:ascii="Segoe UI" w:eastAsia="Times New Roman" w:hAnsi="Segoe UI" w:cs="Segoe UI"/>
          <w:sz w:val="23"/>
          <w:szCs w:val="23"/>
          <w:lang w:eastAsia="fr-FR"/>
        </w:rPr>
        <w:t xml:space="preserve">de AA- à A+ avec une perspective </w:t>
      </w:r>
      <w:r w:rsidRPr="00E64867">
        <w:rPr>
          <w:rFonts w:ascii="Segoe UI" w:eastAsia="Times New Roman" w:hAnsi="Segoe UI" w:cs="Segoe UI"/>
          <w:sz w:val="23"/>
          <w:szCs w:val="23"/>
          <w:lang w:eastAsia="fr-FR"/>
        </w:rPr>
        <w:t>négative</w:t>
      </w:r>
      <w:r w:rsidR="00E64867" w:rsidRPr="00E64867">
        <w:rPr>
          <w:rFonts w:ascii="Segoe UI" w:eastAsia="Times New Roman" w:hAnsi="Segoe UI" w:cs="Segoe UI"/>
          <w:sz w:val="23"/>
          <w:szCs w:val="23"/>
          <w:lang w:eastAsia="fr-FR"/>
        </w:rPr>
        <w:t>, redevenue stable depuis,</w:t>
      </w:r>
      <w:r w:rsidRPr="00E64867">
        <w:rPr>
          <w:rFonts w:ascii="Segoe UI" w:eastAsia="Times New Roman" w:hAnsi="Segoe UI" w:cs="Segoe UI"/>
          <w:sz w:val="23"/>
          <w:szCs w:val="23"/>
          <w:lang w:eastAsia="fr-FR"/>
        </w:rPr>
        <w:t xml:space="preserve"> </w:t>
      </w:r>
      <w:r w:rsidRPr="009E30C3">
        <w:rPr>
          <w:rFonts w:ascii="Segoe UI" w:eastAsia="Times New Roman" w:hAnsi="Segoe UI" w:cs="Segoe UI"/>
          <w:sz w:val="23"/>
          <w:szCs w:val="23"/>
          <w:lang w:eastAsia="fr-FR"/>
        </w:rPr>
        <w:t xml:space="preserve">du fait de </w:t>
      </w:r>
      <w:r w:rsidRPr="00C14724">
        <w:rPr>
          <w:rFonts w:ascii="Segoe UI" w:eastAsia="Times New Roman" w:hAnsi="Segoe UI" w:cs="Segoe UI"/>
          <w:b/>
          <w:bCs/>
          <w:sz w:val="23"/>
          <w:szCs w:val="23"/>
          <w:lang w:eastAsia="fr-FR"/>
        </w:rPr>
        <w:t>la raréfaction des liquidités disponibles du gouvernement et d’une évaluation à la baisse des institutions koweïtiennes.</w:t>
      </w:r>
      <w:r w:rsidRPr="009E30C3">
        <w:rPr>
          <w:rFonts w:ascii="Segoe UI" w:eastAsia="Times New Roman" w:hAnsi="Segoe UI" w:cs="Segoe UI"/>
          <w:sz w:val="23"/>
          <w:szCs w:val="23"/>
          <w:lang w:eastAsia="fr-FR"/>
        </w:rPr>
        <w:t xml:space="preserve"> En janvier 2022, Fitch a dégradé sa note de AA à AA- avec une perspective stable pour les mêmes raisons</w:t>
      </w:r>
      <w:r w:rsidR="002C1CDC">
        <w:rPr>
          <w:rFonts w:ascii="Segoe UI" w:eastAsia="Times New Roman" w:hAnsi="Segoe UI" w:cs="Segoe UI"/>
          <w:sz w:val="23"/>
          <w:szCs w:val="23"/>
          <w:lang w:eastAsia="fr-FR"/>
        </w:rPr>
        <w:t xml:space="preserve">, un statut réaffirmé en mars 2024. </w:t>
      </w:r>
    </w:p>
    <w:p w14:paraId="5478AB80" w14:textId="39EE0B29" w:rsidR="0025670F" w:rsidRPr="00412C4A" w:rsidRDefault="0025670F" w:rsidP="00412C4A">
      <w:pPr>
        <w:jc w:val="both"/>
        <w:rPr>
          <w:rFonts w:ascii="Segoe UI" w:eastAsia="Times New Roman" w:hAnsi="Segoe UI" w:cs="Segoe UI"/>
          <w:sz w:val="23"/>
          <w:szCs w:val="23"/>
          <w:lang w:eastAsia="fr-FR"/>
        </w:rPr>
      </w:pPr>
      <w:r w:rsidRPr="006766E8">
        <w:rPr>
          <w:rFonts w:ascii="Segoe UI" w:eastAsia="Times New Roman" w:hAnsi="Segoe UI" w:cs="Segoe UI"/>
          <w:sz w:val="23"/>
          <w:szCs w:val="23"/>
          <w:lang w:eastAsia="fr-FR"/>
        </w:rPr>
        <w:t>Par ailleurs</w:t>
      </w:r>
      <w:r w:rsidR="006766E8">
        <w:rPr>
          <w:rFonts w:ascii="Segoe UI" w:eastAsia="Times New Roman" w:hAnsi="Segoe UI" w:cs="Segoe UI"/>
          <w:sz w:val="23"/>
          <w:szCs w:val="23"/>
          <w:lang w:eastAsia="fr-FR"/>
        </w:rPr>
        <w:t xml:space="preserve"> depuis 2007</w:t>
      </w:r>
      <w:r w:rsidRPr="006766E8">
        <w:rPr>
          <w:rFonts w:ascii="Segoe UI" w:eastAsia="Times New Roman" w:hAnsi="Segoe UI" w:cs="Segoe UI"/>
          <w:sz w:val="23"/>
          <w:szCs w:val="23"/>
          <w:lang w:eastAsia="fr-FR"/>
        </w:rPr>
        <w:t xml:space="preserve">, </w:t>
      </w:r>
      <w:r w:rsidRPr="00A545FA">
        <w:rPr>
          <w:rFonts w:ascii="Segoe UI" w:eastAsia="Times New Roman" w:hAnsi="Segoe UI" w:cs="Segoe UI"/>
          <w:b/>
          <w:bCs/>
          <w:sz w:val="23"/>
          <w:szCs w:val="23"/>
          <w:lang w:eastAsia="fr-FR"/>
        </w:rPr>
        <w:t>la banque centrale du Koweït maintient un régime d’ancrage du dinar koweïtien</w:t>
      </w:r>
      <w:r w:rsidRPr="006766E8">
        <w:rPr>
          <w:rFonts w:ascii="Segoe UI" w:eastAsia="Times New Roman" w:hAnsi="Segoe UI" w:cs="Segoe UI"/>
          <w:sz w:val="23"/>
          <w:szCs w:val="23"/>
          <w:lang w:eastAsia="fr-FR"/>
        </w:rPr>
        <w:t>, la monnaie à la plus forte dénomination du monde (1 KWD = 3,2</w:t>
      </w:r>
      <w:r w:rsidR="006766E8" w:rsidRPr="006766E8">
        <w:rPr>
          <w:rFonts w:ascii="Segoe UI" w:eastAsia="Times New Roman" w:hAnsi="Segoe UI" w:cs="Segoe UI"/>
          <w:sz w:val="23"/>
          <w:szCs w:val="23"/>
          <w:lang w:eastAsia="fr-FR"/>
        </w:rPr>
        <w:t>5</w:t>
      </w:r>
      <w:r w:rsidRPr="006766E8">
        <w:rPr>
          <w:rFonts w:ascii="Segoe UI" w:eastAsia="Times New Roman" w:hAnsi="Segoe UI" w:cs="Segoe UI"/>
          <w:sz w:val="23"/>
          <w:szCs w:val="23"/>
          <w:lang w:eastAsia="fr-FR"/>
        </w:rPr>
        <w:t xml:space="preserve"> USD), à un panier de devises dont la composition est tenue secrète (dans lequel le dollar </w:t>
      </w:r>
      <w:r w:rsidR="004E44D7" w:rsidRPr="006766E8">
        <w:rPr>
          <w:rFonts w:ascii="Segoe UI" w:eastAsia="Times New Roman" w:hAnsi="Segoe UI" w:cs="Segoe UI"/>
          <w:sz w:val="23"/>
          <w:szCs w:val="23"/>
          <w:lang w:eastAsia="fr-FR"/>
        </w:rPr>
        <w:t>pèserait</w:t>
      </w:r>
      <w:r w:rsidRPr="006766E8">
        <w:rPr>
          <w:rFonts w:ascii="Segoe UI" w:eastAsia="Times New Roman" w:hAnsi="Segoe UI" w:cs="Segoe UI"/>
          <w:sz w:val="23"/>
          <w:szCs w:val="23"/>
          <w:lang w:eastAsia="fr-FR"/>
        </w:rPr>
        <w:t xml:space="preserve"> pour plus des 4/5). </w:t>
      </w:r>
      <w:r w:rsidRPr="00FD62BB">
        <w:rPr>
          <w:rFonts w:ascii="Segoe UI" w:eastAsia="Times New Roman" w:hAnsi="Segoe UI" w:cs="Segoe UI"/>
          <w:sz w:val="23"/>
          <w:szCs w:val="23"/>
          <w:lang w:eastAsia="fr-FR"/>
        </w:rPr>
        <w:t>Les réserves de la Banque centrale représentent 4</w:t>
      </w:r>
      <w:r w:rsidR="00FD62BB" w:rsidRPr="00FD62BB">
        <w:rPr>
          <w:rFonts w:ascii="Segoe UI" w:eastAsia="Times New Roman" w:hAnsi="Segoe UI" w:cs="Segoe UI"/>
          <w:sz w:val="23"/>
          <w:szCs w:val="23"/>
          <w:lang w:eastAsia="fr-FR"/>
        </w:rPr>
        <w:t>6</w:t>
      </w:r>
      <w:r w:rsidRPr="00FD62BB">
        <w:rPr>
          <w:rFonts w:ascii="Segoe UI" w:eastAsia="Times New Roman" w:hAnsi="Segoe UI" w:cs="Segoe UI"/>
          <w:sz w:val="23"/>
          <w:szCs w:val="23"/>
          <w:lang w:eastAsia="fr-FR"/>
        </w:rPr>
        <w:t xml:space="preserve"> Mds USD </w:t>
      </w:r>
      <w:r w:rsidR="00FD62BB" w:rsidRPr="00FD62BB">
        <w:rPr>
          <w:rFonts w:ascii="Segoe UI" w:eastAsia="Times New Roman" w:hAnsi="Segoe UI" w:cs="Segoe UI"/>
          <w:sz w:val="23"/>
          <w:szCs w:val="23"/>
          <w:lang w:eastAsia="fr-FR"/>
        </w:rPr>
        <w:t xml:space="preserve">en janvier 2024 </w:t>
      </w:r>
      <w:r w:rsidRPr="00FD62BB">
        <w:rPr>
          <w:rFonts w:ascii="Segoe UI" w:eastAsia="Times New Roman" w:hAnsi="Segoe UI" w:cs="Segoe UI"/>
          <w:sz w:val="23"/>
          <w:szCs w:val="23"/>
          <w:lang w:eastAsia="fr-FR"/>
        </w:rPr>
        <w:t xml:space="preserve">(contre 45,4 Mds USD en 2020) </w:t>
      </w:r>
      <w:r w:rsidRPr="00FE05B0">
        <w:rPr>
          <w:rFonts w:ascii="Segoe UI" w:eastAsia="Times New Roman" w:hAnsi="Segoe UI" w:cs="Segoe UI"/>
          <w:sz w:val="23"/>
          <w:szCs w:val="23"/>
          <w:lang w:eastAsia="fr-FR"/>
        </w:rPr>
        <w:t xml:space="preserve">et permettent de couvrir plus de </w:t>
      </w:r>
      <w:r w:rsidR="00650A55">
        <w:rPr>
          <w:rFonts w:ascii="Segoe UI" w:eastAsia="Times New Roman" w:hAnsi="Segoe UI" w:cs="Segoe UI"/>
          <w:sz w:val="23"/>
          <w:szCs w:val="23"/>
          <w:lang w:eastAsia="fr-FR"/>
        </w:rPr>
        <w:t>10 mois</w:t>
      </w:r>
      <w:r w:rsidRPr="00FE05B0">
        <w:rPr>
          <w:rFonts w:ascii="Segoe UI" w:eastAsia="Times New Roman" w:hAnsi="Segoe UI" w:cs="Segoe UI"/>
          <w:sz w:val="23"/>
          <w:szCs w:val="23"/>
          <w:lang w:eastAsia="fr-FR"/>
        </w:rPr>
        <w:t xml:space="preserve"> d’importations de biens et services</w:t>
      </w:r>
      <w:r w:rsidR="00C82B1A" w:rsidRPr="00FE05B0">
        <w:rPr>
          <w:rFonts w:ascii="Segoe UI" w:eastAsia="Times New Roman" w:hAnsi="Segoe UI" w:cs="Segoe UI"/>
          <w:sz w:val="23"/>
          <w:szCs w:val="23"/>
          <w:lang w:eastAsia="fr-FR"/>
        </w:rPr>
        <w:t>.</w:t>
      </w:r>
      <w:r w:rsidRPr="0005680C">
        <w:rPr>
          <w:rFonts w:ascii="Segoe UI" w:eastAsia="Times New Roman" w:hAnsi="Segoe UI" w:cs="Segoe UI"/>
          <w:sz w:val="23"/>
          <w:szCs w:val="23"/>
          <w:lang w:eastAsia="fr-FR"/>
        </w:rPr>
        <w:t xml:space="preserve"> </w:t>
      </w:r>
      <w:r w:rsidRPr="00A545FA">
        <w:rPr>
          <w:rFonts w:ascii="Segoe UI" w:eastAsia="Times New Roman" w:hAnsi="Segoe UI" w:cs="Segoe UI"/>
          <w:b/>
          <w:bCs/>
          <w:sz w:val="23"/>
          <w:szCs w:val="23"/>
          <w:lang w:eastAsia="fr-FR"/>
        </w:rPr>
        <w:t xml:space="preserve">Le secteur bancaire </w:t>
      </w:r>
      <w:r w:rsidR="0005680C" w:rsidRPr="00A545FA">
        <w:rPr>
          <w:rFonts w:ascii="Segoe UI" w:eastAsia="Times New Roman" w:hAnsi="Segoe UI" w:cs="Segoe UI"/>
          <w:b/>
          <w:bCs/>
          <w:sz w:val="23"/>
          <w:szCs w:val="23"/>
          <w:lang w:eastAsia="fr-FR"/>
        </w:rPr>
        <w:t>(</w:t>
      </w:r>
      <w:r w:rsidR="008D7BD4" w:rsidRPr="00A545FA">
        <w:rPr>
          <w:rFonts w:ascii="Segoe UI" w:eastAsia="Times New Roman" w:hAnsi="Segoe UI" w:cs="Segoe UI"/>
          <w:b/>
          <w:bCs/>
          <w:sz w:val="23"/>
          <w:szCs w:val="23"/>
          <w:lang w:eastAsia="fr-FR"/>
        </w:rPr>
        <w:t xml:space="preserve">19 établissements, </w:t>
      </w:r>
      <w:r w:rsidRPr="00A545FA">
        <w:rPr>
          <w:rFonts w:ascii="Segoe UI" w:eastAsia="Times New Roman" w:hAnsi="Segoe UI" w:cs="Segoe UI"/>
          <w:b/>
          <w:bCs/>
          <w:sz w:val="23"/>
          <w:szCs w:val="23"/>
          <w:lang w:eastAsia="fr-FR"/>
        </w:rPr>
        <w:t xml:space="preserve">actifs totaux estimés à </w:t>
      </w:r>
      <w:r w:rsidR="0005680C" w:rsidRPr="00A545FA">
        <w:rPr>
          <w:rFonts w:ascii="Segoe UI" w:eastAsia="Times New Roman" w:hAnsi="Segoe UI" w:cs="Segoe UI"/>
          <w:b/>
          <w:bCs/>
          <w:sz w:val="23"/>
          <w:szCs w:val="23"/>
          <w:lang w:eastAsia="fr-FR"/>
        </w:rPr>
        <w:t>368</w:t>
      </w:r>
      <w:r w:rsidRPr="00A545FA">
        <w:rPr>
          <w:rFonts w:ascii="Segoe UI" w:eastAsia="Times New Roman" w:hAnsi="Segoe UI" w:cs="Segoe UI"/>
          <w:b/>
          <w:bCs/>
          <w:sz w:val="23"/>
          <w:szCs w:val="23"/>
          <w:lang w:eastAsia="fr-FR"/>
        </w:rPr>
        <w:t xml:space="preserve"> Mds USD, dont 4</w:t>
      </w:r>
      <w:r w:rsidR="0005680C" w:rsidRPr="00A545FA">
        <w:rPr>
          <w:rFonts w:ascii="Segoe UI" w:eastAsia="Times New Roman" w:hAnsi="Segoe UI" w:cs="Segoe UI"/>
          <w:b/>
          <w:bCs/>
          <w:sz w:val="23"/>
          <w:szCs w:val="23"/>
          <w:lang w:eastAsia="fr-FR"/>
        </w:rPr>
        <w:t>8</w:t>
      </w:r>
      <w:r w:rsidRPr="00A545FA">
        <w:rPr>
          <w:rFonts w:ascii="Segoe UI" w:eastAsia="Times New Roman" w:hAnsi="Segoe UI" w:cs="Segoe UI"/>
          <w:b/>
          <w:bCs/>
          <w:sz w:val="23"/>
          <w:szCs w:val="23"/>
          <w:lang w:eastAsia="fr-FR"/>
        </w:rPr>
        <w:t>% est détenu par des banques islamiques) est quant à lui stable</w:t>
      </w:r>
      <w:r w:rsidR="008D7BD4" w:rsidRPr="00A545FA">
        <w:rPr>
          <w:rFonts w:ascii="Segoe UI" w:eastAsia="Times New Roman" w:hAnsi="Segoe UI" w:cs="Segoe UI"/>
          <w:b/>
          <w:bCs/>
          <w:sz w:val="23"/>
          <w:szCs w:val="23"/>
          <w:lang w:eastAsia="fr-FR"/>
        </w:rPr>
        <w:t xml:space="preserve">, </w:t>
      </w:r>
      <w:r w:rsidRPr="00A545FA">
        <w:rPr>
          <w:rFonts w:ascii="Segoe UI" w:eastAsia="Times New Roman" w:hAnsi="Segoe UI" w:cs="Segoe UI"/>
          <w:b/>
          <w:bCs/>
          <w:sz w:val="23"/>
          <w:szCs w:val="23"/>
          <w:lang w:eastAsia="fr-FR"/>
        </w:rPr>
        <w:t>résilient</w:t>
      </w:r>
      <w:r w:rsidR="008D7BD4" w:rsidRPr="00A545FA">
        <w:rPr>
          <w:rFonts w:ascii="Segoe UI" w:eastAsia="Times New Roman" w:hAnsi="Segoe UI" w:cs="Segoe UI"/>
          <w:b/>
          <w:bCs/>
          <w:sz w:val="23"/>
          <w:szCs w:val="23"/>
          <w:lang w:eastAsia="fr-FR"/>
        </w:rPr>
        <w:t xml:space="preserve"> et très concentré</w:t>
      </w:r>
      <w:r w:rsidRPr="00A545FA">
        <w:rPr>
          <w:rFonts w:ascii="Segoe UI" w:eastAsia="Times New Roman" w:hAnsi="Segoe UI" w:cs="Segoe UI"/>
          <w:b/>
          <w:bCs/>
          <w:sz w:val="23"/>
          <w:szCs w:val="23"/>
          <w:lang w:eastAsia="fr-FR"/>
        </w:rPr>
        <w:t>.</w:t>
      </w:r>
      <w:r w:rsidRPr="0005680C">
        <w:rPr>
          <w:rFonts w:ascii="Segoe UI" w:eastAsia="Times New Roman" w:hAnsi="Segoe UI" w:cs="Segoe UI"/>
          <w:sz w:val="23"/>
          <w:szCs w:val="23"/>
          <w:lang w:eastAsia="fr-FR"/>
        </w:rPr>
        <w:t xml:space="preserve"> Le ratio de solvabilité s’établissait à 18% fin </w:t>
      </w:r>
      <w:r w:rsidRPr="00725B0A">
        <w:rPr>
          <w:rFonts w:ascii="Segoe UI" w:eastAsia="Times New Roman" w:hAnsi="Segoe UI" w:cs="Segoe UI"/>
          <w:sz w:val="23"/>
          <w:szCs w:val="23"/>
          <w:lang w:eastAsia="fr-FR"/>
        </w:rPr>
        <w:t>202</w:t>
      </w:r>
      <w:r w:rsidR="0005680C" w:rsidRPr="00725B0A">
        <w:rPr>
          <w:rFonts w:ascii="Segoe UI" w:eastAsia="Times New Roman" w:hAnsi="Segoe UI" w:cs="Segoe UI"/>
          <w:sz w:val="23"/>
          <w:szCs w:val="23"/>
          <w:lang w:eastAsia="fr-FR"/>
        </w:rPr>
        <w:t>3</w:t>
      </w:r>
      <w:r w:rsidRPr="00725B0A">
        <w:rPr>
          <w:rFonts w:ascii="Segoe UI" w:eastAsia="Times New Roman" w:hAnsi="Segoe UI" w:cs="Segoe UI"/>
          <w:sz w:val="23"/>
          <w:szCs w:val="23"/>
          <w:lang w:eastAsia="fr-FR"/>
        </w:rPr>
        <w:t xml:space="preserve"> et le taux de créances douteuses à </w:t>
      </w:r>
      <w:r w:rsidR="00725B0A" w:rsidRPr="00725B0A">
        <w:rPr>
          <w:rFonts w:ascii="Segoe UI" w:eastAsia="Times New Roman" w:hAnsi="Segoe UI" w:cs="Segoe UI"/>
          <w:sz w:val="23"/>
          <w:szCs w:val="23"/>
          <w:lang w:eastAsia="fr-FR"/>
        </w:rPr>
        <w:t>1,4</w:t>
      </w:r>
      <w:r w:rsidRPr="00725B0A">
        <w:rPr>
          <w:rFonts w:ascii="Segoe UI" w:eastAsia="Times New Roman" w:hAnsi="Segoe UI" w:cs="Segoe UI"/>
          <w:sz w:val="23"/>
          <w:szCs w:val="23"/>
          <w:lang w:eastAsia="fr-FR"/>
        </w:rPr>
        <w:t xml:space="preserve">%, pour un taux de provisionnement </w:t>
      </w:r>
      <w:r w:rsidR="00725B0A" w:rsidRPr="00725B0A">
        <w:rPr>
          <w:rFonts w:ascii="Segoe UI" w:eastAsia="Times New Roman" w:hAnsi="Segoe UI" w:cs="Segoe UI"/>
          <w:sz w:val="23"/>
          <w:szCs w:val="23"/>
          <w:lang w:eastAsia="fr-FR"/>
        </w:rPr>
        <w:t>supérieur à</w:t>
      </w:r>
      <w:r w:rsidRPr="00725B0A">
        <w:rPr>
          <w:rFonts w:ascii="Segoe UI" w:eastAsia="Times New Roman" w:hAnsi="Segoe UI" w:cs="Segoe UI"/>
          <w:sz w:val="23"/>
          <w:szCs w:val="23"/>
          <w:lang w:eastAsia="fr-FR"/>
        </w:rPr>
        <w:t xml:space="preserve"> 1</w:t>
      </w:r>
      <w:r w:rsidR="00725B0A" w:rsidRPr="00725B0A">
        <w:rPr>
          <w:rFonts w:ascii="Segoe UI" w:eastAsia="Times New Roman" w:hAnsi="Segoe UI" w:cs="Segoe UI"/>
          <w:sz w:val="23"/>
          <w:szCs w:val="23"/>
          <w:lang w:eastAsia="fr-FR"/>
        </w:rPr>
        <w:t>70</w:t>
      </w:r>
      <w:r w:rsidRPr="00725B0A">
        <w:rPr>
          <w:rFonts w:ascii="Segoe UI" w:eastAsia="Times New Roman" w:hAnsi="Segoe UI" w:cs="Segoe UI"/>
          <w:sz w:val="23"/>
          <w:szCs w:val="23"/>
          <w:lang w:eastAsia="fr-FR"/>
        </w:rPr>
        <w:t>%</w:t>
      </w:r>
      <w:r w:rsidR="00725B0A" w:rsidRPr="00725B0A">
        <w:rPr>
          <w:rFonts w:ascii="Segoe UI" w:eastAsia="Times New Roman" w:hAnsi="Segoe UI" w:cs="Segoe UI"/>
          <w:sz w:val="23"/>
          <w:szCs w:val="23"/>
          <w:lang w:eastAsia="fr-FR"/>
        </w:rPr>
        <w:t xml:space="preserve"> pour toutes les plus </w:t>
      </w:r>
      <w:r w:rsidR="00725B0A">
        <w:rPr>
          <w:rFonts w:ascii="Segoe UI" w:eastAsia="Times New Roman" w:hAnsi="Segoe UI" w:cs="Segoe UI"/>
          <w:sz w:val="23"/>
          <w:szCs w:val="23"/>
          <w:lang w:eastAsia="fr-FR"/>
        </w:rPr>
        <w:t>importantes</w:t>
      </w:r>
      <w:r w:rsidR="00725B0A" w:rsidRPr="00725B0A">
        <w:rPr>
          <w:rFonts w:ascii="Segoe UI" w:eastAsia="Times New Roman" w:hAnsi="Segoe UI" w:cs="Segoe UI"/>
          <w:sz w:val="23"/>
          <w:szCs w:val="23"/>
          <w:lang w:eastAsia="fr-FR"/>
        </w:rPr>
        <w:t xml:space="preserve"> banques.</w:t>
      </w:r>
      <w:r w:rsidR="008D7BD4">
        <w:rPr>
          <w:rFonts w:ascii="Segoe UI" w:eastAsia="Times New Roman" w:hAnsi="Segoe UI" w:cs="Segoe UI"/>
          <w:sz w:val="23"/>
          <w:szCs w:val="23"/>
          <w:lang w:eastAsia="fr-FR"/>
        </w:rPr>
        <w:t xml:space="preserve"> Les deux plus grandes banques du pays, une conventionnelle (NBK) et une islamique (KFH), comptent pour plus de 2/3 des actifs et 73% du PNB total des 8 plus grosses banques koweïtiennes. </w:t>
      </w:r>
    </w:p>
    <w:p w14:paraId="3676B46E" w14:textId="53B072E5" w:rsidR="0025670F" w:rsidRPr="00412C4A" w:rsidRDefault="0025670F" w:rsidP="00412C4A">
      <w:pPr>
        <w:shd w:val="clear" w:color="auto" w:fill="FFFFFF" w:themeFill="background1"/>
        <w:jc w:val="both"/>
        <w:rPr>
          <w:rFonts w:ascii="Segoe UI" w:eastAsia="Times New Roman" w:hAnsi="Segoe UI" w:cs="Segoe UI"/>
          <w:sz w:val="23"/>
          <w:szCs w:val="23"/>
          <w:lang w:eastAsia="fr-FR"/>
        </w:rPr>
      </w:pPr>
      <w:r w:rsidRPr="00412C4A">
        <w:rPr>
          <w:rFonts w:ascii="Segoe UI" w:eastAsia="Times New Roman" w:hAnsi="Segoe UI" w:cs="Segoe UI"/>
          <w:sz w:val="23"/>
          <w:szCs w:val="23"/>
          <w:lang w:eastAsia="fr-FR"/>
        </w:rPr>
        <w:t xml:space="preserve">Le pays a adopté en 2017 un programme de diversification économique stratégique « New Kuwait 2035 », qui a pour ambition de </w:t>
      </w:r>
      <w:r w:rsidRPr="00412C4A">
        <w:rPr>
          <w:rFonts w:ascii="Segoe UI" w:eastAsia="Times New Roman" w:hAnsi="Segoe UI" w:cs="Segoe UI"/>
          <w:b/>
          <w:bCs/>
          <w:sz w:val="23"/>
          <w:szCs w:val="23"/>
          <w:lang w:eastAsia="fr-FR"/>
        </w:rPr>
        <w:t>transformer le pays en nouveau centre régional commercial, financier et touristique.</w:t>
      </w:r>
      <w:r w:rsidRPr="00412C4A">
        <w:rPr>
          <w:rFonts w:ascii="Segoe UI" w:eastAsia="Times New Roman" w:hAnsi="Segoe UI" w:cs="Segoe UI"/>
          <w:sz w:val="23"/>
          <w:szCs w:val="23"/>
          <w:lang w:eastAsia="fr-FR"/>
        </w:rPr>
        <w:t xml:space="preserve"> </w:t>
      </w:r>
      <w:r w:rsidRPr="00412C4A">
        <w:rPr>
          <w:rFonts w:ascii="Segoe UI" w:eastAsia="Times New Roman" w:hAnsi="Segoe UI" w:cs="Segoe UI"/>
          <w:b/>
          <w:bCs/>
          <w:sz w:val="23"/>
          <w:szCs w:val="23"/>
          <w:lang w:eastAsia="fr-FR"/>
        </w:rPr>
        <w:t>Ce plan prévoit des investissements estimés à 125 Mds USD</w:t>
      </w:r>
      <w:r w:rsidRPr="00412C4A">
        <w:rPr>
          <w:rFonts w:ascii="Segoe UI" w:eastAsia="Times New Roman" w:hAnsi="Segoe UI" w:cs="Segoe UI"/>
          <w:sz w:val="23"/>
          <w:szCs w:val="23"/>
          <w:lang w:eastAsia="fr-FR"/>
        </w:rPr>
        <w:t xml:space="preserve"> dans plusieurs domaines : 1) la modernisation du secteur des hydrocarbures (50 Mds USD) ; 2) les infrastructures maritimes et urbaines (25 Mds USD) ; 3) les </w:t>
      </w:r>
      <w:r w:rsidRPr="00412C4A">
        <w:rPr>
          <w:rFonts w:ascii="Segoe UI" w:eastAsia="Times New Roman" w:hAnsi="Segoe UI" w:cs="Segoe UI"/>
          <w:sz w:val="23"/>
          <w:szCs w:val="23"/>
          <w:lang w:eastAsia="fr-FR"/>
        </w:rPr>
        <w:lastRenderedPageBreak/>
        <w:t xml:space="preserve">infrastructures de transport et de communication (25 Mds USD) ; 4) la production d’électricité et le secteur de l’environnement (25 Mds USD). Ce plan intègre un objectif particulier de développement des territoires à la frontière avec l’Irak et l’Iran (North Kuwait ou </w:t>
      </w:r>
      <w:proofErr w:type="spellStart"/>
      <w:r w:rsidRPr="00412C4A">
        <w:rPr>
          <w:rFonts w:ascii="Segoe UI" w:eastAsia="Times New Roman" w:hAnsi="Segoe UI" w:cs="Segoe UI"/>
          <w:sz w:val="23"/>
          <w:szCs w:val="23"/>
          <w:lang w:eastAsia="fr-FR"/>
        </w:rPr>
        <w:t>Silk</w:t>
      </w:r>
      <w:proofErr w:type="spellEnd"/>
      <w:r w:rsidRPr="00412C4A">
        <w:rPr>
          <w:rFonts w:ascii="Segoe UI" w:eastAsia="Times New Roman" w:hAnsi="Segoe UI" w:cs="Segoe UI"/>
          <w:sz w:val="23"/>
          <w:szCs w:val="23"/>
          <w:lang w:eastAsia="fr-FR"/>
        </w:rPr>
        <w:t xml:space="preserve"> City), conçu comme un espace disposant d’une certaine autonomie. Ce dernier projet est actuellement en suspens. </w:t>
      </w:r>
    </w:p>
    <w:p w14:paraId="766AE738" w14:textId="00F538B2" w:rsidR="0020431A" w:rsidRPr="0020431A" w:rsidRDefault="0025670F" w:rsidP="0025670F">
      <w:pPr>
        <w:jc w:val="both"/>
        <w:rPr>
          <w:rFonts w:ascii="Segoe UI" w:eastAsia="Times New Roman" w:hAnsi="Segoe UI" w:cs="Segoe UI"/>
          <w:sz w:val="23"/>
          <w:szCs w:val="23"/>
          <w:lang w:eastAsia="fr-FR"/>
        </w:rPr>
      </w:pPr>
      <w:r w:rsidRPr="00A7034E">
        <w:rPr>
          <w:rFonts w:ascii="Segoe UI" w:eastAsia="Times New Roman" w:hAnsi="Segoe UI" w:cs="Segoe UI"/>
          <w:sz w:val="23"/>
          <w:szCs w:val="23"/>
          <w:lang w:eastAsia="fr-FR"/>
        </w:rPr>
        <w:t xml:space="preserve">Le succès de ce plan passe par </w:t>
      </w:r>
      <w:r w:rsidRPr="00C14724">
        <w:rPr>
          <w:rFonts w:ascii="Segoe UI" w:eastAsia="Times New Roman" w:hAnsi="Segoe UI" w:cs="Segoe UI"/>
          <w:b/>
          <w:bCs/>
          <w:sz w:val="23"/>
          <w:szCs w:val="23"/>
          <w:lang w:eastAsia="fr-FR"/>
        </w:rPr>
        <w:t>l’amélioration du climat des affaires</w:t>
      </w:r>
      <w:r w:rsidRPr="00A7034E">
        <w:rPr>
          <w:rFonts w:ascii="Segoe UI" w:eastAsia="Times New Roman" w:hAnsi="Segoe UI" w:cs="Segoe UI"/>
          <w:sz w:val="23"/>
          <w:szCs w:val="23"/>
          <w:lang w:eastAsia="fr-FR"/>
        </w:rPr>
        <w:t xml:space="preserve"> : le Koweït s’est placé en 2020 au 83ème rang du classement « </w:t>
      </w:r>
      <w:proofErr w:type="spellStart"/>
      <w:r w:rsidRPr="00A7034E">
        <w:rPr>
          <w:rFonts w:ascii="Segoe UI" w:eastAsia="Times New Roman" w:hAnsi="Segoe UI" w:cs="Segoe UI"/>
          <w:sz w:val="23"/>
          <w:szCs w:val="23"/>
          <w:lang w:eastAsia="fr-FR"/>
        </w:rPr>
        <w:t>Ease</w:t>
      </w:r>
      <w:proofErr w:type="spellEnd"/>
      <w:r w:rsidRPr="00A7034E">
        <w:rPr>
          <w:rFonts w:ascii="Segoe UI" w:eastAsia="Times New Roman" w:hAnsi="Segoe UI" w:cs="Segoe UI"/>
          <w:sz w:val="23"/>
          <w:szCs w:val="23"/>
          <w:lang w:eastAsia="fr-FR"/>
        </w:rPr>
        <w:t xml:space="preserve"> of </w:t>
      </w:r>
      <w:proofErr w:type="spellStart"/>
      <w:r w:rsidRPr="00A7034E">
        <w:rPr>
          <w:rFonts w:ascii="Segoe UI" w:eastAsia="Times New Roman" w:hAnsi="Segoe UI" w:cs="Segoe UI"/>
          <w:sz w:val="23"/>
          <w:szCs w:val="23"/>
          <w:lang w:eastAsia="fr-FR"/>
        </w:rPr>
        <w:t>Doing</w:t>
      </w:r>
      <w:proofErr w:type="spellEnd"/>
      <w:r w:rsidRPr="00A7034E">
        <w:rPr>
          <w:rFonts w:ascii="Segoe UI" w:eastAsia="Times New Roman" w:hAnsi="Segoe UI" w:cs="Segoe UI"/>
          <w:sz w:val="23"/>
          <w:szCs w:val="23"/>
          <w:lang w:eastAsia="fr-FR"/>
        </w:rPr>
        <w:t xml:space="preserve"> Business » de la Banque mondiale (+14 places</w:t>
      </w:r>
      <w:r w:rsidR="00A7034E" w:rsidRPr="00A7034E">
        <w:rPr>
          <w:rFonts w:ascii="Segoe UI" w:eastAsia="Times New Roman" w:hAnsi="Segoe UI" w:cs="Segoe UI"/>
          <w:sz w:val="23"/>
          <w:szCs w:val="23"/>
          <w:lang w:eastAsia="fr-FR"/>
        </w:rPr>
        <w:t>, dernier classement disponible</w:t>
      </w:r>
      <w:r w:rsidRPr="00A7034E">
        <w:rPr>
          <w:rFonts w:ascii="Segoe UI" w:eastAsia="Times New Roman" w:hAnsi="Segoe UI" w:cs="Segoe UI"/>
          <w:sz w:val="23"/>
          <w:szCs w:val="23"/>
          <w:lang w:eastAsia="fr-FR"/>
        </w:rPr>
        <w:t>), comptant parmi les 10 pays ayant le plus progressé cette année-là</w:t>
      </w:r>
      <w:r w:rsidR="00A7034E" w:rsidRPr="00A7034E">
        <w:rPr>
          <w:rFonts w:ascii="Segoe UI" w:eastAsia="Times New Roman" w:hAnsi="Segoe UI" w:cs="Segoe UI"/>
          <w:sz w:val="23"/>
          <w:szCs w:val="23"/>
          <w:lang w:eastAsia="fr-FR"/>
        </w:rPr>
        <w:t>.</w:t>
      </w:r>
      <w:r w:rsidR="00A60C34">
        <w:rPr>
          <w:rFonts w:ascii="Segoe UI" w:eastAsia="Times New Roman" w:hAnsi="Segoe UI" w:cs="Segoe UI"/>
          <w:sz w:val="23"/>
          <w:szCs w:val="23"/>
          <w:lang w:eastAsia="fr-FR"/>
        </w:rPr>
        <w:t xml:space="preserve"> Le pays est d’ailleurs le dernier à avoir rejoint le classement IMD en 2023, se classant 38</w:t>
      </w:r>
      <w:r w:rsidR="00A60C34" w:rsidRPr="00A60C34">
        <w:rPr>
          <w:rFonts w:ascii="Segoe UI" w:eastAsia="Times New Roman" w:hAnsi="Segoe UI" w:cs="Segoe UI"/>
          <w:sz w:val="23"/>
          <w:szCs w:val="23"/>
          <w:vertAlign w:val="superscript"/>
          <w:lang w:eastAsia="fr-FR"/>
        </w:rPr>
        <w:t>ème</w:t>
      </w:r>
      <w:r w:rsidR="00A60C34">
        <w:rPr>
          <w:rFonts w:ascii="Segoe UI" w:eastAsia="Times New Roman" w:hAnsi="Segoe UI" w:cs="Segoe UI"/>
          <w:sz w:val="23"/>
          <w:szCs w:val="23"/>
          <w:lang w:eastAsia="fr-FR"/>
        </w:rPr>
        <w:t xml:space="preserve"> sur 64 pays. </w:t>
      </w:r>
      <w:r w:rsidRPr="00A60C34">
        <w:rPr>
          <w:rFonts w:ascii="Segoe UI" w:eastAsia="Times New Roman" w:hAnsi="Segoe UI" w:cs="Segoe UI"/>
          <w:sz w:val="23"/>
          <w:szCs w:val="23"/>
          <w:lang w:eastAsia="fr-FR"/>
        </w:rPr>
        <w:t xml:space="preserve">Toutefois, le processus d’approbation des projets, qui fait notamment intervenir </w:t>
      </w:r>
      <w:r w:rsidR="00253ED3">
        <w:rPr>
          <w:rFonts w:ascii="Segoe UI" w:eastAsia="Times New Roman" w:hAnsi="Segoe UI" w:cs="Segoe UI"/>
          <w:sz w:val="23"/>
          <w:szCs w:val="23"/>
          <w:lang w:eastAsia="fr-FR"/>
        </w:rPr>
        <w:t xml:space="preserve"> le state audit bureau </w:t>
      </w:r>
      <w:r w:rsidRPr="00A60C34">
        <w:rPr>
          <w:rFonts w:ascii="Segoe UI" w:eastAsia="Times New Roman" w:hAnsi="Segoe UI" w:cs="Segoe UI"/>
          <w:sz w:val="23"/>
          <w:szCs w:val="23"/>
          <w:lang w:eastAsia="fr-FR"/>
        </w:rPr>
        <w:t xml:space="preserve">au titre du contrôle budgétaire, reste beaucoup </w:t>
      </w:r>
      <w:r w:rsidRPr="0020431A">
        <w:rPr>
          <w:rFonts w:ascii="Segoe UI" w:eastAsia="Times New Roman" w:hAnsi="Segoe UI" w:cs="Segoe UI"/>
          <w:sz w:val="23"/>
          <w:szCs w:val="23"/>
          <w:lang w:eastAsia="fr-FR"/>
        </w:rPr>
        <w:t>plus lent qu’ailleurs dans la région.</w:t>
      </w:r>
    </w:p>
    <w:p w14:paraId="0FB6E942" w14:textId="4EBA806D" w:rsidR="0025670F" w:rsidRDefault="0025670F" w:rsidP="0025670F">
      <w:pPr>
        <w:jc w:val="both"/>
        <w:rPr>
          <w:rFonts w:ascii="Segoe UI" w:eastAsia="Times New Roman" w:hAnsi="Segoe UI" w:cs="Segoe UI"/>
          <w:sz w:val="23"/>
          <w:szCs w:val="23"/>
          <w:lang w:eastAsia="fr-FR"/>
        </w:rPr>
      </w:pPr>
      <w:r w:rsidRPr="0020431A">
        <w:rPr>
          <w:rFonts w:ascii="Segoe UI" w:eastAsia="Times New Roman" w:hAnsi="Segoe UI" w:cs="Segoe UI"/>
          <w:sz w:val="23"/>
          <w:szCs w:val="23"/>
          <w:lang w:eastAsia="fr-FR"/>
        </w:rPr>
        <w:t>Pour des raisons avant tout politiques, le gouvernement met progressivement en place une politique de</w:t>
      </w:r>
      <w:r w:rsidR="004E44D7" w:rsidRPr="0020431A">
        <w:rPr>
          <w:rFonts w:ascii="Segoe UI" w:eastAsia="Times New Roman" w:hAnsi="Segoe UI" w:cs="Segoe UI"/>
          <w:sz w:val="23"/>
          <w:szCs w:val="23"/>
          <w:lang w:eastAsia="fr-FR"/>
        </w:rPr>
        <w:t xml:space="preserve"> </w:t>
      </w:r>
      <w:proofErr w:type="spellStart"/>
      <w:r w:rsidR="004E44D7" w:rsidRPr="0020431A">
        <w:rPr>
          <w:rFonts w:ascii="Segoe UI" w:eastAsia="Times New Roman" w:hAnsi="Segoe UI" w:cs="Segoe UI"/>
          <w:sz w:val="23"/>
          <w:szCs w:val="23"/>
          <w:lang w:eastAsia="fr-FR"/>
        </w:rPr>
        <w:t>koweïtisation</w:t>
      </w:r>
      <w:proofErr w:type="spellEnd"/>
      <w:r w:rsidRPr="0020431A">
        <w:rPr>
          <w:rFonts w:ascii="Segoe UI" w:eastAsia="Times New Roman" w:hAnsi="Segoe UI" w:cs="Segoe UI"/>
          <w:sz w:val="23"/>
          <w:szCs w:val="23"/>
          <w:lang w:eastAsia="fr-FR"/>
        </w:rPr>
        <w:t xml:space="preserve"> agressive, dont la pertinence économique interroge.</w:t>
      </w:r>
    </w:p>
    <w:p w14:paraId="27905979" w14:textId="6B1E6CA2" w:rsidR="00240F52" w:rsidRPr="00B50782" w:rsidRDefault="00B50782" w:rsidP="00C60A57">
      <w:pPr>
        <w:jc w:val="both"/>
        <w:rPr>
          <w:rFonts w:ascii="Segoe UI" w:eastAsia="Times New Roman" w:hAnsi="Segoe UI" w:cs="Segoe UI"/>
          <w:sz w:val="23"/>
          <w:szCs w:val="23"/>
          <w:lang w:eastAsia="fr-FR"/>
        </w:rPr>
      </w:pPr>
      <w:r>
        <w:rPr>
          <w:rFonts w:ascii="Segoe UI" w:eastAsia="Times New Roman" w:hAnsi="Segoe UI" w:cs="Segoe UI"/>
          <w:sz w:val="23"/>
          <w:szCs w:val="23"/>
          <w:lang w:eastAsia="fr-FR"/>
        </w:rPr>
        <w:t xml:space="preserve"> </w:t>
      </w:r>
    </w:p>
    <w:sectPr w:rsidR="00240F52" w:rsidRPr="00B50782" w:rsidSect="004432FE">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920AD" w14:textId="77777777" w:rsidR="00F14ADE" w:rsidRDefault="00F14ADE" w:rsidP="004432FE">
      <w:pPr>
        <w:spacing w:after="0" w:line="240" w:lineRule="auto"/>
      </w:pPr>
      <w:r>
        <w:separator/>
      </w:r>
    </w:p>
  </w:endnote>
  <w:endnote w:type="continuationSeparator" w:id="0">
    <w:p w14:paraId="5F65A720" w14:textId="77777777" w:rsidR="00F14ADE" w:rsidRDefault="00F14ADE" w:rsidP="00443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8277298"/>
      <w:docPartObj>
        <w:docPartGallery w:val="Page Numbers (Bottom of Page)"/>
        <w:docPartUnique/>
      </w:docPartObj>
    </w:sdtPr>
    <w:sdtEndPr/>
    <w:sdtContent>
      <w:p w14:paraId="7122F109" w14:textId="77777777" w:rsidR="00F025C1" w:rsidRDefault="00F025C1">
        <w:pPr>
          <w:pStyle w:val="Pieddepage"/>
          <w:jc w:val="right"/>
        </w:pPr>
        <w:r>
          <w:fldChar w:fldCharType="begin"/>
        </w:r>
        <w:r>
          <w:instrText>PAGE   \* MERGEFORMAT</w:instrText>
        </w:r>
        <w:r>
          <w:fldChar w:fldCharType="separate"/>
        </w:r>
        <w:r w:rsidR="00D742F8">
          <w:rPr>
            <w:noProof/>
          </w:rPr>
          <w:t>7</w:t>
        </w:r>
        <w:r>
          <w:fldChar w:fldCharType="end"/>
        </w:r>
      </w:p>
    </w:sdtContent>
  </w:sdt>
  <w:p w14:paraId="6485E13A" w14:textId="77777777" w:rsidR="004432FE" w:rsidRDefault="004432F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A59A" w14:textId="77777777" w:rsidR="00ED108C" w:rsidRDefault="00ED108C" w:rsidP="007E6B29">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5F78F" w14:textId="77777777" w:rsidR="00F14ADE" w:rsidRDefault="00F14ADE" w:rsidP="004432FE">
      <w:pPr>
        <w:spacing w:after="0" w:line="240" w:lineRule="auto"/>
      </w:pPr>
      <w:r>
        <w:separator/>
      </w:r>
    </w:p>
  </w:footnote>
  <w:footnote w:type="continuationSeparator" w:id="0">
    <w:p w14:paraId="1F56EA13" w14:textId="77777777" w:rsidR="00F14ADE" w:rsidRDefault="00F14ADE" w:rsidP="004432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5421B" w14:textId="77777777" w:rsidR="004432FE" w:rsidRDefault="004432FE" w:rsidP="004432FE">
    <w:pPr>
      <w:pStyle w:val="En-tte"/>
    </w:pPr>
  </w:p>
  <w:p w14:paraId="17B6081D" w14:textId="77777777" w:rsidR="004432FE" w:rsidRDefault="004432FE" w:rsidP="004432FE">
    <w:pPr>
      <w:pStyle w:val="En-tt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6C267" w14:textId="77777777" w:rsidR="00AF3E63" w:rsidRDefault="00AF3E63" w:rsidP="00AF3E63">
    <w:pPr>
      <w:pStyle w:val="Intituldirection"/>
      <w:rPr>
        <w:lang w:val="fr-FR"/>
      </w:rPr>
    </w:pPr>
  </w:p>
  <w:p w14:paraId="11FCBFAA" w14:textId="77777777" w:rsidR="00AF3E63" w:rsidRDefault="00AF3E63" w:rsidP="00AF3E63">
    <w:pPr>
      <w:pStyle w:val="Intituldirection"/>
      <w:rPr>
        <w:lang w:val="fr-FR"/>
      </w:rPr>
    </w:pPr>
  </w:p>
  <w:p w14:paraId="285192DC" w14:textId="77777777" w:rsidR="00AF3E63" w:rsidRPr="003D4054" w:rsidRDefault="00AF3E63" w:rsidP="00AF3E63">
    <w:pPr>
      <w:pStyle w:val="Intituldirection"/>
      <w:rPr>
        <w:lang w:val="fr-FR"/>
      </w:rPr>
    </w:pPr>
    <w:r>
      <w:rPr>
        <w:b w:val="0"/>
        <w:bCs w:val="0"/>
        <w:noProof/>
        <w:lang w:val="fr-FR" w:eastAsia="fr-FR"/>
      </w:rPr>
      <w:drawing>
        <wp:anchor distT="0" distB="0" distL="114300" distR="114300" simplePos="0" relativeHeight="251673600" behindDoc="0" locked="0" layoutInCell="1" allowOverlap="1" wp14:anchorId="2DD4FE6B" wp14:editId="5F312590">
          <wp:simplePos x="0" y="0"/>
          <wp:positionH relativeFrom="margin">
            <wp:align>left</wp:align>
          </wp:positionH>
          <wp:positionV relativeFrom="page">
            <wp:posOffset>460303</wp:posOffset>
          </wp:positionV>
          <wp:extent cx="1426829" cy="1142665"/>
          <wp:effectExtent l="0" t="0" r="2540" b="63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_Economie_Finances_Relance_rv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6829" cy="1142665"/>
                  </a:xfrm>
                  <a:prstGeom prst="rect">
                    <a:avLst/>
                  </a:prstGeom>
                </pic:spPr>
              </pic:pic>
            </a:graphicData>
          </a:graphic>
          <wp14:sizeRelH relativeFrom="margin">
            <wp14:pctWidth>0</wp14:pctWidth>
          </wp14:sizeRelH>
          <wp14:sizeRelV relativeFrom="margin">
            <wp14:pctHeight>0</wp14:pctHeight>
          </wp14:sizeRelV>
        </wp:anchor>
      </w:drawing>
    </w:r>
    <w:r>
      <w:rPr>
        <w:lang w:val="fr-FR"/>
      </w:rPr>
      <w:t>Direction générale du Trésor</w:t>
    </w:r>
  </w:p>
  <w:p w14:paraId="5C7BBAF1" w14:textId="77777777" w:rsidR="00AF3E63" w:rsidRDefault="00AF3E63">
    <w:pPr>
      <w:pStyle w:val="En-tte"/>
    </w:pPr>
  </w:p>
  <w:p w14:paraId="11BF9229" w14:textId="77777777" w:rsidR="004432FE" w:rsidRDefault="004432FE" w:rsidP="007F3CB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067A"/>
    <w:multiLevelType w:val="hybridMultilevel"/>
    <w:tmpl w:val="78F24274"/>
    <w:lvl w:ilvl="0" w:tplc="65D87EEA">
      <w:start w:val="16"/>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8629A7"/>
    <w:multiLevelType w:val="hybridMultilevel"/>
    <w:tmpl w:val="7C4CD8E0"/>
    <w:lvl w:ilvl="0" w:tplc="0AF268F8">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996626"/>
    <w:multiLevelType w:val="hybridMultilevel"/>
    <w:tmpl w:val="167E1E8A"/>
    <w:lvl w:ilvl="0" w:tplc="1F961EDC">
      <w:start w:val="1"/>
      <w:numFmt w:val="bullet"/>
      <w:pStyle w:val="Briefinglist1"/>
      <w:lvlText w:val=""/>
      <w:lvlJc w:val="left"/>
      <w:pPr>
        <w:tabs>
          <w:tab w:val="num" w:pos="284"/>
        </w:tabs>
        <w:ind w:left="284" w:hanging="284"/>
      </w:pPr>
      <w:rPr>
        <w:rFonts w:ascii="Symbol" w:hAnsi="Symbol" w:hint="default"/>
        <w:b w:val="0"/>
        <w:i w:val="0"/>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F600AE"/>
    <w:multiLevelType w:val="hybridMultilevel"/>
    <w:tmpl w:val="7E48EF44"/>
    <w:lvl w:ilvl="0" w:tplc="7D9A04D6">
      <w:start w:val="1"/>
      <w:numFmt w:val="bullet"/>
      <w:lvlText w:val=""/>
      <w:lvlJc w:val="left"/>
      <w:pPr>
        <w:ind w:left="720" w:hanging="360"/>
      </w:pPr>
      <w:rPr>
        <w:rFonts w:ascii="Wingdings" w:hAnsi="Wingdings" w:hint="default"/>
        <w:color w:val="006CE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8F7275"/>
    <w:multiLevelType w:val="hybridMultilevel"/>
    <w:tmpl w:val="4EF8D602"/>
    <w:lvl w:ilvl="0" w:tplc="7D9A04D6">
      <w:start w:val="1"/>
      <w:numFmt w:val="bullet"/>
      <w:lvlText w:val=""/>
      <w:lvlJc w:val="left"/>
      <w:pPr>
        <w:ind w:left="720" w:hanging="360"/>
      </w:pPr>
      <w:rPr>
        <w:rFonts w:ascii="Wingdings" w:hAnsi="Wingdings" w:hint="default"/>
        <w:color w:val="006CE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3D19B3"/>
    <w:multiLevelType w:val="hybridMultilevel"/>
    <w:tmpl w:val="692404F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21F79ED"/>
    <w:multiLevelType w:val="hybridMultilevel"/>
    <w:tmpl w:val="9D96E91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659E2B0A"/>
    <w:multiLevelType w:val="hybridMultilevel"/>
    <w:tmpl w:val="EE14FBD8"/>
    <w:lvl w:ilvl="0" w:tplc="4D46FE36">
      <w:start w:val="3"/>
      <w:numFmt w:val="bullet"/>
      <w:lvlText w:val=""/>
      <w:lvlJc w:val="left"/>
      <w:pPr>
        <w:ind w:left="720" w:hanging="360"/>
      </w:pPr>
      <w:rPr>
        <w:rFonts w:ascii="Wingdings" w:eastAsiaTheme="minorHAnsi" w:hAnsi="Wingdings"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6"/>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2FE"/>
    <w:rsid w:val="00003B44"/>
    <w:rsid w:val="00004600"/>
    <w:rsid w:val="00005492"/>
    <w:rsid w:val="00011DF8"/>
    <w:rsid w:val="00013928"/>
    <w:rsid w:val="00021838"/>
    <w:rsid w:val="00021A82"/>
    <w:rsid w:val="0002471B"/>
    <w:rsid w:val="00031415"/>
    <w:rsid w:val="0003467F"/>
    <w:rsid w:val="000427E9"/>
    <w:rsid w:val="00044702"/>
    <w:rsid w:val="00044E73"/>
    <w:rsid w:val="000507F2"/>
    <w:rsid w:val="000509BD"/>
    <w:rsid w:val="000517E8"/>
    <w:rsid w:val="0005680C"/>
    <w:rsid w:val="0007154F"/>
    <w:rsid w:val="000719EF"/>
    <w:rsid w:val="00072826"/>
    <w:rsid w:val="00076A38"/>
    <w:rsid w:val="000803D3"/>
    <w:rsid w:val="000804EF"/>
    <w:rsid w:val="000851A3"/>
    <w:rsid w:val="00091253"/>
    <w:rsid w:val="00091B4F"/>
    <w:rsid w:val="000942E0"/>
    <w:rsid w:val="000A12E9"/>
    <w:rsid w:val="000A14CD"/>
    <w:rsid w:val="000A2747"/>
    <w:rsid w:val="000A282E"/>
    <w:rsid w:val="000C2BFA"/>
    <w:rsid w:val="000C38A1"/>
    <w:rsid w:val="000D0766"/>
    <w:rsid w:val="000D1249"/>
    <w:rsid w:val="000D4A2B"/>
    <w:rsid w:val="000D7066"/>
    <w:rsid w:val="000E0358"/>
    <w:rsid w:val="000E150B"/>
    <w:rsid w:val="000F4464"/>
    <w:rsid w:val="000F4731"/>
    <w:rsid w:val="000F78DF"/>
    <w:rsid w:val="001038CF"/>
    <w:rsid w:val="001100C8"/>
    <w:rsid w:val="001124D7"/>
    <w:rsid w:val="00117549"/>
    <w:rsid w:val="00123B0C"/>
    <w:rsid w:val="00126A87"/>
    <w:rsid w:val="001308DE"/>
    <w:rsid w:val="00137E39"/>
    <w:rsid w:val="00140514"/>
    <w:rsid w:val="00140A68"/>
    <w:rsid w:val="00143431"/>
    <w:rsid w:val="00146856"/>
    <w:rsid w:val="0015266E"/>
    <w:rsid w:val="00153F63"/>
    <w:rsid w:val="0015475C"/>
    <w:rsid w:val="0015590C"/>
    <w:rsid w:val="0016026F"/>
    <w:rsid w:val="00161F15"/>
    <w:rsid w:val="00163E41"/>
    <w:rsid w:val="00164EB2"/>
    <w:rsid w:val="00165FE3"/>
    <w:rsid w:val="00171C38"/>
    <w:rsid w:val="0017331C"/>
    <w:rsid w:val="00174EC5"/>
    <w:rsid w:val="0018135A"/>
    <w:rsid w:val="00181D55"/>
    <w:rsid w:val="001834CE"/>
    <w:rsid w:val="00184A20"/>
    <w:rsid w:val="0018615B"/>
    <w:rsid w:val="001912E8"/>
    <w:rsid w:val="001929DF"/>
    <w:rsid w:val="00193BCF"/>
    <w:rsid w:val="00196C2C"/>
    <w:rsid w:val="00196F77"/>
    <w:rsid w:val="001A77F6"/>
    <w:rsid w:val="001B1DCC"/>
    <w:rsid w:val="001B2A89"/>
    <w:rsid w:val="001B3E38"/>
    <w:rsid w:val="001B490F"/>
    <w:rsid w:val="001B68D3"/>
    <w:rsid w:val="001C2824"/>
    <w:rsid w:val="001C2DF7"/>
    <w:rsid w:val="001C471F"/>
    <w:rsid w:val="001C7446"/>
    <w:rsid w:val="001D1801"/>
    <w:rsid w:val="001D2E5E"/>
    <w:rsid w:val="001D466A"/>
    <w:rsid w:val="001D6B08"/>
    <w:rsid w:val="001D7FE6"/>
    <w:rsid w:val="001E234B"/>
    <w:rsid w:val="001E4B79"/>
    <w:rsid w:val="001E5983"/>
    <w:rsid w:val="001E6235"/>
    <w:rsid w:val="001E68A0"/>
    <w:rsid w:val="001F0678"/>
    <w:rsid w:val="001F4958"/>
    <w:rsid w:val="001F5AD6"/>
    <w:rsid w:val="00200E90"/>
    <w:rsid w:val="00202CBF"/>
    <w:rsid w:val="0020431A"/>
    <w:rsid w:val="002118D5"/>
    <w:rsid w:val="0021305A"/>
    <w:rsid w:val="00225A16"/>
    <w:rsid w:val="00225DB7"/>
    <w:rsid w:val="00226F7E"/>
    <w:rsid w:val="00232B83"/>
    <w:rsid w:val="00233A6A"/>
    <w:rsid w:val="00234993"/>
    <w:rsid w:val="002372F7"/>
    <w:rsid w:val="00240F52"/>
    <w:rsid w:val="00246DAE"/>
    <w:rsid w:val="00253BFA"/>
    <w:rsid w:val="00253ED3"/>
    <w:rsid w:val="00254F13"/>
    <w:rsid w:val="0025670F"/>
    <w:rsid w:val="00256889"/>
    <w:rsid w:val="00257917"/>
    <w:rsid w:val="002608E3"/>
    <w:rsid w:val="0027034C"/>
    <w:rsid w:val="00283487"/>
    <w:rsid w:val="00287874"/>
    <w:rsid w:val="002910DB"/>
    <w:rsid w:val="002A1C78"/>
    <w:rsid w:val="002A354C"/>
    <w:rsid w:val="002A5ACB"/>
    <w:rsid w:val="002A666E"/>
    <w:rsid w:val="002A7847"/>
    <w:rsid w:val="002B1026"/>
    <w:rsid w:val="002B2D95"/>
    <w:rsid w:val="002C0A31"/>
    <w:rsid w:val="002C1CDC"/>
    <w:rsid w:val="002D0185"/>
    <w:rsid w:val="002D084F"/>
    <w:rsid w:val="002D18C9"/>
    <w:rsid w:val="002D31C9"/>
    <w:rsid w:val="002E17A8"/>
    <w:rsid w:val="002E7B7D"/>
    <w:rsid w:val="002F0AFE"/>
    <w:rsid w:val="002F1588"/>
    <w:rsid w:val="002F1ECD"/>
    <w:rsid w:val="002F544E"/>
    <w:rsid w:val="003132B3"/>
    <w:rsid w:val="003143AC"/>
    <w:rsid w:val="00314E65"/>
    <w:rsid w:val="00320ED6"/>
    <w:rsid w:val="0032335E"/>
    <w:rsid w:val="00326ED3"/>
    <w:rsid w:val="00330344"/>
    <w:rsid w:val="00330353"/>
    <w:rsid w:val="003459E1"/>
    <w:rsid w:val="0034606B"/>
    <w:rsid w:val="00347DDE"/>
    <w:rsid w:val="0035086C"/>
    <w:rsid w:val="00350DFB"/>
    <w:rsid w:val="003545E8"/>
    <w:rsid w:val="00355C81"/>
    <w:rsid w:val="00361153"/>
    <w:rsid w:val="00362096"/>
    <w:rsid w:val="00363F1B"/>
    <w:rsid w:val="003640B7"/>
    <w:rsid w:val="003728C0"/>
    <w:rsid w:val="00373302"/>
    <w:rsid w:val="003773E7"/>
    <w:rsid w:val="0038083E"/>
    <w:rsid w:val="00380A93"/>
    <w:rsid w:val="00382580"/>
    <w:rsid w:val="00396549"/>
    <w:rsid w:val="00396894"/>
    <w:rsid w:val="003A4C8E"/>
    <w:rsid w:val="003A6E16"/>
    <w:rsid w:val="003A7CF0"/>
    <w:rsid w:val="003B35AE"/>
    <w:rsid w:val="003B4250"/>
    <w:rsid w:val="003B49B8"/>
    <w:rsid w:val="003B52B5"/>
    <w:rsid w:val="003B67EE"/>
    <w:rsid w:val="003B7DCB"/>
    <w:rsid w:val="003C1760"/>
    <w:rsid w:val="003C1FFA"/>
    <w:rsid w:val="003C2EBE"/>
    <w:rsid w:val="003C71F5"/>
    <w:rsid w:val="003E253F"/>
    <w:rsid w:val="003E3FAE"/>
    <w:rsid w:val="003F0DE5"/>
    <w:rsid w:val="003F38CF"/>
    <w:rsid w:val="003F3A34"/>
    <w:rsid w:val="0040065E"/>
    <w:rsid w:val="00402BF6"/>
    <w:rsid w:val="00412C4A"/>
    <w:rsid w:val="00415387"/>
    <w:rsid w:val="00415751"/>
    <w:rsid w:val="00427ACD"/>
    <w:rsid w:val="00434902"/>
    <w:rsid w:val="00436F64"/>
    <w:rsid w:val="00437C6A"/>
    <w:rsid w:val="004432FE"/>
    <w:rsid w:val="004471B5"/>
    <w:rsid w:val="00450E0B"/>
    <w:rsid w:val="00451F44"/>
    <w:rsid w:val="00453809"/>
    <w:rsid w:val="004551BB"/>
    <w:rsid w:val="004551C5"/>
    <w:rsid w:val="0045573D"/>
    <w:rsid w:val="0046038D"/>
    <w:rsid w:val="00466153"/>
    <w:rsid w:val="00466567"/>
    <w:rsid w:val="00466BB0"/>
    <w:rsid w:val="0047272C"/>
    <w:rsid w:val="004745BE"/>
    <w:rsid w:val="00476BDD"/>
    <w:rsid w:val="00480C63"/>
    <w:rsid w:val="004834FC"/>
    <w:rsid w:val="004872A7"/>
    <w:rsid w:val="00493A7D"/>
    <w:rsid w:val="0049466E"/>
    <w:rsid w:val="00496555"/>
    <w:rsid w:val="004B06F2"/>
    <w:rsid w:val="004B623F"/>
    <w:rsid w:val="004B65C2"/>
    <w:rsid w:val="004B7993"/>
    <w:rsid w:val="004C2816"/>
    <w:rsid w:val="004C6B86"/>
    <w:rsid w:val="004C7370"/>
    <w:rsid w:val="004C7F29"/>
    <w:rsid w:val="004D4380"/>
    <w:rsid w:val="004D4C6C"/>
    <w:rsid w:val="004D6375"/>
    <w:rsid w:val="004E44D7"/>
    <w:rsid w:val="004E4CC8"/>
    <w:rsid w:val="004E5753"/>
    <w:rsid w:val="004E5A3E"/>
    <w:rsid w:val="004E7757"/>
    <w:rsid w:val="004F3F63"/>
    <w:rsid w:val="004F6F24"/>
    <w:rsid w:val="004F77CE"/>
    <w:rsid w:val="005050E3"/>
    <w:rsid w:val="00506B63"/>
    <w:rsid w:val="00510A6B"/>
    <w:rsid w:val="00525FFC"/>
    <w:rsid w:val="0052612C"/>
    <w:rsid w:val="00526D5F"/>
    <w:rsid w:val="00531620"/>
    <w:rsid w:val="00532F69"/>
    <w:rsid w:val="005405ED"/>
    <w:rsid w:val="00541948"/>
    <w:rsid w:val="005519EA"/>
    <w:rsid w:val="005521BA"/>
    <w:rsid w:val="00552D18"/>
    <w:rsid w:val="005579D6"/>
    <w:rsid w:val="0056470A"/>
    <w:rsid w:val="00565D78"/>
    <w:rsid w:val="0057751A"/>
    <w:rsid w:val="005809EC"/>
    <w:rsid w:val="005813A2"/>
    <w:rsid w:val="005825AA"/>
    <w:rsid w:val="0058446F"/>
    <w:rsid w:val="00585571"/>
    <w:rsid w:val="00586DE3"/>
    <w:rsid w:val="00592A05"/>
    <w:rsid w:val="005A20A5"/>
    <w:rsid w:val="005A21E6"/>
    <w:rsid w:val="005A2218"/>
    <w:rsid w:val="005A42FC"/>
    <w:rsid w:val="005B3028"/>
    <w:rsid w:val="005B7528"/>
    <w:rsid w:val="005C0D07"/>
    <w:rsid w:val="005C5173"/>
    <w:rsid w:val="005C6587"/>
    <w:rsid w:val="005C7F46"/>
    <w:rsid w:val="005D180B"/>
    <w:rsid w:val="005D7933"/>
    <w:rsid w:val="005E549A"/>
    <w:rsid w:val="005E6709"/>
    <w:rsid w:val="005F2117"/>
    <w:rsid w:val="005F2183"/>
    <w:rsid w:val="005F38DA"/>
    <w:rsid w:val="005F44EA"/>
    <w:rsid w:val="005F711B"/>
    <w:rsid w:val="006008FA"/>
    <w:rsid w:val="00605CB6"/>
    <w:rsid w:val="0061505C"/>
    <w:rsid w:val="0061663A"/>
    <w:rsid w:val="00616C51"/>
    <w:rsid w:val="006177AF"/>
    <w:rsid w:val="006179CD"/>
    <w:rsid w:val="00622918"/>
    <w:rsid w:val="00622BD5"/>
    <w:rsid w:val="00626331"/>
    <w:rsid w:val="00630EFF"/>
    <w:rsid w:val="006330E9"/>
    <w:rsid w:val="0064206D"/>
    <w:rsid w:val="0064423C"/>
    <w:rsid w:val="00647EC2"/>
    <w:rsid w:val="00650A55"/>
    <w:rsid w:val="0065140F"/>
    <w:rsid w:val="0065329A"/>
    <w:rsid w:val="00660B5B"/>
    <w:rsid w:val="00664D72"/>
    <w:rsid w:val="00666985"/>
    <w:rsid w:val="00666DD1"/>
    <w:rsid w:val="00672852"/>
    <w:rsid w:val="00672F81"/>
    <w:rsid w:val="00673CAD"/>
    <w:rsid w:val="0067582D"/>
    <w:rsid w:val="00675F1C"/>
    <w:rsid w:val="0067656C"/>
    <w:rsid w:val="006766E8"/>
    <w:rsid w:val="006771FD"/>
    <w:rsid w:val="006807CE"/>
    <w:rsid w:val="00682307"/>
    <w:rsid w:val="00686E21"/>
    <w:rsid w:val="00693AB1"/>
    <w:rsid w:val="0069748A"/>
    <w:rsid w:val="006A166A"/>
    <w:rsid w:val="006A3103"/>
    <w:rsid w:val="006A586F"/>
    <w:rsid w:val="006A6000"/>
    <w:rsid w:val="006A602F"/>
    <w:rsid w:val="006A6814"/>
    <w:rsid w:val="006B4735"/>
    <w:rsid w:val="006B7B61"/>
    <w:rsid w:val="006C062C"/>
    <w:rsid w:val="006C2861"/>
    <w:rsid w:val="006C7CC9"/>
    <w:rsid w:val="006D4DB4"/>
    <w:rsid w:val="006F44A8"/>
    <w:rsid w:val="006F58D9"/>
    <w:rsid w:val="006F77B5"/>
    <w:rsid w:val="00700750"/>
    <w:rsid w:val="00705C15"/>
    <w:rsid w:val="00713588"/>
    <w:rsid w:val="00715388"/>
    <w:rsid w:val="00716C90"/>
    <w:rsid w:val="00722D63"/>
    <w:rsid w:val="00723913"/>
    <w:rsid w:val="00723BCF"/>
    <w:rsid w:val="0072417F"/>
    <w:rsid w:val="0072526E"/>
    <w:rsid w:val="00725B0A"/>
    <w:rsid w:val="00730505"/>
    <w:rsid w:val="0073137F"/>
    <w:rsid w:val="00733F22"/>
    <w:rsid w:val="00741771"/>
    <w:rsid w:val="00744B3A"/>
    <w:rsid w:val="00756D71"/>
    <w:rsid w:val="00756F72"/>
    <w:rsid w:val="00762D9B"/>
    <w:rsid w:val="00763EF3"/>
    <w:rsid w:val="00765EB1"/>
    <w:rsid w:val="00766EA9"/>
    <w:rsid w:val="00775AB5"/>
    <w:rsid w:val="00776841"/>
    <w:rsid w:val="00783727"/>
    <w:rsid w:val="00785D22"/>
    <w:rsid w:val="007A2961"/>
    <w:rsid w:val="007B0FBF"/>
    <w:rsid w:val="007B1EBE"/>
    <w:rsid w:val="007C0BE7"/>
    <w:rsid w:val="007C3B9A"/>
    <w:rsid w:val="007C7F1B"/>
    <w:rsid w:val="007D34EB"/>
    <w:rsid w:val="007D3BCB"/>
    <w:rsid w:val="007E0350"/>
    <w:rsid w:val="007E3DD9"/>
    <w:rsid w:val="007E6B29"/>
    <w:rsid w:val="007E6CA3"/>
    <w:rsid w:val="007F3CB4"/>
    <w:rsid w:val="007F5835"/>
    <w:rsid w:val="00802483"/>
    <w:rsid w:val="00817FD2"/>
    <w:rsid w:val="0082131D"/>
    <w:rsid w:val="00821B9A"/>
    <w:rsid w:val="0082204E"/>
    <w:rsid w:val="00824978"/>
    <w:rsid w:val="00831C99"/>
    <w:rsid w:val="0083695F"/>
    <w:rsid w:val="00837895"/>
    <w:rsid w:val="0084477B"/>
    <w:rsid w:val="00854B11"/>
    <w:rsid w:val="00857B03"/>
    <w:rsid w:val="00871FCA"/>
    <w:rsid w:val="00875F72"/>
    <w:rsid w:val="00876A35"/>
    <w:rsid w:val="00886CD1"/>
    <w:rsid w:val="008A1C4D"/>
    <w:rsid w:val="008A1CE9"/>
    <w:rsid w:val="008A486A"/>
    <w:rsid w:val="008A6E47"/>
    <w:rsid w:val="008B0EAE"/>
    <w:rsid w:val="008B5D9D"/>
    <w:rsid w:val="008B6D61"/>
    <w:rsid w:val="008C56CA"/>
    <w:rsid w:val="008D1CB0"/>
    <w:rsid w:val="008D2155"/>
    <w:rsid w:val="008D75F4"/>
    <w:rsid w:val="008D7BD4"/>
    <w:rsid w:val="008E2027"/>
    <w:rsid w:val="008E6875"/>
    <w:rsid w:val="008E71EA"/>
    <w:rsid w:val="008F530E"/>
    <w:rsid w:val="009032D5"/>
    <w:rsid w:val="0090368C"/>
    <w:rsid w:val="009048AF"/>
    <w:rsid w:val="00904EBC"/>
    <w:rsid w:val="00906B57"/>
    <w:rsid w:val="00912B3A"/>
    <w:rsid w:val="009213FD"/>
    <w:rsid w:val="00924E9B"/>
    <w:rsid w:val="00932708"/>
    <w:rsid w:val="009418CC"/>
    <w:rsid w:val="00944F4C"/>
    <w:rsid w:val="00952DE8"/>
    <w:rsid w:val="0096054F"/>
    <w:rsid w:val="00963B41"/>
    <w:rsid w:val="00964B61"/>
    <w:rsid w:val="00967DDD"/>
    <w:rsid w:val="0097111B"/>
    <w:rsid w:val="0097166C"/>
    <w:rsid w:val="00973584"/>
    <w:rsid w:val="00974E02"/>
    <w:rsid w:val="00984465"/>
    <w:rsid w:val="00987099"/>
    <w:rsid w:val="009876D1"/>
    <w:rsid w:val="00987770"/>
    <w:rsid w:val="009913C2"/>
    <w:rsid w:val="009931B6"/>
    <w:rsid w:val="00993E6B"/>
    <w:rsid w:val="009B2677"/>
    <w:rsid w:val="009B5536"/>
    <w:rsid w:val="009B7B72"/>
    <w:rsid w:val="009C0280"/>
    <w:rsid w:val="009C51A7"/>
    <w:rsid w:val="009C5585"/>
    <w:rsid w:val="009D5439"/>
    <w:rsid w:val="009D54CB"/>
    <w:rsid w:val="009E30C3"/>
    <w:rsid w:val="009F21B0"/>
    <w:rsid w:val="009F5787"/>
    <w:rsid w:val="009F73D2"/>
    <w:rsid w:val="00A0109E"/>
    <w:rsid w:val="00A0206B"/>
    <w:rsid w:val="00A10C5E"/>
    <w:rsid w:val="00A14260"/>
    <w:rsid w:val="00A157EF"/>
    <w:rsid w:val="00A20A12"/>
    <w:rsid w:val="00A21FBC"/>
    <w:rsid w:val="00A228C6"/>
    <w:rsid w:val="00A22CDD"/>
    <w:rsid w:val="00A27A47"/>
    <w:rsid w:val="00A3474D"/>
    <w:rsid w:val="00A46728"/>
    <w:rsid w:val="00A50298"/>
    <w:rsid w:val="00A5451A"/>
    <w:rsid w:val="00A545FA"/>
    <w:rsid w:val="00A57A4E"/>
    <w:rsid w:val="00A60C34"/>
    <w:rsid w:val="00A64679"/>
    <w:rsid w:val="00A654E4"/>
    <w:rsid w:val="00A65B43"/>
    <w:rsid w:val="00A7034E"/>
    <w:rsid w:val="00A720AA"/>
    <w:rsid w:val="00A76FC1"/>
    <w:rsid w:val="00A85E2D"/>
    <w:rsid w:val="00AA3239"/>
    <w:rsid w:val="00AA5AFE"/>
    <w:rsid w:val="00AC032A"/>
    <w:rsid w:val="00AC22C2"/>
    <w:rsid w:val="00AC31E1"/>
    <w:rsid w:val="00AC37A2"/>
    <w:rsid w:val="00AD0E86"/>
    <w:rsid w:val="00AD2E94"/>
    <w:rsid w:val="00AD5C16"/>
    <w:rsid w:val="00AE1AAF"/>
    <w:rsid w:val="00AE2689"/>
    <w:rsid w:val="00AF286B"/>
    <w:rsid w:val="00AF31F0"/>
    <w:rsid w:val="00AF3E63"/>
    <w:rsid w:val="00AF5141"/>
    <w:rsid w:val="00B01F67"/>
    <w:rsid w:val="00B07715"/>
    <w:rsid w:val="00B23B35"/>
    <w:rsid w:val="00B25B40"/>
    <w:rsid w:val="00B41821"/>
    <w:rsid w:val="00B433F1"/>
    <w:rsid w:val="00B45104"/>
    <w:rsid w:val="00B50782"/>
    <w:rsid w:val="00B52D04"/>
    <w:rsid w:val="00B6389F"/>
    <w:rsid w:val="00B63AC9"/>
    <w:rsid w:val="00B67CB1"/>
    <w:rsid w:val="00B70582"/>
    <w:rsid w:val="00B72B51"/>
    <w:rsid w:val="00B72B8E"/>
    <w:rsid w:val="00B75747"/>
    <w:rsid w:val="00B80565"/>
    <w:rsid w:val="00B86470"/>
    <w:rsid w:val="00B86746"/>
    <w:rsid w:val="00B91C6E"/>
    <w:rsid w:val="00B96288"/>
    <w:rsid w:val="00B96D12"/>
    <w:rsid w:val="00BA5574"/>
    <w:rsid w:val="00BB65E1"/>
    <w:rsid w:val="00BC0F78"/>
    <w:rsid w:val="00BC421F"/>
    <w:rsid w:val="00BE541D"/>
    <w:rsid w:val="00BE62F2"/>
    <w:rsid w:val="00BE79B9"/>
    <w:rsid w:val="00BF2652"/>
    <w:rsid w:val="00BF361E"/>
    <w:rsid w:val="00C0140F"/>
    <w:rsid w:val="00C04336"/>
    <w:rsid w:val="00C05140"/>
    <w:rsid w:val="00C06711"/>
    <w:rsid w:val="00C14724"/>
    <w:rsid w:val="00C15363"/>
    <w:rsid w:val="00C16F87"/>
    <w:rsid w:val="00C20373"/>
    <w:rsid w:val="00C2179B"/>
    <w:rsid w:val="00C23F45"/>
    <w:rsid w:val="00C24299"/>
    <w:rsid w:val="00C27760"/>
    <w:rsid w:val="00C32273"/>
    <w:rsid w:val="00C32ED4"/>
    <w:rsid w:val="00C56506"/>
    <w:rsid w:val="00C5771F"/>
    <w:rsid w:val="00C57C6A"/>
    <w:rsid w:val="00C60A57"/>
    <w:rsid w:val="00C630CB"/>
    <w:rsid w:val="00C65BE2"/>
    <w:rsid w:val="00C67036"/>
    <w:rsid w:val="00C677EA"/>
    <w:rsid w:val="00C715A0"/>
    <w:rsid w:val="00C735B2"/>
    <w:rsid w:val="00C751E6"/>
    <w:rsid w:val="00C7670D"/>
    <w:rsid w:val="00C82B1A"/>
    <w:rsid w:val="00C82EBB"/>
    <w:rsid w:val="00C93200"/>
    <w:rsid w:val="00C93F03"/>
    <w:rsid w:val="00C95E8C"/>
    <w:rsid w:val="00CA00AB"/>
    <w:rsid w:val="00CA01C8"/>
    <w:rsid w:val="00CA1896"/>
    <w:rsid w:val="00CA3F02"/>
    <w:rsid w:val="00CA5E03"/>
    <w:rsid w:val="00CB15FB"/>
    <w:rsid w:val="00CB17AE"/>
    <w:rsid w:val="00CB321C"/>
    <w:rsid w:val="00CC2A09"/>
    <w:rsid w:val="00CC70A3"/>
    <w:rsid w:val="00CD0A52"/>
    <w:rsid w:val="00CD3774"/>
    <w:rsid w:val="00CD54F7"/>
    <w:rsid w:val="00CE239A"/>
    <w:rsid w:val="00CE4DB5"/>
    <w:rsid w:val="00CF3ED4"/>
    <w:rsid w:val="00CF4329"/>
    <w:rsid w:val="00D02B7B"/>
    <w:rsid w:val="00D15224"/>
    <w:rsid w:val="00D16A7C"/>
    <w:rsid w:val="00D26C40"/>
    <w:rsid w:val="00D3687B"/>
    <w:rsid w:val="00D40810"/>
    <w:rsid w:val="00D413B6"/>
    <w:rsid w:val="00D421BD"/>
    <w:rsid w:val="00D456DD"/>
    <w:rsid w:val="00D4640E"/>
    <w:rsid w:val="00D4739A"/>
    <w:rsid w:val="00D50735"/>
    <w:rsid w:val="00D61205"/>
    <w:rsid w:val="00D61224"/>
    <w:rsid w:val="00D61754"/>
    <w:rsid w:val="00D648BB"/>
    <w:rsid w:val="00D679AF"/>
    <w:rsid w:val="00D71F4D"/>
    <w:rsid w:val="00D742F8"/>
    <w:rsid w:val="00D830E4"/>
    <w:rsid w:val="00D93B7A"/>
    <w:rsid w:val="00D949A0"/>
    <w:rsid w:val="00D954AB"/>
    <w:rsid w:val="00D95E80"/>
    <w:rsid w:val="00DA54A4"/>
    <w:rsid w:val="00DB05F7"/>
    <w:rsid w:val="00DC0732"/>
    <w:rsid w:val="00DD017A"/>
    <w:rsid w:val="00DD4466"/>
    <w:rsid w:val="00DD5C33"/>
    <w:rsid w:val="00DD70AE"/>
    <w:rsid w:val="00DE2A29"/>
    <w:rsid w:val="00DE5642"/>
    <w:rsid w:val="00DE6672"/>
    <w:rsid w:val="00DF3AAD"/>
    <w:rsid w:val="00DF5A6F"/>
    <w:rsid w:val="00DF604A"/>
    <w:rsid w:val="00E02BC3"/>
    <w:rsid w:val="00E042C5"/>
    <w:rsid w:val="00E05CF5"/>
    <w:rsid w:val="00E0650A"/>
    <w:rsid w:val="00E126C2"/>
    <w:rsid w:val="00E12FA4"/>
    <w:rsid w:val="00E13158"/>
    <w:rsid w:val="00E14C9A"/>
    <w:rsid w:val="00E16E11"/>
    <w:rsid w:val="00E22A19"/>
    <w:rsid w:val="00E26064"/>
    <w:rsid w:val="00E313B2"/>
    <w:rsid w:val="00E3201F"/>
    <w:rsid w:val="00E3208C"/>
    <w:rsid w:val="00E32E73"/>
    <w:rsid w:val="00E47933"/>
    <w:rsid w:val="00E57C3A"/>
    <w:rsid w:val="00E64867"/>
    <w:rsid w:val="00E65E5D"/>
    <w:rsid w:val="00E66522"/>
    <w:rsid w:val="00E6758E"/>
    <w:rsid w:val="00E67C95"/>
    <w:rsid w:val="00E7604C"/>
    <w:rsid w:val="00E76E3D"/>
    <w:rsid w:val="00E839F2"/>
    <w:rsid w:val="00E91612"/>
    <w:rsid w:val="00E95D95"/>
    <w:rsid w:val="00E967ED"/>
    <w:rsid w:val="00E9783F"/>
    <w:rsid w:val="00EA2446"/>
    <w:rsid w:val="00EA4708"/>
    <w:rsid w:val="00EB114B"/>
    <w:rsid w:val="00EB23C7"/>
    <w:rsid w:val="00EB240D"/>
    <w:rsid w:val="00EB532B"/>
    <w:rsid w:val="00EC0E6A"/>
    <w:rsid w:val="00EC2D97"/>
    <w:rsid w:val="00EC2F32"/>
    <w:rsid w:val="00EC59D0"/>
    <w:rsid w:val="00ED108C"/>
    <w:rsid w:val="00ED2E3E"/>
    <w:rsid w:val="00F01509"/>
    <w:rsid w:val="00F025C1"/>
    <w:rsid w:val="00F05C5A"/>
    <w:rsid w:val="00F05CD4"/>
    <w:rsid w:val="00F06CCF"/>
    <w:rsid w:val="00F14ADE"/>
    <w:rsid w:val="00F20FAE"/>
    <w:rsid w:val="00F26B50"/>
    <w:rsid w:val="00F27B3F"/>
    <w:rsid w:val="00F37E56"/>
    <w:rsid w:val="00F43AAA"/>
    <w:rsid w:val="00F458F5"/>
    <w:rsid w:val="00F478BF"/>
    <w:rsid w:val="00F50DD3"/>
    <w:rsid w:val="00F5142F"/>
    <w:rsid w:val="00F516F6"/>
    <w:rsid w:val="00F5356B"/>
    <w:rsid w:val="00F56A46"/>
    <w:rsid w:val="00F62604"/>
    <w:rsid w:val="00F63AC6"/>
    <w:rsid w:val="00F66BFE"/>
    <w:rsid w:val="00F6713E"/>
    <w:rsid w:val="00F6714C"/>
    <w:rsid w:val="00F71915"/>
    <w:rsid w:val="00F729A6"/>
    <w:rsid w:val="00F76B69"/>
    <w:rsid w:val="00F82E2E"/>
    <w:rsid w:val="00F9685C"/>
    <w:rsid w:val="00F97B43"/>
    <w:rsid w:val="00FA0FE3"/>
    <w:rsid w:val="00FA17D2"/>
    <w:rsid w:val="00FA2B2A"/>
    <w:rsid w:val="00FA332B"/>
    <w:rsid w:val="00FA5F01"/>
    <w:rsid w:val="00FA6E96"/>
    <w:rsid w:val="00FB150D"/>
    <w:rsid w:val="00FB2DF8"/>
    <w:rsid w:val="00FC01C8"/>
    <w:rsid w:val="00FC0398"/>
    <w:rsid w:val="00FC044E"/>
    <w:rsid w:val="00FC3090"/>
    <w:rsid w:val="00FC5459"/>
    <w:rsid w:val="00FC6B66"/>
    <w:rsid w:val="00FD62BB"/>
    <w:rsid w:val="00FE05B0"/>
    <w:rsid w:val="00FE1510"/>
    <w:rsid w:val="00FE33A3"/>
    <w:rsid w:val="00FF3C27"/>
    <w:rsid w:val="00FF422C"/>
    <w:rsid w:val="00FF4DA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B13C7"/>
  <w15:chartTrackingRefBased/>
  <w15:docId w15:val="{0C364D6C-3651-4DB1-B7F3-619FED118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44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432FE"/>
    <w:pPr>
      <w:tabs>
        <w:tab w:val="center" w:pos="4536"/>
        <w:tab w:val="right" w:pos="9072"/>
      </w:tabs>
      <w:spacing w:after="0" w:line="240" w:lineRule="auto"/>
    </w:pPr>
  </w:style>
  <w:style w:type="character" w:customStyle="1" w:styleId="En-tteCar">
    <w:name w:val="En-tête Car"/>
    <w:basedOn w:val="Policepardfaut"/>
    <w:link w:val="En-tte"/>
    <w:uiPriority w:val="99"/>
    <w:rsid w:val="004432FE"/>
  </w:style>
  <w:style w:type="paragraph" w:styleId="Pieddepage">
    <w:name w:val="footer"/>
    <w:basedOn w:val="Normal"/>
    <w:link w:val="PieddepageCar"/>
    <w:uiPriority w:val="99"/>
    <w:unhideWhenUsed/>
    <w:rsid w:val="004432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32FE"/>
  </w:style>
  <w:style w:type="paragraph" w:styleId="Paragraphedeliste">
    <w:name w:val="List Paragraph"/>
    <w:aliases w:val="EC,Paragraphe de liste11,Paragraphe de liste1,Colorful List Accent 1,List Paragraph (numbered (a)),List_Paragraph,Multilevel para_II,List Paragraph1,Colorful List - Accent 11,Dot pt,No Spacing1,Indicator Text,L,List Paragraph,Puce"/>
    <w:basedOn w:val="Normal"/>
    <w:link w:val="ParagraphedelisteCar"/>
    <w:uiPriority w:val="34"/>
    <w:qFormat/>
    <w:rsid w:val="004432FE"/>
    <w:pPr>
      <w:spacing w:after="200" w:line="276" w:lineRule="auto"/>
      <w:ind w:left="720"/>
      <w:contextualSpacing/>
    </w:pPr>
  </w:style>
  <w:style w:type="character" w:customStyle="1" w:styleId="ParagraphedelisteCar">
    <w:name w:val="Paragraphe de liste Car"/>
    <w:aliases w:val="EC Car,Paragraphe de liste11 Car,Paragraphe de liste1 Car,Colorful List Accent 1 Car,List Paragraph (numbered (a)) Car,List_Paragraph Car,Multilevel para_II Car,List Paragraph1 Car,Colorful List - Accent 11 Car,Dot pt Car,L Car"/>
    <w:basedOn w:val="Policepardfaut"/>
    <w:link w:val="Paragraphedeliste"/>
    <w:uiPriority w:val="34"/>
    <w:qFormat/>
    <w:rsid w:val="004432FE"/>
  </w:style>
  <w:style w:type="paragraph" w:customStyle="1" w:styleId="Briefinglist1">
    <w:name w:val="Briefing list 1"/>
    <w:basedOn w:val="Normal"/>
    <w:rsid w:val="004432FE"/>
    <w:pPr>
      <w:keepLines/>
      <w:numPr>
        <w:numId w:val="1"/>
      </w:numPr>
      <w:spacing w:after="120" w:line="240" w:lineRule="auto"/>
      <w:jc w:val="both"/>
    </w:pPr>
    <w:rPr>
      <w:rFonts w:ascii="Arial" w:eastAsia="SimSun" w:hAnsi="Arial" w:cs="Arial"/>
      <w:szCs w:val="24"/>
      <w:lang w:val="en-GB"/>
    </w:rPr>
  </w:style>
  <w:style w:type="paragraph" w:styleId="Textedebulles">
    <w:name w:val="Balloon Text"/>
    <w:basedOn w:val="Normal"/>
    <w:link w:val="TextedebullesCar"/>
    <w:semiHidden/>
    <w:rsid w:val="004432FE"/>
    <w:pPr>
      <w:overflowPunct w:val="0"/>
      <w:autoSpaceDE w:val="0"/>
      <w:autoSpaceDN w:val="0"/>
      <w:adjustRightInd w:val="0"/>
      <w:spacing w:after="0" w:line="240" w:lineRule="auto"/>
      <w:textAlignment w:val="baseline"/>
    </w:pPr>
    <w:rPr>
      <w:rFonts w:ascii="Tahoma" w:eastAsia="Times New Roman" w:hAnsi="Tahoma" w:cs="Tahoma"/>
      <w:sz w:val="16"/>
      <w:szCs w:val="16"/>
      <w:lang w:eastAsia="fr-FR"/>
    </w:rPr>
  </w:style>
  <w:style w:type="character" w:customStyle="1" w:styleId="TextedebullesCar">
    <w:name w:val="Texte de bulles Car"/>
    <w:basedOn w:val="Policepardfaut"/>
    <w:link w:val="Textedebulles"/>
    <w:semiHidden/>
    <w:rsid w:val="004432FE"/>
    <w:rPr>
      <w:rFonts w:ascii="Tahoma" w:eastAsia="Times New Roman" w:hAnsi="Tahoma" w:cs="Tahoma"/>
      <w:sz w:val="16"/>
      <w:szCs w:val="16"/>
      <w:lang w:eastAsia="fr-FR"/>
    </w:rPr>
  </w:style>
  <w:style w:type="character" w:customStyle="1" w:styleId="affaire-suiviepar">
    <w:name w:val="affaire-suivie par"/>
    <w:basedOn w:val="Policepardfaut"/>
    <w:uiPriority w:val="1"/>
    <w:rsid w:val="004432FE"/>
    <w:rPr>
      <w:rFonts w:ascii="Times New Roman" w:hAnsi="Times New Roman"/>
      <w:sz w:val="18"/>
    </w:rPr>
  </w:style>
  <w:style w:type="paragraph" w:styleId="Sansinterligne">
    <w:name w:val="No Spacing"/>
    <w:uiPriority w:val="1"/>
    <w:qFormat/>
    <w:rsid w:val="004432FE"/>
    <w:pPr>
      <w:spacing w:after="0" w:line="240" w:lineRule="auto"/>
    </w:pPr>
  </w:style>
  <w:style w:type="table" w:styleId="Grilledutableau">
    <w:name w:val="Table Grid"/>
    <w:basedOn w:val="TableauNormal"/>
    <w:uiPriority w:val="39"/>
    <w:rsid w:val="006A6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irection">
    <w:name w:val="Intitulé direction"/>
    <w:basedOn w:val="En-tte"/>
    <w:next w:val="Corpsdetexte"/>
    <w:link w:val="IntituldirectionCar"/>
    <w:qFormat/>
    <w:rsid w:val="00AF3E63"/>
    <w:pPr>
      <w:widowControl w:val="0"/>
      <w:tabs>
        <w:tab w:val="clear" w:pos="4536"/>
        <w:tab w:val="clear" w:pos="9072"/>
        <w:tab w:val="right" w:pos="9026"/>
      </w:tabs>
      <w:autoSpaceDE w:val="0"/>
      <w:autoSpaceDN w:val="0"/>
      <w:jc w:val="right"/>
    </w:pPr>
    <w:rPr>
      <w:rFonts w:ascii="Arial" w:hAnsi="Arial" w:cs="Arial"/>
      <w:b/>
      <w:bCs/>
      <w:sz w:val="24"/>
      <w:szCs w:val="24"/>
      <w:lang w:val="en-US"/>
    </w:rPr>
  </w:style>
  <w:style w:type="character" w:customStyle="1" w:styleId="IntituldirectionCar">
    <w:name w:val="Intitulé direction Car"/>
    <w:basedOn w:val="En-tteCar"/>
    <w:link w:val="Intituldirection"/>
    <w:rsid w:val="00AF3E63"/>
    <w:rPr>
      <w:rFonts w:ascii="Arial" w:hAnsi="Arial" w:cs="Arial"/>
      <w:b/>
      <w:bCs/>
      <w:sz w:val="24"/>
      <w:szCs w:val="24"/>
      <w:lang w:val="en-US"/>
    </w:rPr>
  </w:style>
  <w:style w:type="paragraph" w:styleId="Corpsdetexte">
    <w:name w:val="Body Text"/>
    <w:basedOn w:val="Normal"/>
    <w:link w:val="CorpsdetexteCar"/>
    <w:uiPriority w:val="99"/>
    <w:semiHidden/>
    <w:unhideWhenUsed/>
    <w:rsid w:val="00AF3E63"/>
    <w:pPr>
      <w:spacing w:after="120"/>
    </w:pPr>
  </w:style>
  <w:style w:type="character" w:customStyle="1" w:styleId="CorpsdetexteCar">
    <w:name w:val="Corps de texte Car"/>
    <w:basedOn w:val="Policepardfaut"/>
    <w:link w:val="Corpsdetexte"/>
    <w:uiPriority w:val="99"/>
    <w:semiHidden/>
    <w:rsid w:val="00AF3E63"/>
  </w:style>
  <w:style w:type="paragraph" w:styleId="Notedebasdepage">
    <w:name w:val="footnote text"/>
    <w:basedOn w:val="Normal"/>
    <w:link w:val="NotedebasdepageCar"/>
    <w:uiPriority w:val="99"/>
    <w:semiHidden/>
    <w:unhideWhenUsed/>
    <w:rsid w:val="00B70582"/>
    <w:pPr>
      <w:spacing w:after="0" w:line="240" w:lineRule="auto"/>
    </w:pPr>
    <w:rPr>
      <w:rFonts w:ascii="Calibri" w:hAnsi="Calibri" w:cs="Calibri"/>
      <w:sz w:val="20"/>
      <w:szCs w:val="20"/>
    </w:rPr>
  </w:style>
  <w:style w:type="character" w:customStyle="1" w:styleId="NotedebasdepageCar">
    <w:name w:val="Note de bas de page Car"/>
    <w:basedOn w:val="Policepardfaut"/>
    <w:link w:val="Notedebasdepage"/>
    <w:uiPriority w:val="99"/>
    <w:semiHidden/>
    <w:rsid w:val="00B70582"/>
    <w:rPr>
      <w:rFonts w:ascii="Calibri" w:hAnsi="Calibri" w:cs="Calibri"/>
      <w:sz w:val="20"/>
      <w:szCs w:val="20"/>
    </w:rPr>
  </w:style>
  <w:style w:type="character" w:styleId="Appelnotedebasdep">
    <w:name w:val="footnote reference"/>
    <w:basedOn w:val="Policepardfaut"/>
    <w:uiPriority w:val="99"/>
    <w:semiHidden/>
    <w:unhideWhenUsed/>
    <w:rsid w:val="00B70582"/>
    <w:rPr>
      <w:vertAlign w:val="superscript"/>
    </w:rPr>
  </w:style>
  <w:style w:type="character" w:styleId="Lienhypertexte">
    <w:name w:val="Hyperlink"/>
    <w:basedOn w:val="Policepardfaut"/>
    <w:uiPriority w:val="99"/>
    <w:unhideWhenUsed/>
    <w:rsid w:val="00B70582"/>
    <w:rPr>
      <w:color w:val="0000FF"/>
      <w:u w:val="single"/>
    </w:rPr>
  </w:style>
  <w:style w:type="paragraph" w:customStyle="1" w:styleId="Default">
    <w:name w:val="Default"/>
    <w:rsid w:val="001E6235"/>
    <w:pPr>
      <w:autoSpaceDE w:val="0"/>
      <w:autoSpaceDN w:val="0"/>
      <w:adjustRightInd w:val="0"/>
      <w:spacing w:after="0" w:line="240" w:lineRule="auto"/>
    </w:pPr>
    <w:rPr>
      <w:rFonts w:ascii="Segoe UI" w:hAnsi="Segoe UI" w:cs="Segoe UI"/>
      <w:color w:val="000000"/>
      <w:sz w:val="24"/>
      <w:szCs w:val="24"/>
    </w:rPr>
  </w:style>
  <w:style w:type="table" w:styleId="TableauGrille4-Accentuation5">
    <w:name w:val="Grid Table 4 Accent 5"/>
    <w:basedOn w:val="TableauNormal"/>
    <w:uiPriority w:val="49"/>
    <w:rsid w:val="001B1DC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tedefin">
    <w:name w:val="endnote text"/>
    <w:basedOn w:val="Normal"/>
    <w:link w:val="NotedefinCar"/>
    <w:uiPriority w:val="99"/>
    <w:semiHidden/>
    <w:unhideWhenUsed/>
    <w:rsid w:val="00660B5B"/>
    <w:pPr>
      <w:spacing w:after="0" w:line="240" w:lineRule="auto"/>
    </w:pPr>
    <w:rPr>
      <w:sz w:val="20"/>
      <w:szCs w:val="20"/>
    </w:rPr>
  </w:style>
  <w:style w:type="character" w:customStyle="1" w:styleId="NotedefinCar">
    <w:name w:val="Note de fin Car"/>
    <w:basedOn w:val="Policepardfaut"/>
    <w:link w:val="Notedefin"/>
    <w:uiPriority w:val="99"/>
    <w:semiHidden/>
    <w:rsid w:val="00660B5B"/>
    <w:rPr>
      <w:sz w:val="20"/>
      <w:szCs w:val="20"/>
    </w:rPr>
  </w:style>
  <w:style w:type="character" w:styleId="Appeldenotedefin">
    <w:name w:val="endnote reference"/>
    <w:basedOn w:val="Policepardfaut"/>
    <w:uiPriority w:val="99"/>
    <w:semiHidden/>
    <w:unhideWhenUsed/>
    <w:rsid w:val="00660B5B"/>
    <w:rPr>
      <w:vertAlign w:val="superscript"/>
    </w:rPr>
  </w:style>
  <w:style w:type="character" w:styleId="Marquedecommentaire">
    <w:name w:val="annotation reference"/>
    <w:basedOn w:val="Policepardfaut"/>
    <w:uiPriority w:val="99"/>
    <w:semiHidden/>
    <w:unhideWhenUsed/>
    <w:rsid w:val="00FC01C8"/>
    <w:rPr>
      <w:sz w:val="16"/>
      <w:szCs w:val="16"/>
    </w:rPr>
  </w:style>
  <w:style w:type="paragraph" w:styleId="Commentaire">
    <w:name w:val="annotation text"/>
    <w:basedOn w:val="Normal"/>
    <w:link w:val="CommentaireCar"/>
    <w:uiPriority w:val="99"/>
    <w:semiHidden/>
    <w:unhideWhenUsed/>
    <w:rsid w:val="00FC01C8"/>
    <w:pPr>
      <w:spacing w:line="240" w:lineRule="auto"/>
    </w:pPr>
    <w:rPr>
      <w:sz w:val="20"/>
      <w:szCs w:val="20"/>
    </w:rPr>
  </w:style>
  <w:style w:type="character" w:customStyle="1" w:styleId="CommentaireCar">
    <w:name w:val="Commentaire Car"/>
    <w:basedOn w:val="Policepardfaut"/>
    <w:link w:val="Commentaire"/>
    <w:uiPriority w:val="99"/>
    <w:semiHidden/>
    <w:rsid w:val="00FC01C8"/>
    <w:rPr>
      <w:sz w:val="20"/>
      <w:szCs w:val="20"/>
    </w:rPr>
  </w:style>
  <w:style w:type="paragraph" w:styleId="Objetducommentaire">
    <w:name w:val="annotation subject"/>
    <w:basedOn w:val="Commentaire"/>
    <w:next w:val="Commentaire"/>
    <w:link w:val="ObjetducommentaireCar"/>
    <w:uiPriority w:val="99"/>
    <w:semiHidden/>
    <w:unhideWhenUsed/>
    <w:rsid w:val="00FC01C8"/>
    <w:rPr>
      <w:b/>
      <w:bCs/>
    </w:rPr>
  </w:style>
  <w:style w:type="character" w:customStyle="1" w:styleId="ObjetducommentaireCar">
    <w:name w:val="Objet du commentaire Car"/>
    <w:basedOn w:val="CommentaireCar"/>
    <w:link w:val="Objetducommentaire"/>
    <w:uiPriority w:val="99"/>
    <w:semiHidden/>
    <w:rsid w:val="00FC01C8"/>
    <w:rPr>
      <w:b/>
      <w:bCs/>
      <w:sz w:val="20"/>
      <w:szCs w:val="20"/>
    </w:rPr>
  </w:style>
  <w:style w:type="character" w:styleId="Lienhypertextesuivivisit">
    <w:name w:val="FollowedHyperlink"/>
    <w:basedOn w:val="Policepardfaut"/>
    <w:uiPriority w:val="99"/>
    <w:semiHidden/>
    <w:unhideWhenUsed/>
    <w:rsid w:val="00541948"/>
    <w:rPr>
      <w:color w:val="954F72" w:themeColor="followedHyperlink"/>
      <w:u w:val="single"/>
    </w:rPr>
  </w:style>
  <w:style w:type="character" w:styleId="Mentionnonrsolue">
    <w:name w:val="Unresolved Mention"/>
    <w:basedOn w:val="Policepardfaut"/>
    <w:uiPriority w:val="99"/>
    <w:semiHidden/>
    <w:unhideWhenUsed/>
    <w:rsid w:val="00D02B7B"/>
    <w:rPr>
      <w:color w:val="605E5C"/>
      <w:shd w:val="clear" w:color="auto" w:fill="E1DFDD"/>
    </w:rPr>
  </w:style>
  <w:style w:type="table" w:styleId="TableauGrille1Clair-Accentuation1">
    <w:name w:val="Grid Table 1 Light Accent 1"/>
    <w:basedOn w:val="TableauNormal"/>
    <w:uiPriority w:val="46"/>
    <w:rsid w:val="00526D5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526D5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526D5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35702">
      <w:bodyDiv w:val="1"/>
      <w:marLeft w:val="0"/>
      <w:marRight w:val="0"/>
      <w:marTop w:val="0"/>
      <w:marBottom w:val="0"/>
      <w:divBdr>
        <w:top w:val="none" w:sz="0" w:space="0" w:color="auto"/>
        <w:left w:val="none" w:sz="0" w:space="0" w:color="auto"/>
        <w:bottom w:val="none" w:sz="0" w:space="0" w:color="auto"/>
        <w:right w:val="none" w:sz="0" w:space="0" w:color="auto"/>
      </w:divBdr>
    </w:div>
    <w:div w:id="500776315">
      <w:bodyDiv w:val="1"/>
      <w:marLeft w:val="0"/>
      <w:marRight w:val="0"/>
      <w:marTop w:val="0"/>
      <w:marBottom w:val="0"/>
      <w:divBdr>
        <w:top w:val="none" w:sz="0" w:space="0" w:color="auto"/>
        <w:left w:val="none" w:sz="0" w:space="0" w:color="auto"/>
        <w:bottom w:val="none" w:sz="0" w:space="0" w:color="auto"/>
        <w:right w:val="none" w:sz="0" w:space="0" w:color="auto"/>
      </w:divBdr>
    </w:div>
    <w:div w:id="917593288">
      <w:bodyDiv w:val="1"/>
      <w:marLeft w:val="0"/>
      <w:marRight w:val="0"/>
      <w:marTop w:val="0"/>
      <w:marBottom w:val="0"/>
      <w:divBdr>
        <w:top w:val="none" w:sz="0" w:space="0" w:color="auto"/>
        <w:left w:val="none" w:sz="0" w:space="0" w:color="auto"/>
        <w:bottom w:val="none" w:sz="0" w:space="0" w:color="auto"/>
        <w:right w:val="none" w:sz="0" w:space="0" w:color="auto"/>
      </w:divBdr>
    </w:div>
    <w:div w:id="962154333">
      <w:bodyDiv w:val="1"/>
      <w:marLeft w:val="0"/>
      <w:marRight w:val="0"/>
      <w:marTop w:val="0"/>
      <w:marBottom w:val="0"/>
      <w:divBdr>
        <w:top w:val="none" w:sz="0" w:space="0" w:color="auto"/>
        <w:left w:val="none" w:sz="0" w:space="0" w:color="auto"/>
        <w:bottom w:val="none" w:sz="0" w:space="0" w:color="auto"/>
        <w:right w:val="none" w:sz="0" w:space="0" w:color="auto"/>
      </w:divBdr>
    </w:div>
    <w:div w:id="1034186453">
      <w:bodyDiv w:val="1"/>
      <w:marLeft w:val="0"/>
      <w:marRight w:val="0"/>
      <w:marTop w:val="0"/>
      <w:marBottom w:val="0"/>
      <w:divBdr>
        <w:top w:val="none" w:sz="0" w:space="0" w:color="auto"/>
        <w:left w:val="none" w:sz="0" w:space="0" w:color="auto"/>
        <w:bottom w:val="none" w:sz="0" w:space="0" w:color="auto"/>
        <w:right w:val="none" w:sz="0" w:space="0" w:color="auto"/>
      </w:divBdr>
    </w:div>
    <w:div w:id="1045249486">
      <w:bodyDiv w:val="1"/>
      <w:marLeft w:val="0"/>
      <w:marRight w:val="0"/>
      <w:marTop w:val="0"/>
      <w:marBottom w:val="0"/>
      <w:divBdr>
        <w:top w:val="none" w:sz="0" w:space="0" w:color="auto"/>
        <w:left w:val="none" w:sz="0" w:space="0" w:color="auto"/>
        <w:bottom w:val="none" w:sz="0" w:space="0" w:color="auto"/>
        <w:right w:val="none" w:sz="0" w:space="0" w:color="auto"/>
      </w:divBdr>
    </w:div>
    <w:div w:id="1047871478">
      <w:bodyDiv w:val="1"/>
      <w:marLeft w:val="0"/>
      <w:marRight w:val="0"/>
      <w:marTop w:val="0"/>
      <w:marBottom w:val="0"/>
      <w:divBdr>
        <w:top w:val="none" w:sz="0" w:space="0" w:color="auto"/>
        <w:left w:val="none" w:sz="0" w:space="0" w:color="auto"/>
        <w:bottom w:val="none" w:sz="0" w:space="0" w:color="auto"/>
        <w:right w:val="none" w:sz="0" w:space="0" w:color="auto"/>
      </w:divBdr>
    </w:div>
    <w:div w:id="1064570715">
      <w:bodyDiv w:val="1"/>
      <w:marLeft w:val="0"/>
      <w:marRight w:val="0"/>
      <w:marTop w:val="0"/>
      <w:marBottom w:val="0"/>
      <w:divBdr>
        <w:top w:val="none" w:sz="0" w:space="0" w:color="auto"/>
        <w:left w:val="none" w:sz="0" w:space="0" w:color="auto"/>
        <w:bottom w:val="none" w:sz="0" w:space="0" w:color="auto"/>
        <w:right w:val="none" w:sz="0" w:space="0" w:color="auto"/>
      </w:divBdr>
    </w:div>
    <w:div w:id="1318806462">
      <w:bodyDiv w:val="1"/>
      <w:marLeft w:val="0"/>
      <w:marRight w:val="0"/>
      <w:marTop w:val="0"/>
      <w:marBottom w:val="0"/>
      <w:divBdr>
        <w:top w:val="none" w:sz="0" w:space="0" w:color="auto"/>
        <w:left w:val="none" w:sz="0" w:space="0" w:color="auto"/>
        <w:bottom w:val="none" w:sz="0" w:space="0" w:color="auto"/>
        <w:right w:val="none" w:sz="0" w:space="0" w:color="auto"/>
      </w:divBdr>
    </w:div>
    <w:div w:id="1471441347">
      <w:bodyDiv w:val="1"/>
      <w:marLeft w:val="0"/>
      <w:marRight w:val="0"/>
      <w:marTop w:val="0"/>
      <w:marBottom w:val="0"/>
      <w:divBdr>
        <w:top w:val="none" w:sz="0" w:space="0" w:color="auto"/>
        <w:left w:val="none" w:sz="0" w:space="0" w:color="auto"/>
        <w:bottom w:val="none" w:sz="0" w:space="0" w:color="auto"/>
        <w:right w:val="none" w:sz="0" w:space="0" w:color="auto"/>
      </w:divBdr>
    </w:div>
    <w:div w:id="1616599720">
      <w:bodyDiv w:val="1"/>
      <w:marLeft w:val="0"/>
      <w:marRight w:val="0"/>
      <w:marTop w:val="0"/>
      <w:marBottom w:val="0"/>
      <w:divBdr>
        <w:top w:val="none" w:sz="0" w:space="0" w:color="auto"/>
        <w:left w:val="none" w:sz="0" w:space="0" w:color="auto"/>
        <w:bottom w:val="none" w:sz="0" w:space="0" w:color="auto"/>
        <w:right w:val="none" w:sz="0" w:space="0" w:color="auto"/>
      </w:divBdr>
    </w:div>
    <w:div w:id="1657496494">
      <w:bodyDiv w:val="1"/>
      <w:marLeft w:val="0"/>
      <w:marRight w:val="0"/>
      <w:marTop w:val="0"/>
      <w:marBottom w:val="0"/>
      <w:divBdr>
        <w:top w:val="none" w:sz="0" w:space="0" w:color="auto"/>
        <w:left w:val="none" w:sz="0" w:space="0" w:color="auto"/>
        <w:bottom w:val="none" w:sz="0" w:space="0" w:color="auto"/>
        <w:right w:val="none" w:sz="0" w:space="0" w:color="auto"/>
      </w:divBdr>
    </w:div>
    <w:div w:id="1722751355">
      <w:bodyDiv w:val="1"/>
      <w:marLeft w:val="0"/>
      <w:marRight w:val="0"/>
      <w:marTop w:val="0"/>
      <w:marBottom w:val="0"/>
      <w:divBdr>
        <w:top w:val="none" w:sz="0" w:space="0" w:color="auto"/>
        <w:left w:val="none" w:sz="0" w:space="0" w:color="auto"/>
        <w:bottom w:val="none" w:sz="0" w:space="0" w:color="auto"/>
        <w:right w:val="none" w:sz="0" w:space="0" w:color="auto"/>
      </w:divBdr>
    </w:div>
    <w:div w:id="193131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CAB5A97558B742A2DB673CBDF82631" ma:contentTypeVersion="5" ma:contentTypeDescription="Crée un document." ma:contentTypeScope="" ma:versionID="c31b6c800821cb253460375248cf1a46">
  <xsd:schema xmlns:xsd="http://www.w3.org/2001/XMLSchema" xmlns:xs="http://www.w3.org/2001/XMLSchema" xmlns:p="http://schemas.microsoft.com/office/2006/metadata/properties" xmlns:ns1="http://schemas.microsoft.com/sharepoint/v3" xmlns:ns2="57f014fb-e63d-429b-bf40-440cdd2ade6e" targetNamespace="http://schemas.microsoft.com/office/2006/metadata/properties" ma:root="true" ma:fieldsID="9edc6e895e479aa75efce00932c1c730" ns1:_="" ns2:_="">
    <xsd:import namespace="http://schemas.microsoft.com/sharepoint/v3"/>
    <xsd:import namespace="57f014fb-e63d-429b-bf40-440cdd2ade6e"/>
    <xsd:element name="properties">
      <xsd:complexType>
        <xsd:sequence>
          <xsd:element name="documentManagement">
            <xsd:complexType>
              <xsd:all>
                <xsd:element ref="ns1:PublishingStartDate" minOccurs="0"/>
                <xsd:element ref="ns1:PublishingExpirationDate"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Date de début de planification" ma:description="La colonne de site Date de début de planification est créée par la fonctionnalité de publication. Elle permet de spécifier les date et heure auxquelles cette page apparaîtra la première fois aux visiteurs du site." ma:hidden="true" ma:internalName="PublishingStartDate">
      <xsd:simpleType>
        <xsd:restriction base="dms:Unknown"/>
      </xsd:simpleType>
    </xsd:element>
    <xsd:element name="PublishingExpirationDate" ma:index="5" nillable="true" ma:displayName="Date de fin de planification" ma:description="La colonne de site Date de fin de planification est créée par la fonctionnalité de publication. Elle permet de spécifier les date et heure auxquelles cette page n'apparaîtra plus aux visiteurs du site."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7f014fb-e63d-429b-bf40-440cdd2ade6e" elementFormDefault="qualified">
    <xsd:import namespace="http://schemas.microsoft.com/office/2006/documentManagement/types"/>
    <xsd:import namespace="http://schemas.microsoft.com/office/infopath/2007/PartnerControls"/>
    <xsd:element name="SharedWithUsers" ma:index="10"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Type de contenu"/>
        <xsd:element ref="dc:title" minOccurs="0" maxOccurs="1" ma:index="3"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ED7BF-F8DC-45B9-BFE6-90231472C4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7f014fb-e63d-429b-bf40-440cdd2ade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A5C3BE-9D6B-49ED-965C-A9AEB9945F4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ED9D934-B2D2-4B4E-A779-F24A898AEBD3}">
  <ds:schemaRefs>
    <ds:schemaRef ds:uri="http://schemas.microsoft.com/sharepoint/v3/contenttype/forms"/>
  </ds:schemaRefs>
</ds:datastoreItem>
</file>

<file path=customXml/itemProps4.xml><?xml version="1.0" encoding="utf-8"?>
<ds:datastoreItem xmlns:ds="http://schemas.openxmlformats.org/officeDocument/2006/customXml" ds:itemID="{844CFAB0-EA74-42EC-BBF2-7656C7C15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1397</Words>
  <Characters>7686</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DG Trésor</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BORDES Gilles</dc:creator>
  <cp:keywords/>
  <dc:description/>
  <cp:lastModifiedBy>ZANGHELLINI Bruno</cp:lastModifiedBy>
  <cp:revision>2</cp:revision>
  <cp:lastPrinted>2022-01-30T09:16:00Z</cp:lastPrinted>
  <dcterms:created xsi:type="dcterms:W3CDTF">2024-04-07T10:51:00Z</dcterms:created>
  <dcterms:modified xsi:type="dcterms:W3CDTF">2024-04-07T10:51:00Z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0x010100D8CAB5A97558B742A2DB673CBDF82631</vt:lpwstr>
  </property>
</Properties>
</file>