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662A00" w:rsidRPr="009E07B2" w14:paraId="67D957D7" w14:textId="77777777" w:rsidTr="00151CF6">
        <w:tc>
          <w:tcPr>
            <w:tcW w:w="9016" w:type="dxa"/>
            <w:shd w:val="clear" w:color="auto" w:fill="E7E6E6" w:themeFill="background2"/>
          </w:tcPr>
          <w:p w14:paraId="14EAFB0C" w14:textId="77777777" w:rsidR="00662A00" w:rsidRDefault="00662A00" w:rsidP="00151CF6">
            <w:pPr>
              <w:jc w:val="center"/>
              <w:rPr>
                <w:b/>
                <w:bCs/>
                <w:lang w:val="en-US"/>
              </w:rPr>
            </w:pPr>
          </w:p>
          <w:p w14:paraId="15ADBA87" w14:textId="630B4DA8" w:rsidR="00662A00" w:rsidRPr="00763FC2" w:rsidRDefault="00662A00" w:rsidP="00151CF6">
            <w:pPr>
              <w:jc w:val="center"/>
              <w:rPr>
                <w:b/>
                <w:bCs/>
                <w:sz w:val="24"/>
                <w:szCs w:val="24"/>
                <w:lang w:val="en-US"/>
              </w:rPr>
            </w:pPr>
            <w:r w:rsidRPr="00763FC2">
              <w:rPr>
                <w:b/>
                <w:bCs/>
                <w:sz w:val="24"/>
                <w:szCs w:val="24"/>
                <w:lang w:val="en-US"/>
              </w:rPr>
              <w:t xml:space="preserve">Moody’s : </w:t>
            </w:r>
            <w:r>
              <w:rPr>
                <w:b/>
                <w:bCs/>
                <w:sz w:val="24"/>
                <w:szCs w:val="24"/>
                <w:lang w:val="en-US"/>
              </w:rPr>
              <w:t>Baa</w:t>
            </w:r>
            <w:r w:rsidR="00747BC8">
              <w:rPr>
                <w:b/>
                <w:bCs/>
                <w:sz w:val="24"/>
                <w:szCs w:val="24"/>
                <w:lang w:val="en-US"/>
              </w:rPr>
              <w:t>1</w:t>
            </w:r>
            <w:r w:rsidR="00FB1B23">
              <w:rPr>
                <w:b/>
                <w:bCs/>
                <w:sz w:val="24"/>
                <w:szCs w:val="24"/>
                <w:lang w:val="en-US"/>
              </w:rPr>
              <w:t xml:space="preserve">, </w:t>
            </w:r>
            <w:r w:rsidR="00747BC8" w:rsidRPr="000E5546">
              <w:rPr>
                <w:b/>
                <w:bCs/>
                <w:sz w:val="20"/>
                <w:szCs w:val="20"/>
                <w:lang w:val="en-US"/>
              </w:rPr>
              <w:t>Positive</w:t>
            </w:r>
            <w:r w:rsidR="00FB1B23">
              <w:rPr>
                <w:b/>
                <w:bCs/>
                <w:sz w:val="24"/>
                <w:szCs w:val="24"/>
                <w:lang w:val="en-US"/>
              </w:rPr>
              <w:t xml:space="preserve"> |</w:t>
            </w:r>
            <w:r w:rsidRPr="00763FC2">
              <w:rPr>
                <w:b/>
                <w:bCs/>
                <w:sz w:val="24"/>
                <w:szCs w:val="24"/>
                <w:lang w:val="en-US"/>
              </w:rPr>
              <w:t xml:space="preserve"> Fitch : </w:t>
            </w:r>
            <w:r w:rsidR="008F7262">
              <w:rPr>
                <w:b/>
                <w:bCs/>
                <w:sz w:val="24"/>
                <w:szCs w:val="24"/>
                <w:lang w:val="en-US"/>
              </w:rPr>
              <w:t>A</w:t>
            </w:r>
            <w:r>
              <w:rPr>
                <w:b/>
                <w:bCs/>
                <w:sz w:val="24"/>
                <w:szCs w:val="24"/>
                <w:lang w:val="en-US"/>
              </w:rPr>
              <w:t>-</w:t>
            </w:r>
            <w:r w:rsidR="00FB1B23">
              <w:rPr>
                <w:b/>
                <w:bCs/>
                <w:sz w:val="24"/>
                <w:szCs w:val="24"/>
                <w:lang w:val="en-US"/>
              </w:rPr>
              <w:t xml:space="preserve">, </w:t>
            </w:r>
            <w:r w:rsidR="00FB1B23" w:rsidRPr="000E5546">
              <w:rPr>
                <w:b/>
                <w:bCs/>
                <w:sz w:val="20"/>
                <w:szCs w:val="20"/>
                <w:lang w:val="en-US"/>
              </w:rPr>
              <w:t>Stable</w:t>
            </w:r>
            <w:r>
              <w:rPr>
                <w:b/>
                <w:bCs/>
                <w:sz w:val="24"/>
                <w:szCs w:val="24"/>
                <w:lang w:val="en-US"/>
              </w:rPr>
              <w:t xml:space="preserve"> </w:t>
            </w:r>
            <w:r w:rsidR="007971CE">
              <w:rPr>
                <w:b/>
                <w:bCs/>
                <w:sz w:val="24"/>
                <w:szCs w:val="24"/>
                <w:lang w:val="en-US"/>
              </w:rPr>
              <w:t>|</w:t>
            </w:r>
            <w:r w:rsidR="007971CE" w:rsidRPr="00763FC2">
              <w:rPr>
                <w:b/>
                <w:bCs/>
                <w:sz w:val="24"/>
                <w:szCs w:val="24"/>
                <w:lang w:val="en-US"/>
              </w:rPr>
              <w:t xml:space="preserve"> </w:t>
            </w:r>
            <w:r>
              <w:rPr>
                <w:b/>
                <w:bCs/>
                <w:sz w:val="24"/>
                <w:szCs w:val="24"/>
                <w:lang w:val="en-US"/>
              </w:rPr>
              <w:t xml:space="preserve">S&amp;P : </w:t>
            </w:r>
            <w:r w:rsidR="008F7262">
              <w:rPr>
                <w:b/>
                <w:bCs/>
                <w:sz w:val="24"/>
                <w:szCs w:val="24"/>
                <w:lang w:val="en-US"/>
              </w:rPr>
              <w:t xml:space="preserve">A, </w:t>
            </w:r>
            <w:r w:rsidR="008F7262" w:rsidRPr="000E5546">
              <w:rPr>
                <w:b/>
                <w:bCs/>
                <w:sz w:val="20"/>
                <w:szCs w:val="20"/>
                <w:lang w:val="en-US"/>
              </w:rPr>
              <w:t>Stable</w:t>
            </w:r>
          </w:p>
          <w:p w14:paraId="44D9853D" w14:textId="77777777" w:rsidR="00662A00" w:rsidRDefault="00662A00" w:rsidP="00151CF6">
            <w:pPr>
              <w:jc w:val="both"/>
              <w:rPr>
                <w:lang w:val="en-US"/>
              </w:rPr>
            </w:pPr>
          </w:p>
        </w:tc>
      </w:tr>
    </w:tbl>
    <w:p w14:paraId="6496C5C3" w14:textId="77777777" w:rsidR="00C71EC2" w:rsidRDefault="00C71EC2">
      <w:pPr>
        <w:rPr>
          <w:lang w:val="en-US"/>
        </w:rPr>
      </w:pPr>
    </w:p>
    <w:tbl>
      <w:tblPr>
        <w:tblStyle w:val="TableGrid"/>
        <w:tblW w:w="8995" w:type="dxa"/>
        <w:tblLook w:val="04A0" w:firstRow="1" w:lastRow="0" w:firstColumn="1" w:lastColumn="0" w:noHBand="0" w:noVBand="1"/>
      </w:tblPr>
      <w:tblGrid>
        <w:gridCol w:w="4495"/>
        <w:gridCol w:w="4500"/>
      </w:tblGrid>
      <w:tr w:rsidR="00A31D7D" w14:paraId="3D961700" w14:textId="77777777" w:rsidTr="009E07B2">
        <w:trPr>
          <w:trHeight w:val="2942"/>
        </w:trPr>
        <w:tc>
          <w:tcPr>
            <w:tcW w:w="4495" w:type="dxa"/>
          </w:tcPr>
          <w:p w14:paraId="384EDFB6" w14:textId="77777777" w:rsidR="00A31D7D" w:rsidRPr="006F0C21" w:rsidRDefault="00A31D7D" w:rsidP="00BF1044">
            <w:pPr>
              <w:jc w:val="center"/>
              <w:rPr>
                <w:b/>
                <w:bCs/>
                <w:color w:val="70AD47" w:themeColor="accent6"/>
                <w:u w:val="single"/>
                <w:lang w:val="fr-BE"/>
              </w:rPr>
            </w:pPr>
            <w:r w:rsidRPr="006F0C21">
              <w:rPr>
                <w:b/>
                <w:bCs/>
                <w:color w:val="70AD47" w:themeColor="accent6"/>
                <w:u w:val="single"/>
                <w:lang w:val="fr-BE"/>
              </w:rPr>
              <w:t>Points forts</w:t>
            </w:r>
          </w:p>
          <w:p w14:paraId="44E912C6" w14:textId="77777777" w:rsidR="00A31D7D" w:rsidRDefault="00A31D7D" w:rsidP="00BF1044">
            <w:pPr>
              <w:jc w:val="both"/>
              <w:rPr>
                <w:b/>
                <w:bCs/>
                <w:lang w:val="fr-BE"/>
              </w:rPr>
            </w:pPr>
          </w:p>
          <w:p w14:paraId="7F43F19C" w14:textId="77777777" w:rsidR="00003110" w:rsidRDefault="00003110" w:rsidP="00825AEC">
            <w:pPr>
              <w:pStyle w:val="ListParagraph"/>
              <w:numPr>
                <w:ilvl w:val="0"/>
                <w:numId w:val="1"/>
              </w:numPr>
              <w:jc w:val="both"/>
              <w:rPr>
                <w:b/>
                <w:bCs/>
                <w:lang w:val="fr-BE"/>
              </w:rPr>
            </w:pPr>
            <w:r>
              <w:rPr>
                <w:b/>
                <w:bCs/>
                <w:lang w:val="fr-BE"/>
              </w:rPr>
              <w:t>Une croissance dynamique et bien supérieure à celle des pays de la zone</w:t>
            </w:r>
          </w:p>
          <w:p w14:paraId="2DAD5841" w14:textId="77777777" w:rsidR="00003110" w:rsidRDefault="00003110" w:rsidP="00825AEC">
            <w:pPr>
              <w:pStyle w:val="ListParagraph"/>
              <w:numPr>
                <w:ilvl w:val="0"/>
                <w:numId w:val="1"/>
              </w:numPr>
              <w:jc w:val="both"/>
              <w:rPr>
                <w:b/>
                <w:bCs/>
                <w:lang w:val="fr-BE"/>
              </w:rPr>
            </w:pPr>
            <w:r>
              <w:rPr>
                <w:b/>
                <w:bCs/>
                <w:lang w:val="fr-BE"/>
              </w:rPr>
              <w:t>Le pays suit une trajectoire d’assainissement de ses comptes publiques (réduction de la dette et de son déficit)</w:t>
            </w:r>
          </w:p>
          <w:p w14:paraId="6924B403" w14:textId="5F4E98C3" w:rsidR="00115362" w:rsidRPr="00115362" w:rsidRDefault="00825AEC" w:rsidP="00115362">
            <w:pPr>
              <w:pStyle w:val="ListParagraph"/>
              <w:numPr>
                <w:ilvl w:val="0"/>
                <w:numId w:val="1"/>
              </w:numPr>
              <w:jc w:val="both"/>
              <w:rPr>
                <w:b/>
                <w:bCs/>
                <w:lang w:val="fr-BE"/>
              </w:rPr>
            </w:pPr>
            <w:r>
              <w:rPr>
                <w:b/>
                <w:bCs/>
                <w:lang w:val="fr-BE"/>
              </w:rPr>
              <w:t xml:space="preserve"> </w:t>
            </w:r>
            <w:r w:rsidR="00115362">
              <w:rPr>
                <w:b/>
                <w:bCs/>
                <w:lang w:val="fr-BE"/>
              </w:rPr>
              <w:t>Avantage comparatif dans le domaine des énergies renouvelables</w:t>
            </w:r>
          </w:p>
        </w:tc>
        <w:tc>
          <w:tcPr>
            <w:tcW w:w="4500" w:type="dxa"/>
          </w:tcPr>
          <w:p w14:paraId="401ACA08" w14:textId="77777777" w:rsidR="00A31D7D" w:rsidRPr="006F0C21" w:rsidRDefault="00A31D7D" w:rsidP="00BF1044">
            <w:pPr>
              <w:jc w:val="center"/>
              <w:rPr>
                <w:b/>
                <w:bCs/>
                <w:color w:val="FF0000"/>
                <w:u w:val="single"/>
                <w:lang w:val="fr-BE"/>
              </w:rPr>
            </w:pPr>
            <w:r w:rsidRPr="006F0C21">
              <w:rPr>
                <w:b/>
                <w:bCs/>
                <w:color w:val="FF0000"/>
                <w:u w:val="single"/>
                <w:lang w:val="fr-BE"/>
              </w:rPr>
              <w:t>Points faibles</w:t>
            </w:r>
          </w:p>
          <w:p w14:paraId="5EC560CF" w14:textId="77777777" w:rsidR="00A31D7D" w:rsidRDefault="00A31D7D" w:rsidP="00BF1044">
            <w:pPr>
              <w:jc w:val="both"/>
              <w:rPr>
                <w:b/>
                <w:bCs/>
                <w:lang w:val="fr-BE"/>
              </w:rPr>
            </w:pPr>
          </w:p>
          <w:p w14:paraId="615B134B" w14:textId="7D328592" w:rsidR="00A31D7D" w:rsidRPr="00461EA0" w:rsidRDefault="00003110" w:rsidP="00461EA0">
            <w:pPr>
              <w:pStyle w:val="ListParagraph"/>
              <w:numPr>
                <w:ilvl w:val="0"/>
                <w:numId w:val="1"/>
              </w:numPr>
              <w:jc w:val="both"/>
              <w:rPr>
                <w:b/>
                <w:bCs/>
                <w:lang w:val="fr-BE"/>
              </w:rPr>
            </w:pPr>
            <w:r>
              <w:rPr>
                <w:b/>
                <w:bCs/>
                <w:lang w:val="fr-BE"/>
              </w:rPr>
              <w:t>La</w:t>
            </w:r>
            <w:r w:rsidR="00030E56">
              <w:rPr>
                <w:b/>
                <w:bCs/>
                <w:lang w:val="fr-BE"/>
              </w:rPr>
              <w:t xml:space="preserve"> coalition au pouvoir est </w:t>
            </w:r>
            <w:r>
              <w:rPr>
                <w:b/>
                <w:bCs/>
                <w:lang w:val="fr-BE"/>
              </w:rPr>
              <w:t>fragile et peut être mis en danger selon les velléités indépendantistes de</w:t>
            </w:r>
            <w:r w:rsidR="00461EA0">
              <w:rPr>
                <w:b/>
                <w:bCs/>
                <w:lang w:val="fr-BE"/>
              </w:rPr>
              <w:t>s c</w:t>
            </w:r>
            <w:r w:rsidRPr="00461EA0">
              <w:rPr>
                <w:b/>
                <w:bCs/>
                <w:lang w:val="fr-BE"/>
              </w:rPr>
              <w:t>atal</w:t>
            </w:r>
            <w:r w:rsidR="00461EA0">
              <w:rPr>
                <w:b/>
                <w:bCs/>
                <w:lang w:val="fr-BE"/>
              </w:rPr>
              <w:t>ans</w:t>
            </w:r>
          </w:p>
          <w:p w14:paraId="18BD519A" w14:textId="2362D56B" w:rsidR="009E63C0" w:rsidRPr="00C91D01" w:rsidRDefault="00302FEF" w:rsidP="00BF1044">
            <w:pPr>
              <w:pStyle w:val="ListParagraph"/>
              <w:numPr>
                <w:ilvl w:val="0"/>
                <w:numId w:val="1"/>
              </w:numPr>
              <w:jc w:val="both"/>
              <w:rPr>
                <w:b/>
                <w:bCs/>
                <w:lang w:val="fr-BE"/>
              </w:rPr>
            </w:pPr>
            <w:r w:rsidRPr="00C91D01">
              <w:rPr>
                <w:b/>
                <w:bCs/>
                <w:lang w:val="fr-BE"/>
              </w:rPr>
              <w:t>Malgré un c</w:t>
            </w:r>
            <w:r w:rsidR="009E63C0" w:rsidRPr="00C91D01">
              <w:rPr>
                <w:b/>
                <w:bCs/>
                <w:lang w:val="fr-BE"/>
              </w:rPr>
              <w:t>hômage</w:t>
            </w:r>
            <w:r w:rsidRPr="00C91D01">
              <w:rPr>
                <w:b/>
                <w:bCs/>
                <w:lang w:val="fr-BE"/>
              </w:rPr>
              <w:t xml:space="preserve"> historiquement bas</w:t>
            </w:r>
            <w:r w:rsidR="00BC6E91" w:rsidRPr="00C91D01">
              <w:rPr>
                <w:b/>
                <w:bCs/>
                <w:lang w:val="fr-BE"/>
              </w:rPr>
              <w:t xml:space="preserve"> à date</w:t>
            </w:r>
            <w:r w:rsidRPr="00C91D01">
              <w:rPr>
                <w:b/>
                <w:bCs/>
                <w:lang w:val="fr-BE"/>
              </w:rPr>
              <w:t>, le marché de l’emploi fait toujours face à de grandes difficultés</w:t>
            </w:r>
            <w:r w:rsidR="009E63C0" w:rsidRPr="00C91D01">
              <w:rPr>
                <w:b/>
                <w:bCs/>
                <w:lang w:val="fr-BE"/>
              </w:rPr>
              <w:t xml:space="preserve"> structurel</w:t>
            </w:r>
            <w:r w:rsidRPr="00C91D01">
              <w:rPr>
                <w:b/>
                <w:bCs/>
                <w:lang w:val="fr-BE"/>
              </w:rPr>
              <w:t>les</w:t>
            </w:r>
          </w:p>
          <w:p w14:paraId="22132684" w14:textId="3229B597" w:rsidR="0001164B" w:rsidRDefault="00003110" w:rsidP="00BF1044">
            <w:pPr>
              <w:pStyle w:val="ListParagraph"/>
              <w:numPr>
                <w:ilvl w:val="0"/>
                <w:numId w:val="1"/>
              </w:numPr>
              <w:jc w:val="both"/>
              <w:rPr>
                <w:b/>
                <w:bCs/>
                <w:lang w:val="fr-BE"/>
              </w:rPr>
            </w:pPr>
            <w:r>
              <w:rPr>
                <w:b/>
                <w:bCs/>
                <w:lang w:val="fr-BE"/>
              </w:rPr>
              <w:t xml:space="preserve">Grande dépendance </w:t>
            </w:r>
            <w:r w:rsidR="002D29A0">
              <w:rPr>
                <w:b/>
                <w:bCs/>
                <w:lang w:val="fr-BE"/>
              </w:rPr>
              <w:t>aux importations é</w:t>
            </w:r>
            <w:r>
              <w:rPr>
                <w:b/>
                <w:bCs/>
                <w:lang w:val="fr-BE"/>
              </w:rPr>
              <w:t>nergétique</w:t>
            </w:r>
            <w:r w:rsidR="002D29A0">
              <w:rPr>
                <w:b/>
                <w:bCs/>
                <w:lang w:val="fr-BE"/>
              </w:rPr>
              <w:t>s</w:t>
            </w:r>
            <w:r>
              <w:rPr>
                <w:b/>
                <w:bCs/>
                <w:lang w:val="fr-BE"/>
              </w:rPr>
              <w:t xml:space="preserve"> </w:t>
            </w:r>
          </w:p>
          <w:p w14:paraId="4488579E" w14:textId="5A32D924" w:rsidR="00115362" w:rsidRPr="00480E56" w:rsidRDefault="00115362" w:rsidP="00480E56">
            <w:pPr>
              <w:jc w:val="both"/>
              <w:rPr>
                <w:b/>
                <w:bCs/>
                <w:lang w:val="fr-BE"/>
              </w:rPr>
            </w:pPr>
          </w:p>
        </w:tc>
      </w:tr>
    </w:tbl>
    <w:p w14:paraId="284790FA" w14:textId="77777777" w:rsidR="002D29A0" w:rsidRDefault="002D29A0" w:rsidP="00FE4A47">
      <w:pPr>
        <w:jc w:val="both"/>
        <w:rPr>
          <w:b/>
          <w:bCs/>
          <w:highlight w:val="lightGray"/>
          <w:lang w:val="fr-BE"/>
        </w:rPr>
      </w:pPr>
    </w:p>
    <w:p w14:paraId="0C14897D" w14:textId="2F1DE9EA" w:rsidR="002D29A0" w:rsidRDefault="002D29A0" w:rsidP="00FE4A47">
      <w:pPr>
        <w:jc w:val="both"/>
        <w:rPr>
          <w:b/>
          <w:bCs/>
          <w:lang w:val="fr-BE"/>
        </w:rPr>
      </w:pPr>
      <w:r>
        <w:rPr>
          <w:b/>
          <w:bCs/>
          <w:highlight w:val="lightGray"/>
          <w:lang w:val="fr-BE"/>
        </w:rPr>
        <w:t>Résumé</w:t>
      </w:r>
      <w:r w:rsidRPr="007971CE">
        <w:rPr>
          <w:b/>
          <w:bCs/>
          <w:highlight w:val="lightGray"/>
          <w:lang w:val="fr-BE"/>
        </w:rPr>
        <w:t> : L’Espagne connaît actuellement une croissance qui se traduit par une amélioration de la plupart de ses indicateurs macroéconomiques (assainissement budgétaire, réduction de la dette publique). Cette croissance prend racine dans la consommation privée, qui s’est vu renforcé par une efficacité accrue du marché du travail et une hausse des revenus réels dans un moment d’inflation (celle-ci devrait revenir à 3% en 2024, 2,3% en 2025). Cependant, plusieurs facteurs pouvant dégrader la situation à moyen-terme sont à surveiller, parmi lesquels : le sujet de l’indépendance de la Catalogne pouvant entraîner une recomposition politique majeure,</w:t>
      </w:r>
      <w:r w:rsidR="00BC6E91">
        <w:rPr>
          <w:b/>
          <w:bCs/>
          <w:highlight w:val="lightGray"/>
          <w:lang w:val="fr-BE"/>
        </w:rPr>
        <w:t xml:space="preserve"> les difficultés à éliminer un chômage qui est structurel et une</w:t>
      </w:r>
      <w:r w:rsidRPr="007971CE">
        <w:rPr>
          <w:b/>
          <w:bCs/>
          <w:highlight w:val="lightGray"/>
          <w:lang w:val="fr-BE"/>
        </w:rPr>
        <w:t xml:space="preserve"> grande dépendance aux importations </w:t>
      </w:r>
      <w:r w:rsidRPr="00C91D01">
        <w:rPr>
          <w:b/>
          <w:bCs/>
          <w:highlight w:val="lightGray"/>
          <w:lang w:val="fr-BE"/>
        </w:rPr>
        <w:t>d’énergie</w:t>
      </w:r>
      <w:r w:rsidR="00C91D01" w:rsidRPr="00C91D01">
        <w:rPr>
          <w:b/>
          <w:bCs/>
          <w:highlight w:val="lightGray"/>
          <w:lang w:val="fr-BE"/>
        </w:rPr>
        <w:t>.</w:t>
      </w:r>
    </w:p>
    <w:p w14:paraId="4ECFB782" w14:textId="77777777" w:rsidR="00C91D01" w:rsidRDefault="00C91D01" w:rsidP="00FE4A47">
      <w:pPr>
        <w:jc w:val="both"/>
        <w:rPr>
          <w:b/>
          <w:bCs/>
          <w:lang w:val="fr-BE"/>
        </w:rPr>
      </w:pPr>
    </w:p>
    <w:p w14:paraId="79425094" w14:textId="77777777" w:rsidR="00C91D01" w:rsidRDefault="00C91D01" w:rsidP="00C91D01">
      <w:pPr>
        <w:keepNext/>
        <w:jc w:val="both"/>
      </w:pPr>
      <w:r>
        <w:rPr>
          <w:noProof/>
        </w:rPr>
        <w:drawing>
          <wp:inline distT="0" distB="0" distL="0" distR="0" wp14:anchorId="40F32288" wp14:editId="49811125">
            <wp:extent cx="5745886" cy="3195893"/>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1571" cy="3232428"/>
                    </a:xfrm>
                    <a:prstGeom prst="rect">
                      <a:avLst/>
                    </a:prstGeom>
                  </pic:spPr>
                </pic:pic>
              </a:graphicData>
            </a:graphic>
          </wp:inline>
        </w:drawing>
      </w:r>
    </w:p>
    <w:p w14:paraId="076CE48A" w14:textId="442E5D69" w:rsidR="00C91D01" w:rsidRDefault="00C91D01" w:rsidP="00C91D01">
      <w:pPr>
        <w:pStyle w:val="Caption"/>
        <w:jc w:val="center"/>
        <w:rPr>
          <w:b/>
          <w:bCs/>
          <w:lang w:val="fr-BE"/>
        </w:rPr>
      </w:pPr>
      <w:r>
        <w:t xml:space="preserve">Le tableau et les données proviennent de </w:t>
      </w:r>
      <w:r w:rsidRPr="00C91D01">
        <w:rPr>
          <w:b/>
          <w:bCs/>
        </w:rPr>
        <w:t>Fitch Connect</w:t>
      </w:r>
    </w:p>
    <w:p w14:paraId="2A90EBE2" w14:textId="77777777" w:rsidR="002D29A0" w:rsidRDefault="002D29A0" w:rsidP="00FE4A47">
      <w:pPr>
        <w:jc w:val="both"/>
        <w:rPr>
          <w:b/>
          <w:bCs/>
          <w:lang w:val="fr-BE"/>
        </w:rPr>
      </w:pPr>
    </w:p>
    <w:p w14:paraId="0B4F4BC6" w14:textId="3A4BE171" w:rsidR="00662A00" w:rsidRDefault="00662A00" w:rsidP="00FE4A47">
      <w:pPr>
        <w:jc w:val="both"/>
        <w:rPr>
          <w:u w:val="single"/>
        </w:rPr>
      </w:pPr>
      <w:r w:rsidRPr="00F65993">
        <w:rPr>
          <w:u w:val="single"/>
        </w:rPr>
        <w:lastRenderedPageBreak/>
        <w:t>Rappels importants</w:t>
      </w:r>
    </w:p>
    <w:p w14:paraId="73F3AEF4" w14:textId="4FD46B90" w:rsidR="004805A6" w:rsidRDefault="004805A6" w:rsidP="00FE4A47">
      <w:pPr>
        <w:jc w:val="both"/>
      </w:pPr>
      <w:r w:rsidRPr="00C91D01">
        <w:t>L’Espagne est un pays qui comporte 47 millions d’habitants, i</w:t>
      </w:r>
      <w:r w:rsidR="00B26765" w:rsidRPr="00C91D01">
        <w:t xml:space="preserve">l </w:t>
      </w:r>
      <w:r w:rsidRPr="00C91D01">
        <w:t xml:space="preserve">est le quatrième plus grand pays d’Europe en termes de </w:t>
      </w:r>
      <w:r w:rsidR="00B26765" w:rsidRPr="00C91D01">
        <w:t xml:space="preserve">superficie, et </w:t>
      </w:r>
      <w:r w:rsidRPr="00C91D01">
        <w:t xml:space="preserve">possède </w:t>
      </w:r>
      <w:r w:rsidR="005F5744" w:rsidRPr="00C91D01">
        <w:t>un PIB par habitant de 30 300 €. Le pays contribue pour 8,3% du total d</w:t>
      </w:r>
      <w:r w:rsidR="0074557D" w:rsidRPr="00C91D01">
        <w:t>u</w:t>
      </w:r>
      <w:r w:rsidR="005F5744" w:rsidRPr="00C91D01">
        <w:t xml:space="preserve"> PIB de l’Union Européenne</w:t>
      </w:r>
      <w:r w:rsidR="0074557D" w:rsidRPr="00C91D01">
        <w:t>, au T1 2024 son taux de chômage était de 12,29%, et possédait un IDH de 0.905 en 2021 (27eme place au classement mondial).</w:t>
      </w:r>
    </w:p>
    <w:p w14:paraId="47CBBCCC" w14:textId="7C711170" w:rsidR="004805A6" w:rsidRDefault="004805A6" w:rsidP="00FE4A47">
      <w:pPr>
        <w:jc w:val="both"/>
      </w:pPr>
      <w:r w:rsidRPr="004805A6">
        <w:t xml:space="preserve">La Constitution de 1978 </w:t>
      </w:r>
      <w:r>
        <w:t xml:space="preserve">en vigueur aujourd’hui, </w:t>
      </w:r>
      <w:r w:rsidRPr="004805A6">
        <w:t>pose que la « nation espagnole » est « indivisible »</w:t>
      </w:r>
      <w:r>
        <w:t xml:space="preserve"> </w:t>
      </w:r>
      <w:r w:rsidRPr="004805A6">
        <w:t>mais reconnait aussi « le droit à l'autonomie des nationalités », ce</w:t>
      </w:r>
      <w:r w:rsidR="00AA7FC2">
        <w:t xml:space="preserve"> qui pourrait nous permettre de qualifier</w:t>
      </w:r>
      <w:r w:rsidRPr="004805A6">
        <w:t xml:space="preserve"> l'Espagne </w:t>
      </w:r>
      <w:r w:rsidR="00AA7FC2">
        <w:t>comme</w:t>
      </w:r>
      <w:r w:rsidRPr="004805A6">
        <w:t xml:space="preserve"> un État «</w:t>
      </w:r>
      <w:r>
        <w:t xml:space="preserve"> </w:t>
      </w:r>
      <w:r w:rsidRPr="004805A6">
        <w:t>semi-fédéral ».</w:t>
      </w:r>
    </w:p>
    <w:p w14:paraId="34BF832B" w14:textId="63ED55AB" w:rsidR="004805A6" w:rsidRPr="004805A6" w:rsidRDefault="004805A6" w:rsidP="00FE4A47">
      <w:pPr>
        <w:jc w:val="both"/>
      </w:pPr>
      <w:r>
        <w:t>L’Espagne est une monarchie</w:t>
      </w:r>
      <w:r w:rsidR="00B26765">
        <w:t xml:space="preserve"> parlementaire</w:t>
      </w:r>
      <w:r>
        <w:t xml:space="preserve"> constitutionnelle.</w:t>
      </w:r>
      <w:r w:rsidR="00B26765">
        <w:t xml:space="preserve"> Le roi Felipe VI en règne depuis le 19 juin 2014 est le chef de l’Etat, tandis que</w:t>
      </w:r>
      <w:r>
        <w:t xml:space="preserve"> le Premier ministre Pedro S</w:t>
      </w:r>
      <w:r w:rsidRPr="00AE337F">
        <w:t>á</w:t>
      </w:r>
      <w:r>
        <w:t xml:space="preserve">nchez (provenant du Parti Socialiste Ouvrier Espagnol) </w:t>
      </w:r>
      <w:r w:rsidR="00B26765">
        <w:t xml:space="preserve">est le chef du gouvernement depuis le 2 juin 2018. </w:t>
      </w:r>
    </w:p>
    <w:p w14:paraId="0E34CB5E" w14:textId="2C8193C7" w:rsidR="0006525C" w:rsidRDefault="0006525C" w:rsidP="00FE4A47">
      <w:pPr>
        <w:jc w:val="both"/>
      </w:pPr>
      <w:r>
        <w:t>Après une importante récession lors du début des années 2010</w:t>
      </w:r>
      <w:r w:rsidR="00396C99">
        <w:t xml:space="preserve"> (</w:t>
      </w:r>
      <w:r w:rsidR="00AA7FC2">
        <w:t xml:space="preserve">crise des subprimes et </w:t>
      </w:r>
      <w:r w:rsidR="00396C99">
        <w:t>explosion de la bulle immobilière</w:t>
      </w:r>
      <w:r w:rsidR="00AA7FC2">
        <w:t xml:space="preserve"> </w:t>
      </w:r>
      <w:r w:rsidR="00396C99">
        <w:t xml:space="preserve">en 2008, crise des dettes souveraines en 2012), l’économie espagnol a connu depuis une période de rattrapage amorcée en 2014 avec une croissance supérieure à la moyenne de la zone euro. </w:t>
      </w:r>
    </w:p>
    <w:p w14:paraId="54AACDF9" w14:textId="2E61CDFB" w:rsidR="00AA7FC2" w:rsidRDefault="00396C99" w:rsidP="00FE4A47">
      <w:pPr>
        <w:jc w:val="both"/>
      </w:pPr>
      <w:r>
        <w:t>La crise du Covid a stoppé cette dynamique positive</w:t>
      </w:r>
      <w:r w:rsidR="00142F2F">
        <w:t xml:space="preserve">, avec un recul du PIB de </w:t>
      </w:r>
      <w:r w:rsidR="00802699">
        <w:t>11,3% en 2020</w:t>
      </w:r>
      <w:r w:rsidR="0086661E">
        <w:t xml:space="preserve">, </w:t>
      </w:r>
      <w:r w:rsidR="00142F2F">
        <w:t xml:space="preserve">soit </w:t>
      </w:r>
      <w:r w:rsidR="0086661E">
        <w:t>la chute la plus importante parmi les pays de la zone euro</w:t>
      </w:r>
      <w:r w:rsidR="00AA7FC2">
        <w:t xml:space="preserve">. Cette chute est </w:t>
      </w:r>
      <w:r w:rsidR="00142F2F">
        <w:t>imputable</w:t>
      </w:r>
      <w:r w:rsidR="00825AEC">
        <w:t xml:space="preserve"> </w:t>
      </w:r>
      <w:r>
        <w:t xml:space="preserve">notamment à </w:t>
      </w:r>
      <w:r w:rsidR="00142F2F">
        <w:t>l</w:t>
      </w:r>
      <w:r>
        <w:t>a fermeture des frontières qui l’a privé des recettes du tourisme</w:t>
      </w:r>
      <w:r w:rsidR="00AA7FC2">
        <w:t xml:space="preserve">, qui rapporte aux alentours de 13% de la richesse du pays. </w:t>
      </w:r>
    </w:p>
    <w:p w14:paraId="73B42F36" w14:textId="2C2224BD" w:rsidR="00B45CEC" w:rsidRPr="00C91D01" w:rsidRDefault="00802699" w:rsidP="00FE4A47">
      <w:pPr>
        <w:jc w:val="both"/>
      </w:pPr>
      <w:r w:rsidRPr="00C91D01">
        <w:t xml:space="preserve">Depuis, l’économie espagnol a connu un </w:t>
      </w:r>
      <w:r w:rsidR="00A963D3" w:rsidRPr="00C91D01">
        <w:t xml:space="preserve">effet de </w:t>
      </w:r>
      <w:r w:rsidRPr="00C91D01">
        <w:t>rebond ave</w:t>
      </w:r>
      <w:r w:rsidR="00A963D3" w:rsidRPr="00C91D01">
        <w:t>c un PIB qui a augmenté 5,5% en 2021, de 5% en 2022</w:t>
      </w:r>
      <w:r w:rsidR="00B26765" w:rsidRPr="00C91D01">
        <w:t xml:space="preserve"> et</w:t>
      </w:r>
      <w:r w:rsidR="00AA7FC2" w:rsidRPr="00C91D01">
        <w:t xml:space="preserve"> 2,5% en 2023, nettement au-dessus de la moyenne européenne (0,8%). </w:t>
      </w:r>
    </w:p>
    <w:p w14:paraId="7CC55D52" w14:textId="77777777" w:rsidR="00B26765" w:rsidRDefault="00B26765" w:rsidP="00FE4A47">
      <w:pPr>
        <w:jc w:val="both"/>
      </w:pPr>
    </w:p>
    <w:p w14:paraId="24E71839" w14:textId="3327140C" w:rsidR="00593C5A" w:rsidRDefault="00593C5A" w:rsidP="00FE4A47">
      <w:pPr>
        <w:jc w:val="both"/>
        <w:rPr>
          <w:u w:val="single"/>
          <w:lang w:val="fr-BE"/>
        </w:rPr>
      </w:pPr>
      <w:r w:rsidRPr="005E16EF">
        <w:rPr>
          <w:u w:val="single"/>
          <w:lang w:val="fr-BE"/>
        </w:rPr>
        <w:t>Actualité</w:t>
      </w:r>
    </w:p>
    <w:p w14:paraId="2AA5693E" w14:textId="0FECD72C" w:rsidR="00CB5064" w:rsidRPr="00CB5064" w:rsidRDefault="006C0B85" w:rsidP="00FE4A47">
      <w:pPr>
        <w:jc w:val="both"/>
        <w:rPr>
          <w:lang w:val="fr-BE"/>
        </w:rPr>
      </w:pPr>
      <w:r>
        <w:rPr>
          <w:lang w:val="fr-BE"/>
        </w:rPr>
        <w:t>Le mardi 25 juin 2024, l’Institut national des statistiques a publié une estimation de l</w:t>
      </w:r>
      <w:r w:rsidR="00CB5064" w:rsidRPr="00CB5064">
        <w:rPr>
          <w:lang w:val="fr-BE"/>
        </w:rPr>
        <w:t>a croissance de l'économie espagnole</w:t>
      </w:r>
      <w:r>
        <w:rPr>
          <w:lang w:val="fr-BE"/>
        </w:rPr>
        <w:t>. Celle-ci</w:t>
      </w:r>
      <w:r w:rsidR="00CB5064" w:rsidRPr="00CB5064">
        <w:rPr>
          <w:lang w:val="fr-BE"/>
        </w:rPr>
        <w:t xml:space="preserve"> a atteint 0,8% au premier trimestre, soit 0,1 point de plus qu'initialement annoncé, grâce à une forte consommation et au dynamisme des exportations</w:t>
      </w:r>
      <w:r>
        <w:rPr>
          <w:lang w:val="fr-BE"/>
        </w:rPr>
        <w:t xml:space="preserve">. </w:t>
      </w:r>
    </w:p>
    <w:p w14:paraId="02DB09FB" w14:textId="1EA715C8" w:rsidR="00B45CEC" w:rsidRDefault="00BF6768" w:rsidP="00FE4A47">
      <w:pPr>
        <w:jc w:val="both"/>
        <w:rPr>
          <w:lang w:val="fr-BE"/>
        </w:rPr>
      </w:pPr>
      <w:r>
        <w:rPr>
          <w:lang w:val="fr-BE"/>
        </w:rPr>
        <w:t>Le m</w:t>
      </w:r>
      <w:r w:rsidRPr="00BF6768">
        <w:rPr>
          <w:lang w:val="fr-BE"/>
        </w:rPr>
        <w:t>ercredi 24 avril</w:t>
      </w:r>
      <w:r>
        <w:rPr>
          <w:lang w:val="fr-BE"/>
        </w:rPr>
        <w:t xml:space="preserve"> 2024</w:t>
      </w:r>
      <w:r w:rsidRPr="00BF6768">
        <w:rPr>
          <w:lang w:val="fr-BE"/>
        </w:rPr>
        <w:t xml:space="preserve">, le chef du gouvernement espagnol a annoncé réfléchir à </w:t>
      </w:r>
      <w:r>
        <w:rPr>
          <w:lang w:val="fr-BE"/>
        </w:rPr>
        <w:t>une</w:t>
      </w:r>
      <w:r w:rsidRPr="00BF6768">
        <w:rPr>
          <w:lang w:val="fr-BE"/>
        </w:rPr>
        <w:t xml:space="preserve"> éventuelle démission en raison d’une enquête préliminaire </w:t>
      </w:r>
      <w:r w:rsidR="00223B36" w:rsidRPr="00BF6768">
        <w:rPr>
          <w:lang w:val="fr-BE"/>
        </w:rPr>
        <w:t>à l’encontre de s</w:t>
      </w:r>
      <w:r w:rsidR="00223B36">
        <w:rPr>
          <w:lang w:val="fr-BE"/>
        </w:rPr>
        <w:t>on</w:t>
      </w:r>
      <w:r w:rsidR="00223B36" w:rsidRPr="00BF6768">
        <w:rPr>
          <w:lang w:val="fr-BE"/>
        </w:rPr>
        <w:t xml:space="preserve"> </w:t>
      </w:r>
      <w:r w:rsidR="00223B36">
        <w:rPr>
          <w:lang w:val="fr-BE"/>
        </w:rPr>
        <w:t>épouse</w:t>
      </w:r>
      <w:r w:rsidR="00223B36" w:rsidRPr="00BF6768">
        <w:rPr>
          <w:lang w:val="fr-BE"/>
        </w:rPr>
        <w:t xml:space="preserve"> </w:t>
      </w:r>
      <w:r w:rsidRPr="00BF6768">
        <w:rPr>
          <w:lang w:val="fr-BE"/>
        </w:rPr>
        <w:t>pour corruption.</w:t>
      </w:r>
      <w:r w:rsidR="00223B36">
        <w:rPr>
          <w:lang w:val="fr-BE"/>
        </w:rPr>
        <w:t xml:space="preserve"> Il décide finalement de </w:t>
      </w:r>
      <w:r w:rsidR="00153BEE">
        <w:rPr>
          <w:lang w:val="fr-BE"/>
        </w:rPr>
        <w:t>se maintenir au</w:t>
      </w:r>
      <w:r w:rsidR="00223B36">
        <w:rPr>
          <w:lang w:val="fr-BE"/>
        </w:rPr>
        <w:t xml:space="preserve"> poste</w:t>
      </w:r>
      <w:r w:rsidR="00EE67A7">
        <w:rPr>
          <w:lang w:val="fr-BE"/>
        </w:rPr>
        <w:t xml:space="preserve"> </w:t>
      </w:r>
      <w:r w:rsidR="00223B36">
        <w:rPr>
          <w:lang w:val="fr-BE"/>
        </w:rPr>
        <w:t xml:space="preserve">de Premier Ministre. </w:t>
      </w:r>
    </w:p>
    <w:p w14:paraId="57E831D6" w14:textId="19A86BE6" w:rsidR="00EE67A7" w:rsidRDefault="00EE67A7" w:rsidP="00FE4A47">
      <w:pPr>
        <w:jc w:val="both"/>
        <w:rPr>
          <w:lang w:val="fr-BE"/>
        </w:rPr>
      </w:pPr>
      <w:r>
        <w:rPr>
          <w:lang w:val="fr-BE"/>
        </w:rPr>
        <w:t xml:space="preserve">Le jeudi 30 mai 2024, les </w:t>
      </w:r>
      <w:r w:rsidRPr="00EE67A7">
        <w:rPr>
          <w:lang w:val="fr-BE"/>
        </w:rPr>
        <w:t>députés espagnols ont définitivement adopté, une loi d’amnistie pour les indépendantistes catalans</w:t>
      </w:r>
      <w:r>
        <w:rPr>
          <w:lang w:val="fr-BE"/>
        </w:rPr>
        <w:t xml:space="preserve">. </w:t>
      </w:r>
      <w:r w:rsidRPr="00EE67A7">
        <w:rPr>
          <w:lang w:val="fr-BE"/>
        </w:rPr>
        <w:t>Cette mesure</w:t>
      </w:r>
      <w:r>
        <w:rPr>
          <w:lang w:val="fr-BE"/>
        </w:rPr>
        <w:t xml:space="preserve"> </w:t>
      </w:r>
      <w:r w:rsidRPr="00EE67A7">
        <w:rPr>
          <w:lang w:val="fr-BE"/>
        </w:rPr>
        <w:t xml:space="preserve">permettra le retour </w:t>
      </w:r>
      <w:r w:rsidR="00825AEC">
        <w:rPr>
          <w:lang w:val="fr-BE"/>
        </w:rPr>
        <w:t xml:space="preserve">sur le territoire </w:t>
      </w:r>
      <w:r w:rsidRPr="00EE67A7">
        <w:rPr>
          <w:lang w:val="fr-BE"/>
        </w:rPr>
        <w:t xml:space="preserve">des indépendantistes </w:t>
      </w:r>
      <w:proofErr w:type="gramStart"/>
      <w:r w:rsidRPr="00EE67A7">
        <w:rPr>
          <w:lang w:val="fr-BE"/>
        </w:rPr>
        <w:t>encore</w:t>
      </w:r>
      <w:proofErr w:type="gramEnd"/>
      <w:r w:rsidRPr="00EE67A7">
        <w:rPr>
          <w:lang w:val="fr-BE"/>
        </w:rPr>
        <w:t xml:space="preserve"> en exil après la tentative de sécession de 2017, comme </w:t>
      </w:r>
      <w:r w:rsidR="00AA7FC2">
        <w:rPr>
          <w:lang w:val="fr-BE"/>
        </w:rPr>
        <w:t xml:space="preserve">l’ancien leader de la formation Junts, </w:t>
      </w:r>
      <w:r w:rsidRPr="00EE67A7">
        <w:rPr>
          <w:lang w:val="fr-BE"/>
        </w:rPr>
        <w:t>Carles Puigdemont.</w:t>
      </w:r>
    </w:p>
    <w:p w14:paraId="77E7CAF7" w14:textId="77777777" w:rsidR="00AA7FC2" w:rsidRDefault="00AA7FC2" w:rsidP="00FE4A47">
      <w:pPr>
        <w:jc w:val="both"/>
        <w:rPr>
          <w:lang w:val="fr-BE"/>
        </w:rPr>
      </w:pPr>
    </w:p>
    <w:p w14:paraId="762BAB8D" w14:textId="77777777" w:rsidR="00593C5A" w:rsidRDefault="00593C5A" w:rsidP="00FE4A47">
      <w:pPr>
        <w:jc w:val="both"/>
        <w:rPr>
          <w:u w:val="single"/>
          <w:lang w:val="fr-BE"/>
        </w:rPr>
      </w:pPr>
      <w:r>
        <w:rPr>
          <w:u w:val="single"/>
          <w:lang w:val="fr-BE"/>
        </w:rPr>
        <w:t>Contexte</w:t>
      </w:r>
    </w:p>
    <w:p w14:paraId="4496417A" w14:textId="74D3DCB7" w:rsidR="002233AD" w:rsidRDefault="00223B36" w:rsidP="002233AD">
      <w:pPr>
        <w:jc w:val="both"/>
        <w:rPr>
          <w:lang w:val="fr-BE"/>
        </w:rPr>
      </w:pPr>
      <w:r>
        <w:rPr>
          <w:lang w:val="fr-BE"/>
        </w:rPr>
        <w:t>Après la déroute de son parti aux élections locales, Pedro S</w:t>
      </w:r>
      <w:r w:rsidRPr="00AE337F">
        <w:t>á</w:t>
      </w:r>
      <w:r>
        <w:t xml:space="preserve">nchez décide d’une </w:t>
      </w:r>
      <w:r>
        <w:rPr>
          <w:lang w:val="fr-BE"/>
        </w:rPr>
        <w:t>dissolution et la tenue d’élections législatives anticipées en juillet 2023. L</w:t>
      </w:r>
      <w:r w:rsidR="002233AD">
        <w:rPr>
          <w:lang w:val="fr-BE"/>
        </w:rPr>
        <w:t xml:space="preserve">e Parti Populaire porté par Albert Nunez Feijoo arrive en tête du scrutin, tandis que le PSOE du Premier Ministre en place crée la surprise en arrivant deuxième avec seulement deux points de retard sur le PP, déjouant les pronostics qui annonçaient une chute électorale. </w:t>
      </w:r>
    </w:p>
    <w:p w14:paraId="535AB186" w14:textId="77777777" w:rsidR="002233AD" w:rsidRDefault="002233AD" w:rsidP="002233AD">
      <w:pPr>
        <w:jc w:val="both"/>
        <w:rPr>
          <w:lang w:val="fr-BE"/>
        </w:rPr>
      </w:pPr>
      <w:r>
        <w:rPr>
          <w:lang w:val="fr-BE"/>
        </w:rPr>
        <w:lastRenderedPageBreak/>
        <w:t>Alors que le roi Felipe VI propose le leader du PP comme candidat à l’investiture, celui-ci n’a pas su rassembler assez de soutiens pour obtenir une majorité auprès du Congrès.</w:t>
      </w:r>
    </w:p>
    <w:p w14:paraId="5959311A" w14:textId="2E4577C2" w:rsidR="002233AD" w:rsidRDefault="002233AD" w:rsidP="002233AD">
      <w:pPr>
        <w:jc w:val="both"/>
        <w:rPr>
          <w:lang w:val="fr-BE"/>
        </w:rPr>
      </w:pPr>
      <w:r>
        <w:t>S</w:t>
      </w:r>
      <w:r w:rsidRPr="00AE337F">
        <w:t>á</w:t>
      </w:r>
      <w:r>
        <w:t>nchez</w:t>
      </w:r>
      <w:r>
        <w:rPr>
          <w:lang w:val="fr-BE"/>
        </w:rPr>
        <w:t xml:space="preserve"> est à son tour désigné candidat et parvient à former une coalition composée du PSOE, de Sumar</w:t>
      </w:r>
      <w:r w:rsidR="00A27165">
        <w:rPr>
          <w:lang w:val="fr-BE"/>
        </w:rPr>
        <w:t xml:space="preserve"> </w:t>
      </w:r>
      <w:r>
        <w:rPr>
          <w:lang w:val="fr-BE"/>
        </w:rPr>
        <w:t>(gauche radicale), ainsi que des partis nationalistes périphériques et des indépendantistes catalans (</w:t>
      </w:r>
      <w:r w:rsidR="00EE67A7">
        <w:rPr>
          <w:lang w:val="fr-BE"/>
        </w:rPr>
        <w:t>en contrepartie de la loi d’</w:t>
      </w:r>
      <w:r>
        <w:rPr>
          <w:lang w:val="fr-BE"/>
        </w:rPr>
        <w:t xml:space="preserve">amnistie </w:t>
      </w:r>
      <w:r w:rsidR="00EE67A7">
        <w:rPr>
          <w:lang w:val="fr-BE"/>
        </w:rPr>
        <w:t xml:space="preserve">évoqué précédemment). </w:t>
      </w:r>
      <w:r>
        <w:rPr>
          <w:lang w:val="fr-BE"/>
        </w:rPr>
        <w:t xml:space="preserve"> </w:t>
      </w:r>
    </w:p>
    <w:p w14:paraId="474531DA" w14:textId="77777777" w:rsidR="002233AD" w:rsidRDefault="002233AD" w:rsidP="00FE4A47">
      <w:pPr>
        <w:jc w:val="both"/>
        <w:rPr>
          <w:u w:val="single"/>
          <w:lang w:val="fr-BE"/>
        </w:rPr>
      </w:pPr>
    </w:p>
    <w:p w14:paraId="616EA3BE" w14:textId="6C8CA4E9" w:rsidR="005A5631" w:rsidRDefault="00593C5A" w:rsidP="00FE4A47">
      <w:pPr>
        <w:jc w:val="both"/>
        <w:rPr>
          <w:u w:val="single"/>
          <w:lang w:val="fr-BE"/>
        </w:rPr>
      </w:pPr>
      <w:r w:rsidRPr="003646ED">
        <w:rPr>
          <w:u w:val="single"/>
          <w:lang w:val="fr-BE"/>
        </w:rPr>
        <w:t>Faits économiques</w:t>
      </w:r>
    </w:p>
    <w:p w14:paraId="0FC4EDF1" w14:textId="31E5225A" w:rsidR="005F5744" w:rsidRPr="00C91D01" w:rsidRDefault="00EC5D36" w:rsidP="00FE4A47">
      <w:pPr>
        <w:jc w:val="both"/>
        <w:rPr>
          <w:lang w:val="fr-BE"/>
        </w:rPr>
      </w:pPr>
      <w:r w:rsidRPr="00C91D01">
        <w:rPr>
          <w:lang w:val="fr-BE"/>
        </w:rPr>
        <w:t xml:space="preserve">Après </w:t>
      </w:r>
      <w:r w:rsidR="002A65BA" w:rsidRPr="00C91D01">
        <w:rPr>
          <w:lang w:val="fr-BE"/>
        </w:rPr>
        <w:t xml:space="preserve">les </w:t>
      </w:r>
      <w:r w:rsidRPr="00C91D01">
        <w:rPr>
          <w:lang w:val="fr-BE"/>
        </w:rPr>
        <w:t>différent</w:t>
      </w:r>
      <w:r w:rsidR="002A65BA" w:rsidRPr="00C91D01">
        <w:rPr>
          <w:lang w:val="fr-BE"/>
        </w:rPr>
        <w:t>es</w:t>
      </w:r>
      <w:r w:rsidRPr="00C91D01">
        <w:rPr>
          <w:lang w:val="fr-BE"/>
        </w:rPr>
        <w:t xml:space="preserve"> crises</w:t>
      </w:r>
      <w:r w:rsidR="002A65BA" w:rsidRPr="00C91D01">
        <w:rPr>
          <w:lang w:val="fr-BE"/>
        </w:rPr>
        <w:t xml:space="preserve"> survenues au début des années 2010</w:t>
      </w:r>
      <w:r w:rsidR="005635FB" w:rsidRPr="00C91D01">
        <w:rPr>
          <w:lang w:val="fr-BE"/>
        </w:rPr>
        <w:t>, l’Espagne a retrouvé le chemin de la croissance</w:t>
      </w:r>
      <w:r w:rsidR="002A65BA" w:rsidRPr="00C91D01">
        <w:rPr>
          <w:lang w:val="fr-BE"/>
        </w:rPr>
        <w:t xml:space="preserve"> entre 2015 et 2019</w:t>
      </w:r>
      <w:r w:rsidR="005635FB" w:rsidRPr="00C91D01">
        <w:rPr>
          <w:lang w:val="fr-BE"/>
        </w:rPr>
        <w:t xml:space="preserve"> avec une </w:t>
      </w:r>
      <w:r w:rsidRPr="00C91D01">
        <w:rPr>
          <w:lang w:val="fr-BE"/>
        </w:rPr>
        <w:t>augmentation</w:t>
      </w:r>
      <w:r w:rsidR="005635FB" w:rsidRPr="00C91D01">
        <w:rPr>
          <w:lang w:val="fr-BE"/>
        </w:rPr>
        <w:t xml:space="preserve"> du PIB</w:t>
      </w:r>
      <w:r w:rsidR="002A65BA" w:rsidRPr="00C91D01">
        <w:rPr>
          <w:lang w:val="fr-BE"/>
        </w:rPr>
        <w:t xml:space="preserve"> de 2,82% </w:t>
      </w:r>
      <w:r w:rsidR="005F5744" w:rsidRPr="00C91D01">
        <w:rPr>
          <w:lang w:val="fr-BE"/>
        </w:rPr>
        <w:t>en</w:t>
      </w:r>
      <w:r w:rsidR="002A65BA" w:rsidRPr="00C91D01">
        <w:rPr>
          <w:lang w:val="fr-BE"/>
        </w:rPr>
        <w:t xml:space="preserve"> moyenne sur cette période</w:t>
      </w:r>
      <w:r w:rsidR="00274C46" w:rsidRPr="00C91D01">
        <w:rPr>
          <w:lang w:val="fr-BE"/>
        </w:rPr>
        <w:t xml:space="preserve">, ce qui constitue un bien meilleur résultat que les autres pays de la région. </w:t>
      </w:r>
    </w:p>
    <w:p w14:paraId="73ED8CFF" w14:textId="02CEA462" w:rsidR="00C82883" w:rsidRPr="00C91D01" w:rsidRDefault="005635FB" w:rsidP="00FE4A47">
      <w:pPr>
        <w:jc w:val="both"/>
        <w:rPr>
          <w:lang w:val="fr-BE"/>
        </w:rPr>
      </w:pPr>
      <w:r w:rsidRPr="00C91D01">
        <w:rPr>
          <w:lang w:val="fr-BE"/>
        </w:rPr>
        <w:t xml:space="preserve">Cette bonne dynamique </w:t>
      </w:r>
      <w:r w:rsidR="00274C46" w:rsidRPr="00C91D01">
        <w:rPr>
          <w:lang w:val="fr-BE"/>
        </w:rPr>
        <w:t>s’est aussi traduite sur le marché du travail, puisque le chômage qui était endémique jusqu’alors (26,1% en 2013)</w:t>
      </w:r>
      <w:r w:rsidR="009B5EF7" w:rsidRPr="00C91D01">
        <w:rPr>
          <w:lang w:val="fr-BE"/>
        </w:rPr>
        <w:t xml:space="preserve"> </w:t>
      </w:r>
      <w:r w:rsidR="00274C46" w:rsidRPr="00C91D01">
        <w:rPr>
          <w:lang w:val="fr-BE"/>
        </w:rPr>
        <w:t>a pu être divisé par deux pour atteindre 12,92% en 2022.</w:t>
      </w:r>
    </w:p>
    <w:p w14:paraId="310B486F" w14:textId="7B91448B" w:rsidR="005635FB" w:rsidRPr="00C91D01" w:rsidRDefault="009B5EF7" w:rsidP="00FE4A47">
      <w:pPr>
        <w:jc w:val="both"/>
        <w:rPr>
          <w:lang w:val="fr-BE"/>
        </w:rPr>
      </w:pPr>
      <w:r w:rsidRPr="00C91D01">
        <w:rPr>
          <w:lang w:val="fr-BE"/>
        </w:rPr>
        <w:t xml:space="preserve">Malgré </w:t>
      </w:r>
      <w:r w:rsidR="00274C46" w:rsidRPr="00C91D01">
        <w:rPr>
          <w:lang w:val="fr-BE"/>
        </w:rPr>
        <w:t>cette amélioration sur le marché de l’emploi</w:t>
      </w:r>
      <w:r w:rsidRPr="00C91D01">
        <w:rPr>
          <w:lang w:val="fr-BE"/>
        </w:rPr>
        <w:t xml:space="preserve">, celui-ci </w:t>
      </w:r>
      <w:r w:rsidR="00E53144" w:rsidRPr="00C91D01">
        <w:rPr>
          <w:lang w:val="fr-BE"/>
        </w:rPr>
        <w:t xml:space="preserve">reste en proie à des difficultés structurelles </w:t>
      </w:r>
      <w:r w:rsidR="00302FEF" w:rsidRPr="00C91D01">
        <w:rPr>
          <w:lang w:val="fr-BE"/>
        </w:rPr>
        <w:t xml:space="preserve">importantes </w:t>
      </w:r>
      <w:r w:rsidR="00F513F4" w:rsidRPr="00C91D01">
        <w:rPr>
          <w:lang w:val="fr-BE"/>
        </w:rPr>
        <w:t xml:space="preserve">comme </w:t>
      </w:r>
      <w:r w:rsidR="00E53144" w:rsidRPr="00C91D01">
        <w:rPr>
          <w:lang w:val="fr-BE"/>
        </w:rPr>
        <w:t>la grande proportion de contrat à durée déterminée (25,8% au T1 2020), le chômage des jeunes (</w:t>
      </w:r>
      <w:r w:rsidR="00274C46" w:rsidRPr="00C91D01">
        <w:rPr>
          <w:lang w:val="fr-BE"/>
        </w:rPr>
        <w:t>28,2%</w:t>
      </w:r>
      <w:r w:rsidR="00302FEF" w:rsidRPr="00C91D01">
        <w:rPr>
          <w:lang w:val="fr-BE"/>
        </w:rPr>
        <w:t xml:space="preserve"> en février 2024 soit le pire score de l’UE)</w:t>
      </w:r>
      <w:r w:rsidR="00E53144" w:rsidRPr="00C91D01">
        <w:rPr>
          <w:lang w:val="fr-BE"/>
        </w:rPr>
        <w:t xml:space="preserve"> et le chômage longue durée (36,1% des chômeurs recherchaient un emploi depuis plus d’un an </w:t>
      </w:r>
      <w:r w:rsidR="00EC5D36" w:rsidRPr="00C91D01">
        <w:rPr>
          <w:lang w:val="fr-BE"/>
        </w:rPr>
        <w:t>en</w:t>
      </w:r>
      <w:r w:rsidR="00E53144" w:rsidRPr="00C91D01">
        <w:rPr>
          <w:lang w:val="fr-BE"/>
        </w:rPr>
        <w:t xml:space="preserve"> 2019)</w:t>
      </w:r>
      <w:r w:rsidR="000C60F6" w:rsidRPr="00C91D01">
        <w:rPr>
          <w:lang w:val="fr-BE"/>
        </w:rPr>
        <w:t>.</w:t>
      </w:r>
    </w:p>
    <w:p w14:paraId="2349A7AA" w14:textId="29E8027C" w:rsidR="00EC5D36" w:rsidRPr="00C91D01" w:rsidRDefault="00EC5D36" w:rsidP="00FE4A47">
      <w:pPr>
        <w:jc w:val="both"/>
        <w:rPr>
          <w:lang w:val="fr-BE"/>
        </w:rPr>
      </w:pPr>
      <w:r w:rsidRPr="00C91D01">
        <w:rPr>
          <w:lang w:val="fr-BE"/>
        </w:rPr>
        <w:t>Après avoir été sévèrement impacté par la crise du Co</w:t>
      </w:r>
      <w:r w:rsidR="00BE6467" w:rsidRPr="00C91D01">
        <w:rPr>
          <w:lang w:val="fr-BE"/>
        </w:rPr>
        <w:t>v</w:t>
      </w:r>
      <w:r w:rsidRPr="00C91D01">
        <w:rPr>
          <w:lang w:val="fr-BE"/>
        </w:rPr>
        <w:t>id</w:t>
      </w:r>
      <w:r w:rsidR="005F5744" w:rsidRPr="00C91D01">
        <w:rPr>
          <w:lang w:val="fr-BE"/>
        </w:rPr>
        <w:t xml:space="preserve"> (en 2020, l’économie espagnole s’est contractée de 11,2%, la plus grosse chute de toute l’Union)</w:t>
      </w:r>
      <w:r w:rsidR="00BE6467" w:rsidRPr="00C91D01">
        <w:rPr>
          <w:lang w:val="fr-BE"/>
        </w:rPr>
        <w:t>, le pays a connu une forte reprise et s’</w:t>
      </w:r>
      <w:r w:rsidR="00F513F4" w:rsidRPr="00C91D01">
        <w:rPr>
          <w:lang w:val="fr-BE"/>
        </w:rPr>
        <w:t xml:space="preserve">est </w:t>
      </w:r>
      <w:r w:rsidR="00BE6467" w:rsidRPr="00C91D01">
        <w:rPr>
          <w:lang w:val="fr-BE"/>
        </w:rPr>
        <w:t xml:space="preserve">montrée très résiliente </w:t>
      </w:r>
      <w:r w:rsidR="00A963D3" w:rsidRPr="00C91D01">
        <w:rPr>
          <w:lang w:val="fr-BE"/>
        </w:rPr>
        <w:t>après</w:t>
      </w:r>
      <w:r w:rsidR="00BE6467" w:rsidRPr="00C91D01">
        <w:rPr>
          <w:lang w:val="fr-BE"/>
        </w:rPr>
        <w:t xml:space="preserve"> la pandémie et la guerre en Ukraine</w:t>
      </w:r>
      <w:r w:rsidR="005F5744" w:rsidRPr="00C91D01">
        <w:rPr>
          <w:lang w:val="fr-BE"/>
        </w:rPr>
        <w:t>. L</w:t>
      </w:r>
      <w:r w:rsidR="00BE6467" w:rsidRPr="00C91D01">
        <w:rPr>
          <w:lang w:val="fr-BE"/>
        </w:rPr>
        <w:t>’activité économique devrait ralentir en 2024 mais rest</w:t>
      </w:r>
      <w:r w:rsidR="00B23108" w:rsidRPr="00C91D01">
        <w:rPr>
          <w:lang w:val="fr-BE"/>
        </w:rPr>
        <w:t>er</w:t>
      </w:r>
      <w:r w:rsidR="00BE6467" w:rsidRPr="00C91D01">
        <w:rPr>
          <w:lang w:val="fr-BE"/>
        </w:rPr>
        <w:t xml:space="preserve"> supérieure à la moyenne de la zone euro (</w:t>
      </w:r>
      <w:r w:rsidR="0086661E" w:rsidRPr="00C91D01">
        <w:rPr>
          <w:lang w:val="fr-BE"/>
        </w:rPr>
        <w:t xml:space="preserve">les </w:t>
      </w:r>
      <w:r w:rsidR="00BE6467" w:rsidRPr="00C91D01">
        <w:rPr>
          <w:lang w:val="fr-BE"/>
        </w:rPr>
        <w:t>prévisions</w:t>
      </w:r>
      <w:r w:rsidR="0086661E" w:rsidRPr="00C91D01">
        <w:rPr>
          <w:lang w:val="fr-BE"/>
        </w:rPr>
        <w:t xml:space="preserve"> évoquent une </w:t>
      </w:r>
      <w:r w:rsidR="00AA7FC2" w:rsidRPr="00C91D01">
        <w:rPr>
          <w:lang w:val="fr-BE"/>
        </w:rPr>
        <w:t>croissance</w:t>
      </w:r>
      <w:r w:rsidR="0086661E" w:rsidRPr="00C91D01">
        <w:rPr>
          <w:lang w:val="fr-BE"/>
        </w:rPr>
        <w:t xml:space="preserve"> autour des 2%</w:t>
      </w:r>
      <w:r w:rsidR="00BE6467" w:rsidRPr="00C91D01">
        <w:rPr>
          <w:lang w:val="fr-BE"/>
        </w:rPr>
        <w:t>).</w:t>
      </w:r>
    </w:p>
    <w:p w14:paraId="30704F61" w14:textId="63194224" w:rsidR="00AA7FC2" w:rsidRPr="00C91D01" w:rsidRDefault="00030E56" w:rsidP="00FE4A47">
      <w:pPr>
        <w:jc w:val="both"/>
        <w:rPr>
          <w:lang w:val="fr-BE"/>
        </w:rPr>
      </w:pPr>
      <w:r w:rsidRPr="00C91D01">
        <w:rPr>
          <w:lang w:val="fr-BE"/>
        </w:rPr>
        <w:t xml:space="preserve">Selon les prévisions, l'inflation générale se situerait </w:t>
      </w:r>
      <w:r w:rsidR="00302FEF" w:rsidRPr="00C91D01">
        <w:rPr>
          <w:lang w:val="fr-BE"/>
        </w:rPr>
        <w:t>autour des</w:t>
      </w:r>
      <w:r w:rsidRPr="00C91D01">
        <w:rPr>
          <w:lang w:val="fr-BE"/>
        </w:rPr>
        <w:t xml:space="preserve"> 3,3% en moyenne </w:t>
      </w:r>
      <w:r w:rsidR="00302FEF" w:rsidRPr="00C91D01">
        <w:rPr>
          <w:lang w:val="fr-BE"/>
        </w:rPr>
        <w:t>sur l’année</w:t>
      </w:r>
      <w:r w:rsidRPr="00C91D01">
        <w:rPr>
          <w:lang w:val="fr-BE"/>
        </w:rPr>
        <w:t xml:space="preserve"> 2024, pour diminuer progressivement en 2025 </w:t>
      </w:r>
      <w:r w:rsidR="00302FEF" w:rsidRPr="00C91D01">
        <w:rPr>
          <w:lang w:val="fr-BE"/>
        </w:rPr>
        <w:t xml:space="preserve">vers </w:t>
      </w:r>
      <w:r w:rsidRPr="00C91D01">
        <w:rPr>
          <w:lang w:val="fr-BE"/>
        </w:rPr>
        <w:t xml:space="preserve">2,2%. En ce qui concerne les prix des biens alimentaires, l'effet de base résultant des fortes hausses de l'année dernière et des données sur les coûts agricoles, qui affichent depuis plusieurs mois une variation annuelle négative, devrait soulager les pressions sur les prix. </w:t>
      </w:r>
    </w:p>
    <w:p w14:paraId="2AD8D4F4" w14:textId="206A9D99" w:rsidR="00A973C3" w:rsidRPr="00C91D01" w:rsidRDefault="00A973C3" w:rsidP="00FE4A47">
      <w:pPr>
        <w:jc w:val="both"/>
        <w:rPr>
          <w:lang w:val="fr-BE"/>
        </w:rPr>
      </w:pPr>
      <w:r w:rsidRPr="00C91D01">
        <w:rPr>
          <w:lang w:val="fr-BE"/>
        </w:rPr>
        <w:t xml:space="preserve">Concernant sa position extérieure, le pays connait un excédent courant depuis 2013. Les </w:t>
      </w:r>
      <w:r w:rsidR="006F2D32" w:rsidRPr="00C91D01">
        <w:rPr>
          <w:lang w:val="fr-BE"/>
        </w:rPr>
        <w:t>projections</w:t>
      </w:r>
      <w:r w:rsidRPr="00C91D01">
        <w:rPr>
          <w:lang w:val="fr-BE"/>
        </w:rPr>
        <w:t xml:space="preserve"> quant à une possible augmentation ou baisse de cet excédent</w:t>
      </w:r>
      <w:r w:rsidR="006F2D32" w:rsidRPr="00C91D01">
        <w:rPr>
          <w:lang w:val="fr-BE"/>
        </w:rPr>
        <w:t xml:space="preserve"> dans les années à venir </w:t>
      </w:r>
      <w:r w:rsidRPr="00C91D01">
        <w:rPr>
          <w:lang w:val="fr-BE"/>
        </w:rPr>
        <w:t>est difficile à réaliser</w:t>
      </w:r>
      <w:r w:rsidR="006F2D32" w:rsidRPr="00C91D01">
        <w:rPr>
          <w:lang w:val="fr-BE"/>
        </w:rPr>
        <w:t xml:space="preserve">, </w:t>
      </w:r>
      <w:r w:rsidRPr="00C91D01">
        <w:rPr>
          <w:lang w:val="fr-BE"/>
        </w:rPr>
        <w:t xml:space="preserve">tant </w:t>
      </w:r>
      <w:r w:rsidR="006F2D32" w:rsidRPr="00C91D01">
        <w:rPr>
          <w:lang w:val="fr-BE"/>
        </w:rPr>
        <w:t>cela</w:t>
      </w:r>
      <w:r w:rsidRPr="00C91D01">
        <w:rPr>
          <w:lang w:val="fr-BE"/>
        </w:rPr>
        <w:t xml:space="preserve"> dépend d</w:t>
      </w:r>
      <w:r w:rsidR="006F2D32" w:rsidRPr="00C91D01">
        <w:rPr>
          <w:lang w:val="fr-BE"/>
        </w:rPr>
        <w:t xml:space="preserve">’une demande extérieure particulièrement sensibles aux </w:t>
      </w:r>
      <w:r w:rsidRPr="00C91D01">
        <w:rPr>
          <w:lang w:val="fr-BE"/>
        </w:rPr>
        <w:t>facteurs géopolitiques</w:t>
      </w:r>
      <w:r w:rsidR="00F513F4" w:rsidRPr="00C91D01">
        <w:rPr>
          <w:lang w:val="fr-BE"/>
        </w:rPr>
        <w:t xml:space="preserve">, évoluant </w:t>
      </w:r>
      <w:r w:rsidR="006F2D32" w:rsidRPr="00C91D01">
        <w:rPr>
          <w:lang w:val="fr-BE"/>
        </w:rPr>
        <w:t xml:space="preserve">dans un moment de grandes incertitudes. </w:t>
      </w:r>
    </w:p>
    <w:p w14:paraId="3AB8D798" w14:textId="77777777" w:rsidR="00480E56" w:rsidRPr="00C91D01" w:rsidRDefault="00302FEF" w:rsidP="00FE4A47">
      <w:pPr>
        <w:jc w:val="both"/>
        <w:rPr>
          <w:lang w:val="fr-BE"/>
        </w:rPr>
      </w:pPr>
      <w:r w:rsidRPr="00C91D01">
        <w:rPr>
          <w:lang w:val="fr-BE"/>
        </w:rPr>
        <w:t>Du fait de sa pauvreté en ressources énergétiques conventionnelles, l’Espagne connait une grande dépendance aux importations énergétiques (71,9% de ses importations concernent l’énergie). En 2022, elle figurait 7</w:t>
      </w:r>
      <w:r w:rsidRPr="00C91D01">
        <w:rPr>
          <w:vertAlign w:val="superscript"/>
          <w:lang w:val="fr-BE"/>
        </w:rPr>
        <w:t>e</w:t>
      </w:r>
      <w:r w:rsidRPr="00C91D01">
        <w:rPr>
          <w:lang w:val="fr-BE"/>
        </w:rPr>
        <w:t xml:space="preserve"> rang mondial des importateurs de pétrole brut, et au 9</w:t>
      </w:r>
      <w:r w:rsidRPr="00C91D01">
        <w:rPr>
          <w:vertAlign w:val="superscript"/>
          <w:lang w:val="fr-BE"/>
        </w:rPr>
        <w:t>e</w:t>
      </w:r>
      <w:r w:rsidRPr="00C91D01">
        <w:rPr>
          <w:lang w:val="fr-BE"/>
        </w:rPr>
        <w:t xml:space="preserve"> range de </w:t>
      </w:r>
      <w:r w:rsidR="00480E56" w:rsidRPr="00C91D01">
        <w:rPr>
          <w:lang w:val="fr-BE"/>
        </w:rPr>
        <w:t>c</w:t>
      </w:r>
      <w:r w:rsidRPr="00C91D01">
        <w:rPr>
          <w:lang w:val="fr-BE"/>
        </w:rPr>
        <w:t>eux de gaz naturel.</w:t>
      </w:r>
      <w:r w:rsidR="00480E56" w:rsidRPr="00C91D01">
        <w:rPr>
          <w:lang w:val="fr-BE"/>
        </w:rPr>
        <w:t xml:space="preserve"> </w:t>
      </w:r>
    </w:p>
    <w:p w14:paraId="4F5E6C6F" w14:textId="3D523E91" w:rsidR="00480E56" w:rsidRDefault="00480E56" w:rsidP="00FE4A47">
      <w:pPr>
        <w:jc w:val="both"/>
        <w:rPr>
          <w:lang w:val="fr-BE"/>
        </w:rPr>
      </w:pPr>
      <w:r w:rsidRPr="00C91D01">
        <w:rPr>
          <w:lang w:val="fr-BE"/>
        </w:rPr>
        <w:t>À contrario l’Espagne est une référence en matière d’énergies renouvelable (3</w:t>
      </w:r>
      <w:r w:rsidRPr="00C91D01">
        <w:rPr>
          <w:vertAlign w:val="superscript"/>
          <w:lang w:val="fr-BE"/>
        </w:rPr>
        <w:t>e</w:t>
      </w:r>
      <w:r w:rsidRPr="00C91D01">
        <w:rPr>
          <w:lang w:val="fr-BE"/>
        </w:rPr>
        <w:t xml:space="preserve"> pays européen doté de la plus grande capacité de production d’énergie renouvelable), elle bénéficie de plus d’heures d’ensoleillement que tous les autres États membres, mais aussi de l’un des plus grands gisements de lithium du continent, créant des conditions optimales pour l’exploitation des énergies éoliennes et hydrauliques.</w:t>
      </w:r>
    </w:p>
    <w:p w14:paraId="542B0796" w14:textId="5ADA338A" w:rsidR="004805A6" w:rsidRDefault="004805A6" w:rsidP="00FE4A47">
      <w:pPr>
        <w:jc w:val="both"/>
        <w:rPr>
          <w:lang w:val="fr-BE"/>
        </w:rPr>
      </w:pPr>
      <w:r>
        <w:rPr>
          <w:lang w:val="fr-BE"/>
        </w:rPr>
        <w:t xml:space="preserve">Aussi, le pays possède une dette extérieure nette parmi les plus importantes de l’UE (57,4% du PIB), même si elle tend à baisser au cours des dernières années. </w:t>
      </w:r>
    </w:p>
    <w:p w14:paraId="78E601D9" w14:textId="7C5722AD" w:rsidR="00B23108" w:rsidRDefault="00A973C3" w:rsidP="00FE4A47">
      <w:pPr>
        <w:jc w:val="both"/>
        <w:rPr>
          <w:lang w:val="fr-BE"/>
        </w:rPr>
      </w:pPr>
      <w:r w:rsidRPr="00A973C3">
        <w:rPr>
          <w:lang w:val="fr-BE"/>
        </w:rPr>
        <w:lastRenderedPageBreak/>
        <w:t xml:space="preserve">L’important excédent de la balance des services (qui devrait avoisiner les 6% du PIB en 2023) permet de compenser les déficits structurels de la balance des biens, largement imputable à la dépendance énergétique du pays, et de celle des revenus (envois de fonds des diasporas latino-américaines et marocaines vers leurs pays d’origine). </w:t>
      </w:r>
      <w:r w:rsidR="00B23108" w:rsidRPr="00B23108">
        <w:rPr>
          <w:lang w:val="fr-BE"/>
        </w:rPr>
        <w:t xml:space="preserve">Cela compensera en partie la hausse des importations due au dynamisme de la demande intérieure </w:t>
      </w:r>
      <w:r w:rsidR="00F513F4">
        <w:rPr>
          <w:lang w:val="fr-BE"/>
        </w:rPr>
        <w:t xml:space="preserve">(stimulé par des hausses de salaires imposé par le gouvernement socialiste, le salaire minimum a bondi de 47% sur les cinq dernières années) </w:t>
      </w:r>
      <w:r w:rsidR="00B23108" w:rsidRPr="00B23108">
        <w:rPr>
          <w:lang w:val="fr-BE"/>
        </w:rPr>
        <w:t>et aux importations de capitaux.</w:t>
      </w:r>
    </w:p>
    <w:p w14:paraId="5D7B3D39" w14:textId="77777777" w:rsidR="0086661E" w:rsidRDefault="00A963D3" w:rsidP="00FE4A47">
      <w:pPr>
        <w:jc w:val="both"/>
        <w:rPr>
          <w:lang w:val="fr-BE"/>
        </w:rPr>
      </w:pPr>
      <w:r w:rsidRPr="00A963D3">
        <w:rPr>
          <w:lang w:val="fr-BE"/>
        </w:rPr>
        <w:t xml:space="preserve">Quant aux finances publiques, le déficit public a fortement diminué (6,9% du PIB en 2021 et 4,8% en 2022) sous l’effet d’un recouvrement record impulsé par la reprise de l’activité et de la fin progressive des mesures d’urgence. </w:t>
      </w:r>
    </w:p>
    <w:p w14:paraId="064E25B9" w14:textId="0F7F0B5F" w:rsidR="0086661E" w:rsidRDefault="0086661E" w:rsidP="00FE4A47">
      <w:pPr>
        <w:jc w:val="both"/>
        <w:rPr>
          <w:lang w:val="fr-BE"/>
        </w:rPr>
      </w:pPr>
      <w:r>
        <w:rPr>
          <w:lang w:val="fr-BE"/>
        </w:rPr>
        <w:t xml:space="preserve">Les prévisions anticipent un déficit public de 3% du PIB pour l’année 2024 (3,6% en 2023). L’implémentation de la réforme du Pacte de stabilité qui entrera en vigueur en 2025, devrait faciliter la réduction de ce déficit. </w:t>
      </w:r>
    </w:p>
    <w:p w14:paraId="330E3FDE" w14:textId="3DAAD35C" w:rsidR="00A963D3" w:rsidRDefault="00A963D3" w:rsidP="00FE4A47">
      <w:pPr>
        <w:jc w:val="both"/>
        <w:rPr>
          <w:lang w:val="fr-BE"/>
        </w:rPr>
      </w:pPr>
      <w:r w:rsidRPr="00A963D3">
        <w:rPr>
          <w:lang w:val="fr-BE"/>
        </w:rPr>
        <w:t>De même, la dette publique a inversé la tendance à la hausse de 2020 et enregistrait un léger recul en 2021 (118,4% du PIB), qui s’est poursuivi en 2022 (113,2%)</w:t>
      </w:r>
      <w:r>
        <w:rPr>
          <w:lang w:val="fr-BE"/>
        </w:rPr>
        <w:t xml:space="preserve"> et en 2023 (107,7%).</w:t>
      </w:r>
    </w:p>
    <w:p w14:paraId="17A5267D" w14:textId="77777777" w:rsidR="00A963D3" w:rsidRDefault="00A963D3" w:rsidP="00FE4A47">
      <w:pPr>
        <w:jc w:val="both"/>
        <w:rPr>
          <w:lang w:val="fr-BE"/>
        </w:rPr>
      </w:pPr>
      <w:r>
        <w:rPr>
          <w:lang w:val="fr-BE"/>
        </w:rPr>
        <w:t>C</w:t>
      </w:r>
      <w:r w:rsidR="00621D0C" w:rsidRPr="00621D0C">
        <w:rPr>
          <w:lang w:val="fr-BE"/>
        </w:rPr>
        <w:t>e taux d'endettement public de l'Espagne a diminué de 12,6 points par rapport à son pic pandémique de 120,3 % (2020), en raison d'une croissance élevée du PIB nominal.</w:t>
      </w:r>
      <w:r w:rsidR="00D20C7E">
        <w:rPr>
          <w:lang w:val="fr-BE"/>
        </w:rPr>
        <w:t xml:space="preserve"> </w:t>
      </w:r>
    </w:p>
    <w:p w14:paraId="50F87CE9" w14:textId="7E838C2A" w:rsidR="00621D0C" w:rsidRDefault="00D20C7E" w:rsidP="00FE4A47">
      <w:pPr>
        <w:jc w:val="both"/>
        <w:rPr>
          <w:lang w:val="fr-BE"/>
        </w:rPr>
      </w:pPr>
      <w:r>
        <w:rPr>
          <w:lang w:val="fr-BE"/>
        </w:rPr>
        <w:t>Le niveau de la dette espagnol reste cependant le 4</w:t>
      </w:r>
      <w:r w:rsidRPr="00D20C7E">
        <w:rPr>
          <w:vertAlign w:val="superscript"/>
          <w:lang w:val="fr-BE"/>
        </w:rPr>
        <w:t>e</w:t>
      </w:r>
      <w:r>
        <w:rPr>
          <w:lang w:val="fr-BE"/>
        </w:rPr>
        <w:t xml:space="preserve"> plus élevée parmi les pays de l’Eurozone (derrière la France, l’Italie et la Grèce). </w:t>
      </w:r>
    </w:p>
    <w:p w14:paraId="572C35EB" w14:textId="77777777" w:rsidR="00AA37BB" w:rsidRDefault="00ED6BB5" w:rsidP="00FE4A47">
      <w:pPr>
        <w:jc w:val="both"/>
        <w:rPr>
          <w:lang w:val="fr-BE"/>
        </w:rPr>
      </w:pPr>
      <w:r>
        <w:rPr>
          <w:lang w:val="fr-BE"/>
        </w:rPr>
        <w:t xml:space="preserve">Les prévisions anticipent </w:t>
      </w:r>
      <w:r w:rsidR="0042152F">
        <w:rPr>
          <w:lang w:val="fr-BE"/>
        </w:rPr>
        <w:t xml:space="preserve">un déficit de 3% du PIB pour l’année 2024 (3,6% en 2023). L’implémentation </w:t>
      </w:r>
      <w:r w:rsidR="00AA37BB">
        <w:rPr>
          <w:lang w:val="fr-BE"/>
        </w:rPr>
        <w:t xml:space="preserve">de la réforme du Pacte de stabilité qui entrera en vigueur en 2025, devrait faciliter la réduction du déficit public. </w:t>
      </w:r>
    </w:p>
    <w:p w14:paraId="57DB2E88" w14:textId="4CF865DF" w:rsidR="007971CE" w:rsidRDefault="00AA37BB" w:rsidP="002D29A0">
      <w:pPr>
        <w:jc w:val="both"/>
        <w:rPr>
          <w:lang w:val="fr-BE"/>
        </w:rPr>
      </w:pPr>
      <w:r>
        <w:rPr>
          <w:lang w:val="fr-BE"/>
        </w:rPr>
        <w:t xml:space="preserve">Pour l’année 2025, le gouvernement espagnol prévoit un déficit de 2,5%, ce qui impliquerait que pour la première fois depuis 2007, l’Espagne dégagerait un excédent budgétaire primaire. </w:t>
      </w:r>
    </w:p>
    <w:p w14:paraId="4A8D1E83" w14:textId="77777777" w:rsidR="00C91D01" w:rsidRDefault="00C91D01" w:rsidP="002D29A0">
      <w:pPr>
        <w:jc w:val="both"/>
        <w:rPr>
          <w:lang w:val="fr-BE"/>
        </w:rPr>
      </w:pPr>
    </w:p>
    <w:p w14:paraId="6315BF82" w14:textId="16AC6B6B" w:rsidR="00C91D01" w:rsidRDefault="00C91D01" w:rsidP="00C91D01">
      <w:pPr>
        <w:jc w:val="right"/>
        <w:rPr>
          <w:lang w:val="fr-BE"/>
        </w:rPr>
      </w:pPr>
      <w:r>
        <w:rPr>
          <w:lang w:val="fr-BE"/>
        </w:rPr>
        <w:t>Rédigé le 28 juin 2024.</w:t>
      </w:r>
    </w:p>
    <w:p w14:paraId="54A5E06D" w14:textId="77777777" w:rsidR="002D29A0" w:rsidRDefault="002D29A0" w:rsidP="00FE4A47">
      <w:pPr>
        <w:jc w:val="both"/>
        <w:rPr>
          <w:i/>
          <w:iCs/>
          <w:lang w:val="fr-BE"/>
        </w:rPr>
      </w:pPr>
    </w:p>
    <w:p w14:paraId="45C92E03" w14:textId="77777777" w:rsidR="00C91D01" w:rsidRDefault="00C91D01" w:rsidP="00FE4A47">
      <w:pPr>
        <w:jc w:val="both"/>
        <w:rPr>
          <w:i/>
          <w:iCs/>
          <w:lang w:val="fr-BE"/>
        </w:rPr>
      </w:pPr>
    </w:p>
    <w:p w14:paraId="0AD6A60B" w14:textId="77777777" w:rsidR="00C91D01" w:rsidRDefault="00C91D01" w:rsidP="00FE4A47">
      <w:pPr>
        <w:jc w:val="both"/>
        <w:rPr>
          <w:i/>
          <w:iCs/>
          <w:lang w:val="fr-BE"/>
        </w:rPr>
      </w:pPr>
    </w:p>
    <w:p w14:paraId="66C9B14E" w14:textId="77777777" w:rsidR="00C91D01" w:rsidRDefault="00C91D01" w:rsidP="00FE4A47">
      <w:pPr>
        <w:jc w:val="both"/>
        <w:rPr>
          <w:i/>
          <w:iCs/>
          <w:lang w:val="fr-BE"/>
        </w:rPr>
      </w:pPr>
    </w:p>
    <w:p w14:paraId="47D24DD9" w14:textId="77777777" w:rsidR="00C91D01" w:rsidRDefault="00C91D01" w:rsidP="00FE4A47">
      <w:pPr>
        <w:jc w:val="both"/>
        <w:rPr>
          <w:i/>
          <w:iCs/>
          <w:lang w:val="fr-BE"/>
        </w:rPr>
      </w:pPr>
    </w:p>
    <w:p w14:paraId="5192C763" w14:textId="77777777" w:rsidR="00C91D01" w:rsidRDefault="00C91D01" w:rsidP="00FE4A47">
      <w:pPr>
        <w:jc w:val="both"/>
        <w:rPr>
          <w:i/>
          <w:iCs/>
          <w:lang w:val="fr-BE"/>
        </w:rPr>
      </w:pPr>
    </w:p>
    <w:p w14:paraId="7396D469" w14:textId="77777777" w:rsidR="00C91D01" w:rsidRDefault="00C91D01" w:rsidP="00FE4A47">
      <w:pPr>
        <w:jc w:val="both"/>
        <w:rPr>
          <w:i/>
          <w:iCs/>
          <w:lang w:val="fr-BE"/>
        </w:rPr>
      </w:pPr>
    </w:p>
    <w:p w14:paraId="7C3E37DF" w14:textId="77777777" w:rsidR="00C91D01" w:rsidRDefault="00C91D01" w:rsidP="00FE4A47">
      <w:pPr>
        <w:jc w:val="both"/>
        <w:rPr>
          <w:i/>
          <w:iCs/>
          <w:lang w:val="fr-BE"/>
        </w:rPr>
      </w:pPr>
    </w:p>
    <w:p w14:paraId="633C9E3E" w14:textId="77777777" w:rsidR="00C91D01" w:rsidRDefault="00C91D01" w:rsidP="00FE4A47">
      <w:pPr>
        <w:jc w:val="both"/>
        <w:rPr>
          <w:i/>
          <w:iCs/>
          <w:lang w:val="fr-BE"/>
        </w:rPr>
      </w:pPr>
    </w:p>
    <w:p w14:paraId="4C313BA0" w14:textId="77777777" w:rsidR="00C91D01" w:rsidRDefault="00C91D01" w:rsidP="00FE4A47">
      <w:pPr>
        <w:jc w:val="both"/>
        <w:rPr>
          <w:i/>
          <w:iCs/>
          <w:lang w:val="fr-BE"/>
        </w:rPr>
      </w:pPr>
    </w:p>
    <w:p w14:paraId="1E8B15DF" w14:textId="77777777" w:rsidR="00C91D01" w:rsidRDefault="00C91D01" w:rsidP="00FE4A47">
      <w:pPr>
        <w:jc w:val="both"/>
        <w:rPr>
          <w:i/>
          <w:iCs/>
          <w:lang w:val="fr-BE"/>
        </w:rPr>
      </w:pPr>
    </w:p>
    <w:p w14:paraId="23DD08F1" w14:textId="3C8B4AE7" w:rsidR="008F7262" w:rsidRPr="007971CE" w:rsidRDefault="008F7262" w:rsidP="00FE4A47">
      <w:pPr>
        <w:jc w:val="both"/>
        <w:rPr>
          <w:i/>
          <w:iCs/>
          <w:lang w:val="fr-BE"/>
        </w:rPr>
      </w:pPr>
      <w:r w:rsidRPr="007971CE">
        <w:rPr>
          <w:i/>
          <w:iCs/>
          <w:lang w:val="fr-BE"/>
        </w:rPr>
        <w:lastRenderedPageBreak/>
        <w:t>Source</w:t>
      </w:r>
      <w:r w:rsidR="007971CE" w:rsidRPr="007971CE">
        <w:rPr>
          <w:i/>
          <w:iCs/>
          <w:lang w:val="fr-BE"/>
        </w:rPr>
        <w:t>s</w:t>
      </w:r>
      <w:r w:rsidRPr="007971CE">
        <w:rPr>
          <w:i/>
          <w:iCs/>
          <w:lang w:val="fr-BE"/>
        </w:rPr>
        <w:t xml:space="preserve"> : </w:t>
      </w:r>
    </w:p>
    <w:p w14:paraId="54F0D952" w14:textId="571EA360" w:rsidR="008F7262" w:rsidRPr="007971CE" w:rsidRDefault="009E07B2" w:rsidP="00FE4A47">
      <w:pPr>
        <w:jc w:val="both"/>
        <w:rPr>
          <w:i/>
          <w:iCs/>
          <w:sz w:val="20"/>
          <w:szCs w:val="20"/>
        </w:rPr>
      </w:pPr>
      <w:hyperlink r:id="rId9" w:history="1">
        <w:r w:rsidR="008F7262" w:rsidRPr="007971CE">
          <w:rPr>
            <w:rStyle w:val="Hyperlink"/>
            <w:i/>
            <w:iCs/>
            <w:sz w:val="20"/>
            <w:szCs w:val="20"/>
          </w:rPr>
          <w:t>https://disclosure.spglobal.com/ratings/en/regulatory/article/-/view/type/HTML/id/3139611</w:t>
        </w:r>
      </w:hyperlink>
    </w:p>
    <w:p w14:paraId="6D353D56" w14:textId="493892DA" w:rsidR="008F7262" w:rsidRPr="007971CE" w:rsidRDefault="009E07B2" w:rsidP="00FE4A47">
      <w:pPr>
        <w:jc w:val="both"/>
        <w:rPr>
          <w:i/>
          <w:iCs/>
          <w:sz w:val="20"/>
          <w:szCs w:val="20"/>
        </w:rPr>
      </w:pPr>
      <w:hyperlink r:id="rId10" w:history="1">
        <w:r w:rsidR="00747BC8" w:rsidRPr="007971CE">
          <w:rPr>
            <w:rStyle w:val="Hyperlink"/>
            <w:i/>
            <w:iCs/>
            <w:sz w:val="20"/>
            <w:szCs w:val="20"/>
          </w:rPr>
          <w:t>https://app.fitchconnect.com/article/PR_10271498</w:t>
        </w:r>
      </w:hyperlink>
    </w:p>
    <w:p w14:paraId="22293C01" w14:textId="489187DC" w:rsidR="00747BC8" w:rsidRPr="007971CE" w:rsidRDefault="009E07B2" w:rsidP="00FE4A47">
      <w:pPr>
        <w:jc w:val="both"/>
        <w:rPr>
          <w:i/>
          <w:iCs/>
          <w:sz w:val="20"/>
          <w:szCs w:val="20"/>
        </w:rPr>
      </w:pPr>
      <w:hyperlink r:id="rId11" w:history="1">
        <w:r w:rsidR="00747BC8" w:rsidRPr="007971CE">
          <w:rPr>
            <w:rStyle w:val="Hyperlink"/>
            <w:i/>
            <w:iCs/>
            <w:sz w:val="20"/>
            <w:szCs w:val="20"/>
          </w:rPr>
          <w:t>https://www.coface.com/fr/actualites-economie-conseils-d-experts/tableau-de-bord-des-risques-economiques/fiches-risques-pays/espagne</w:t>
        </w:r>
      </w:hyperlink>
    </w:p>
    <w:p w14:paraId="3B63BBF4" w14:textId="469B2204" w:rsidR="001325A8" w:rsidRPr="007971CE" w:rsidRDefault="009E07B2" w:rsidP="00FE4A47">
      <w:pPr>
        <w:jc w:val="both"/>
        <w:rPr>
          <w:i/>
          <w:iCs/>
          <w:sz w:val="20"/>
          <w:szCs w:val="20"/>
        </w:rPr>
      </w:pPr>
      <w:hyperlink r:id="rId12" w:anchor=":~:text=En%202021%20et%202022%2C%20le,de%20fin%202019%5B1%5D" w:history="1">
        <w:r w:rsidR="001325A8" w:rsidRPr="007971CE">
          <w:rPr>
            <w:rStyle w:val="Hyperlink"/>
            <w:i/>
            <w:iCs/>
            <w:sz w:val="20"/>
            <w:szCs w:val="20"/>
          </w:rPr>
          <w:t>https://www.tresor.economie.gouv.fr/Pays/ES/situation-macroeconomique-de-l-espagne#:~:text=En%202021%20et%202022%2C%20le,de%20fin%202019%5B1%5D</w:t>
        </w:r>
      </w:hyperlink>
    </w:p>
    <w:p w14:paraId="465BAC3E" w14:textId="1D7BEBEB" w:rsidR="00523447" w:rsidRPr="007971CE" w:rsidRDefault="009E07B2" w:rsidP="00FE4A47">
      <w:pPr>
        <w:jc w:val="both"/>
        <w:rPr>
          <w:i/>
          <w:iCs/>
          <w:sz w:val="20"/>
          <w:szCs w:val="20"/>
        </w:rPr>
      </w:pPr>
      <w:hyperlink r:id="rId13" w:anchor=":~:text=Le%20stock%20d'investissements%20fran%C3%A7ais,filiales%2C%20et%2056%20900%20salari%C3%A9s" w:history="1">
        <w:r w:rsidR="00523447" w:rsidRPr="007971CE">
          <w:rPr>
            <w:rStyle w:val="Hyperlink"/>
            <w:i/>
            <w:iCs/>
            <w:sz w:val="20"/>
            <w:szCs w:val="20"/>
          </w:rPr>
          <w:t>https://www.diplomatie.gouv.fr/fr/dossiers-pays/espagne/presentation-de-l-espagne/#:~:text=Le%20stock%20d'investissements%20fran%C3%A7ais,filiales%2C%20et%2056%20900%20salari%C3%A9s</w:t>
        </w:r>
      </w:hyperlink>
    </w:p>
    <w:p w14:paraId="1171EC1E" w14:textId="76BCFE67" w:rsidR="00F513F4" w:rsidRPr="007971CE" w:rsidRDefault="009E07B2" w:rsidP="00FE4A47">
      <w:pPr>
        <w:jc w:val="both"/>
        <w:rPr>
          <w:i/>
          <w:iCs/>
          <w:sz w:val="20"/>
          <w:szCs w:val="20"/>
        </w:rPr>
      </w:pPr>
      <w:hyperlink r:id="rId14" w:history="1">
        <w:r w:rsidR="00F513F4" w:rsidRPr="007971CE">
          <w:rPr>
            <w:rStyle w:val="Hyperlink"/>
            <w:i/>
            <w:iCs/>
            <w:sz w:val="20"/>
            <w:szCs w:val="20"/>
          </w:rPr>
          <w:t>https://www.boursorama.com/actualite-economique/actualites/espagne-la-croissance-du-premier-trimestre-revisee-a-la-hausse-a-0-8-eb6dba032cc5503d1d6ba13beaa3356f</w:t>
        </w:r>
      </w:hyperlink>
    </w:p>
    <w:p w14:paraId="065A59B2" w14:textId="4ACEC143" w:rsidR="00115362" w:rsidRPr="007971CE" w:rsidRDefault="009E07B2" w:rsidP="00115362">
      <w:pPr>
        <w:jc w:val="both"/>
        <w:rPr>
          <w:rStyle w:val="Hyperlink"/>
          <w:i/>
          <w:iCs/>
          <w:sz w:val="20"/>
          <w:szCs w:val="20"/>
        </w:rPr>
      </w:pPr>
      <w:hyperlink r:id="rId15" w:history="1">
        <w:r w:rsidR="00115362" w:rsidRPr="007971CE">
          <w:rPr>
            <w:rStyle w:val="Hyperlink"/>
            <w:i/>
            <w:iCs/>
            <w:sz w:val="20"/>
            <w:szCs w:val="20"/>
          </w:rPr>
          <w:t>https://etudes-economiques.credit-agricole.com/Publication/2024-avril/espagne-les-carburants-et-l-electricite-soutiennent-l-inflation-de-mars</w:t>
        </w:r>
      </w:hyperlink>
    </w:p>
    <w:p w14:paraId="7F2DB52F" w14:textId="60D6EFCB" w:rsidR="007971CE" w:rsidRDefault="009E07B2" w:rsidP="00115362">
      <w:pPr>
        <w:jc w:val="both"/>
        <w:rPr>
          <w:rStyle w:val="Hyperlink"/>
          <w:i/>
          <w:iCs/>
          <w:sz w:val="20"/>
          <w:szCs w:val="20"/>
        </w:rPr>
      </w:pPr>
      <w:hyperlink r:id="rId16" w:history="1">
        <w:r w:rsidR="007971CE" w:rsidRPr="007971CE">
          <w:rPr>
            <w:rStyle w:val="Hyperlink"/>
            <w:i/>
            <w:iCs/>
            <w:sz w:val="20"/>
            <w:szCs w:val="20"/>
          </w:rPr>
          <w:t>https://www.oecd-ilibrary.org/sites/bd18c5ae-fr/1/3/2/17/index.html?itemId=/content/publication/bd18c5ae-fr&amp;_csp_=623453836f16e0c026165f9490b092dd&amp;itemIGO=oecd&amp;itemContentType=book</w:t>
        </w:r>
      </w:hyperlink>
    </w:p>
    <w:bookmarkStart w:id="0" w:name="_Hlk170470709"/>
    <w:p w14:paraId="61222C9B" w14:textId="1F9116F4" w:rsidR="00302FEF" w:rsidRDefault="00C91D01" w:rsidP="00115362">
      <w:pPr>
        <w:jc w:val="both"/>
        <w:rPr>
          <w:i/>
          <w:iCs/>
          <w:sz w:val="20"/>
          <w:szCs w:val="20"/>
        </w:rPr>
      </w:pPr>
      <w:r>
        <w:rPr>
          <w:i/>
          <w:iCs/>
          <w:sz w:val="20"/>
          <w:szCs w:val="20"/>
        </w:rPr>
        <w:fldChar w:fldCharType="begin"/>
      </w:r>
      <w:r>
        <w:rPr>
          <w:i/>
          <w:iCs/>
          <w:sz w:val="20"/>
          <w:szCs w:val="20"/>
        </w:rPr>
        <w:instrText>HYPERLINK "</w:instrText>
      </w:r>
      <w:r w:rsidRPr="00302FEF">
        <w:rPr>
          <w:i/>
          <w:iCs/>
          <w:sz w:val="20"/>
          <w:szCs w:val="20"/>
        </w:rPr>
        <w:instrText>https://www.touteleurope.eu/economie-et-social/le-taux-de-chomage-des-jeunes-en-europe/#:~:text=Selon%20les%20derni%C3%A8res%20statistiques%20d,Italie%20(22%2C8%20%25)</w:instrText>
      </w:r>
      <w:r>
        <w:rPr>
          <w:i/>
          <w:iCs/>
          <w:sz w:val="20"/>
          <w:szCs w:val="20"/>
        </w:rPr>
        <w:instrText>"</w:instrText>
      </w:r>
      <w:r>
        <w:rPr>
          <w:i/>
          <w:iCs/>
          <w:sz w:val="20"/>
          <w:szCs w:val="20"/>
        </w:rPr>
      </w:r>
      <w:r>
        <w:rPr>
          <w:i/>
          <w:iCs/>
          <w:sz w:val="20"/>
          <w:szCs w:val="20"/>
        </w:rPr>
        <w:fldChar w:fldCharType="separate"/>
      </w:r>
      <w:r w:rsidRPr="00455DCE">
        <w:rPr>
          <w:rStyle w:val="Hyperlink"/>
          <w:i/>
          <w:iCs/>
          <w:sz w:val="20"/>
          <w:szCs w:val="20"/>
        </w:rPr>
        <w:t>https://www.touteleurope.eu/economie-et-social/le-taux-de-chomage-des-jeunes-en-europe/#:~:text=Selon%20les%20derni%C3%A8res%20statistiques%20d,Italie%20(22%2C8%20%25)</w:t>
      </w:r>
      <w:r>
        <w:rPr>
          <w:i/>
          <w:iCs/>
          <w:sz w:val="20"/>
          <w:szCs w:val="20"/>
        </w:rPr>
        <w:fldChar w:fldCharType="end"/>
      </w:r>
    </w:p>
    <w:p w14:paraId="6290624B" w14:textId="77777777" w:rsidR="00C91D01" w:rsidRPr="007971CE" w:rsidRDefault="00C91D01" w:rsidP="00115362">
      <w:pPr>
        <w:jc w:val="both"/>
        <w:rPr>
          <w:i/>
          <w:iCs/>
          <w:sz w:val="20"/>
          <w:szCs w:val="20"/>
        </w:rPr>
      </w:pPr>
    </w:p>
    <w:bookmarkEnd w:id="0"/>
    <w:p w14:paraId="12CEA629" w14:textId="77777777" w:rsidR="007971CE" w:rsidRDefault="007971CE" w:rsidP="00115362">
      <w:pPr>
        <w:jc w:val="both"/>
        <w:rPr>
          <w:i/>
          <w:iCs/>
        </w:rPr>
      </w:pPr>
    </w:p>
    <w:sectPr w:rsidR="007971C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79BDE" w14:textId="77777777" w:rsidR="00AB30FE" w:rsidRDefault="00AB30FE" w:rsidP="00AB30FE">
      <w:pPr>
        <w:spacing w:after="0" w:line="240" w:lineRule="auto"/>
      </w:pPr>
      <w:r>
        <w:separator/>
      </w:r>
    </w:p>
  </w:endnote>
  <w:endnote w:type="continuationSeparator" w:id="0">
    <w:p w14:paraId="7AB9456F" w14:textId="77777777" w:rsidR="00AB30FE" w:rsidRDefault="00AB30FE" w:rsidP="00AB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3278" w14:textId="77777777" w:rsidR="00AB30FE" w:rsidRDefault="00AB30FE" w:rsidP="00AB30FE">
      <w:pPr>
        <w:spacing w:after="0" w:line="240" w:lineRule="auto"/>
      </w:pPr>
      <w:r>
        <w:separator/>
      </w:r>
    </w:p>
  </w:footnote>
  <w:footnote w:type="continuationSeparator" w:id="0">
    <w:p w14:paraId="0B4F7871" w14:textId="77777777" w:rsidR="00AB30FE" w:rsidRDefault="00AB30FE" w:rsidP="00AB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8522" w14:textId="13D6D2AC" w:rsidR="00AB30FE" w:rsidRDefault="008F7262">
    <w:pPr>
      <w:pStyle w:val="Header"/>
    </w:pPr>
    <w:r>
      <w:rPr>
        <w:noProof/>
      </w:rPr>
      <w:drawing>
        <wp:inline distT="0" distB="0" distL="0" distR="0" wp14:anchorId="3BAA23BF" wp14:editId="67F1E997">
          <wp:extent cx="4572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72E5"/>
    <w:multiLevelType w:val="hybridMultilevel"/>
    <w:tmpl w:val="EBF46F72"/>
    <w:lvl w:ilvl="0" w:tplc="580ACA56">
      <w:numFmt w:val="bullet"/>
      <w:lvlText w:val=""/>
      <w:lvlJc w:val="left"/>
      <w:pPr>
        <w:ind w:left="720" w:hanging="360"/>
      </w:pPr>
      <w:rPr>
        <w:rFonts w:ascii="Symbol" w:eastAsiaTheme="minorHAnsi" w:hAnsi="Symbol" w:cstheme="minorBid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16cid:durableId="162669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90"/>
    <w:rsid w:val="00003110"/>
    <w:rsid w:val="0001164B"/>
    <w:rsid w:val="00030E56"/>
    <w:rsid w:val="00036630"/>
    <w:rsid w:val="00043EA6"/>
    <w:rsid w:val="00057EA4"/>
    <w:rsid w:val="0006525C"/>
    <w:rsid w:val="000A167C"/>
    <w:rsid w:val="000B04B1"/>
    <w:rsid w:val="000C60F6"/>
    <w:rsid w:val="000E5546"/>
    <w:rsid w:val="00115362"/>
    <w:rsid w:val="00124387"/>
    <w:rsid w:val="001325A8"/>
    <w:rsid w:val="00142F2F"/>
    <w:rsid w:val="00153BEE"/>
    <w:rsid w:val="001E3459"/>
    <w:rsid w:val="002233AD"/>
    <w:rsid w:val="0022382D"/>
    <w:rsid w:val="00223B36"/>
    <w:rsid w:val="00240913"/>
    <w:rsid w:val="00274C46"/>
    <w:rsid w:val="002A47EE"/>
    <w:rsid w:val="002A65BA"/>
    <w:rsid w:val="002D0290"/>
    <w:rsid w:val="002D29A0"/>
    <w:rsid w:val="00302FEF"/>
    <w:rsid w:val="00314D2E"/>
    <w:rsid w:val="003322FD"/>
    <w:rsid w:val="0033600F"/>
    <w:rsid w:val="0036509C"/>
    <w:rsid w:val="00396C99"/>
    <w:rsid w:val="0042152F"/>
    <w:rsid w:val="00461EA0"/>
    <w:rsid w:val="00467C70"/>
    <w:rsid w:val="004805A6"/>
    <w:rsid w:val="00480E56"/>
    <w:rsid w:val="004C51C2"/>
    <w:rsid w:val="00506F85"/>
    <w:rsid w:val="00523447"/>
    <w:rsid w:val="00537CD8"/>
    <w:rsid w:val="005635FB"/>
    <w:rsid w:val="00590644"/>
    <w:rsid w:val="00593C5A"/>
    <w:rsid w:val="005A4DA9"/>
    <w:rsid w:val="005A5631"/>
    <w:rsid w:val="005B27AF"/>
    <w:rsid w:val="005C1DC6"/>
    <w:rsid w:val="005D1EB4"/>
    <w:rsid w:val="005F5744"/>
    <w:rsid w:val="0060735C"/>
    <w:rsid w:val="00621D0C"/>
    <w:rsid w:val="00640E2A"/>
    <w:rsid w:val="00662A00"/>
    <w:rsid w:val="00677E24"/>
    <w:rsid w:val="0069574D"/>
    <w:rsid w:val="006C0B85"/>
    <w:rsid w:val="006C2ED1"/>
    <w:rsid w:val="006F2D32"/>
    <w:rsid w:val="006F3365"/>
    <w:rsid w:val="0074557D"/>
    <w:rsid w:val="00747BC8"/>
    <w:rsid w:val="0076587B"/>
    <w:rsid w:val="007971CE"/>
    <w:rsid w:val="007B4D9F"/>
    <w:rsid w:val="007E75A5"/>
    <w:rsid w:val="00802699"/>
    <w:rsid w:val="0081788C"/>
    <w:rsid w:val="00824697"/>
    <w:rsid w:val="00825AEC"/>
    <w:rsid w:val="0086661E"/>
    <w:rsid w:val="008A770D"/>
    <w:rsid w:val="008B2348"/>
    <w:rsid w:val="008C76C2"/>
    <w:rsid w:val="008D4304"/>
    <w:rsid w:val="008F7262"/>
    <w:rsid w:val="009673CE"/>
    <w:rsid w:val="009827F8"/>
    <w:rsid w:val="009B5EF7"/>
    <w:rsid w:val="009E07B2"/>
    <w:rsid w:val="009E63C0"/>
    <w:rsid w:val="00A15026"/>
    <w:rsid w:val="00A27165"/>
    <w:rsid w:val="00A31D7D"/>
    <w:rsid w:val="00A6733E"/>
    <w:rsid w:val="00A963D3"/>
    <w:rsid w:val="00A973C3"/>
    <w:rsid w:val="00AA37BB"/>
    <w:rsid w:val="00AA7FC2"/>
    <w:rsid w:val="00AB30FE"/>
    <w:rsid w:val="00AE337F"/>
    <w:rsid w:val="00AE5321"/>
    <w:rsid w:val="00B01E7E"/>
    <w:rsid w:val="00B157A4"/>
    <w:rsid w:val="00B23108"/>
    <w:rsid w:val="00B23986"/>
    <w:rsid w:val="00B26765"/>
    <w:rsid w:val="00B424E7"/>
    <w:rsid w:val="00B43B01"/>
    <w:rsid w:val="00B45CEC"/>
    <w:rsid w:val="00B46731"/>
    <w:rsid w:val="00B81B03"/>
    <w:rsid w:val="00BB2D32"/>
    <w:rsid w:val="00BC6E91"/>
    <w:rsid w:val="00BD7EC9"/>
    <w:rsid w:val="00BE6467"/>
    <w:rsid w:val="00BF6768"/>
    <w:rsid w:val="00C37949"/>
    <w:rsid w:val="00C43246"/>
    <w:rsid w:val="00C71EC2"/>
    <w:rsid w:val="00C81BBF"/>
    <w:rsid w:val="00C82883"/>
    <w:rsid w:val="00C900A1"/>
    <w:rsid w:val="00C9110D"/>
    <w:rsid w:val="00C91D01"/>
    <w:rsid w:val="00C936E0"/>
    <w:rsid w:val="00C94FA3"/>
    <w:rsid w:val="00CB5064"/>
    <w:rsid w:val="00CB6A35"/>
    <w:rsid w:val="00CD0561"/>
    <w:rsid w:val="00D20C7E"/>
    <w:rsid w:val="00D81DB1"/>
    <w:rsid w:val="00DA1B7B"/>
    <w:rsid w:val="00DB504D"/>
    <w:rsid w:val="00DD26CE"/>
    <w:rsid w:val="00E3792E"/>
    <w:rsid w:val="00E461CE"/>
    <w:rsid w:val="00E53144"/>
    <w:rsid w:val="00E6335F"/>
    <w:rsid w:val="00E80D31"/>
    <w:rsid w:val="00EC1560"/>
    <w:rsid w:val="00EC51C4"/>
    <w:rsid w:val="00EC5D36"/>
    <w:rsid w:val="00ED6BB5"/>
    <w:rsid w:val="00EE137B"/>
    <w:rsid w:val="00EE67A7"/>
    <w:rsid w:val="00F064BB"/>
    <w:rsid w:val="00F14014"/>
    <w:rsid w:val="00F513F4"/>
    <w:rsid w:val="00F65993"/>
    <w:rsid w:val="00F81436"/>
    <w:rsid w:val="00F9337A"/>
    <w:rsid w:val="00FB1B23"/>
    <w:rsid w:val="00FB7CC7"/>
    <w:rsid w:val="00FC57CD"/>
    <w:rsid w:val="00FE4A47"/>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550BE87"/>
  <w15:chartTrackingRefBased/>
  <w15:docId w15:val="{0E330544-65AB-4618-A8D6-D93D1EDC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0FE"/>
  </w:style>
  <w:style w:type="paragraph" w:styleId="Footer">
    <w:name w:val="footer"/>
    <w:basedOn w:val="Normal"/>
    <w:link w:val="FooterChar"/>
    <w:uiPriority w:val="99"/>
    <w:unhideWhenUsed/>
    <w:rsid w:val="00AB3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0FE"/>
  </w:style>
  <w:style w:type="character" w:styleId="Hyperlink">
    <w:name w:val="Hyperlink"/>
    <w:basedOn w:val="DefaultParagraphFont"/>
    <w:uiPriority w:val="99"/>
    <w:unhideWhenUsed/>
    <w:rsid w:val="00AB30FE"/>
    <w:rPr>
      <w:color w:val="0563C1" w:themeColor="hyperlink"/>
      <w:u w:val="single"/>
    </w:rPr>
  </w:style>
  <w:style w:type="character" w:styleId="UnresolvedMention">
    <w:name w:val="Unresolved Mention"/>
    <w:basedOn w:val="DefaultParagraphFont"/>
    <w:uiPriority w:val="99"/>
    <w:semiHidden/>
    <w:unhideWhenUsed/>
    <w:rsid w:val="00AB30FE"/>
    <w:rPr>
      <w:color w:val="605E5C"/>
      <w:shd w:val="clear" w:color="auto" w:fill="E1DFDD"/>
    </w:rPr>
  </w:style>
  <w:style w:type="character" w:styleId="FollowedHyperlink">
    <w:name w:val="FollowedHyperlink"/>
    <w:basedOn w:val="DefaultParagraphFont"/>
    <w:uiPriority w:val="99"/>
    <w:semiHidden/>
    <w:unhideWhenUsed/>
    <w:rsid w:val="00124387"/>
    <w:rPr>
      <w:color w:val="954F72" w:themeColor="followedHyperlink"/>
      <w:u w:val="single"/>
    </w:rPr>
  </w:style>
  <w:style w:type="paragraph" w:styleId="ListParagraph">
    <w:name w:val="List Paragraph"/>
    <w:basedOn w:val="Normal"/>
    <w:uiPriority w:val="34"/>
    <w:qFormat/>
    <w:rsid w:val="00C9110D"/>
    <w:pPr>
      <w:ind w:left="720"/>
      <w:contextualSpacing/>
    </w:pPr>
  </w:style>
  <w:style w:type="paragraph" w:styleId="Caption">
    <w:name w:val="caption"/>
    <w:basedOn w:val="Normal"/>
    <w:next w:val="Normal"/>
    <w:uiPriority w:val="35"/>
    <w:unhideWhenUsed/>
    <w:qFormat/>
    <w:rsid w:val="00C91D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plomatie.gouv.fr/fr/dossiers-pays/espagne/presentation-de-l-espag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resor.economie.gouv.fr/Pays/ES/situation-macroeconomique-de-l-espagn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oecd-ilibrary.org/sites/bd18c5ae-fr/1/3/2/17/index.html?itemId=/content/publication/bd18c5ae-fr&amp;_csp_=623453836f16e0c026165f9490b092dd&amp;itemIGO=oecd&amp;itemContentType=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face.com/fr/actualites-economie-conseils-d-experts/tableau-de-bord-des-risques-economiques/fiches-risques-pays/espagne" TargetMode="External"/><Relationship Id="rId5" Type="http://schemas.openxmlformats.org/officeDocument/2006/relationships/webSettings" Target="webSettings.xml"/><Relationship Id="rId15" Type="http://schemas.openxmlformats.org/officeDocument/2006/relationships/hyperlink" Target="https://etudes-economiques.credit-agricole.com/Publication/2024-avril/espagne-les-carburants-et-l-electricite-soutiennent-l-inflation-de-mars" TargetMode="External"/><Relationship Id="rId10" Type="http://schemas.openxmlformats.org/officeDocument/2006/relationships/hyperlink" Target="https://app.fitchconnect.com/article/PR_1027149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isclosure.spglobal.com/ratings/en/regulatory/article/-/view/type/HTML/id/3139611" TargetMode="External"/><Relationship Id="rId14" Type="http://schemas.openxmlformats.org/officeDocument/2006/relationships/hyperlink" Target="https://www.boursorama.com/actualite-economique/actualites/espagne-la-croissance-du-premier-trimestre-revisee-a-la-hausse-a-0-8-eb6dba032cc5503d1d6ba13beaa3356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C877E-3745-4131-AB99-17E003CD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2268</TotalTime>
  <Pages>5</Pages>
  <Words>1925</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 Massinissa (BIL Banque Intl à Lxbg SA)</dc:creator>
  <cp:keywords/>
  <dc:description/>
  <cp:lastModifiedBy>Smail Massinissa (BIL Banque Intl à Lxbg SA)</cp:lastModifiedBy>
  <cp:revision>34</cp:revision>
  <dcterms:created xsi:type="dcterms:W3CDTF">2024-05-27T07:45:00Z</dcterms:created>
  <dcterms:modified xsi:type="dcterms:W3CDTF">2024-06-28T11:40:00Z</dcterms:modified>
</cp:coreProperties>
</file>