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95" w:type="dxa"/>
        <w:tblLook w:val="04A0" w:firstRow="1" w:lastRow="0" w:firstColumn="1" w:lastColumn="0" w:noHBand="0" w:noVBand="1"/>
      </w:tblPr>
      <w:tblGrid>
        <w:gridCol w:w="8995"/>
      </w:tblGrid>
      <w:tr w:rsidR="00662A00" w:rsidRPr="00A1049A" w14:paraId="67D957D7" w14:textId="77777777" w:rsidTr="00D432F8">
        <w:tc>
          <w:tcPr>
            <w:tcW w:w="8995" w:type="dxa"/>
            <w:shd w:val="clear" w:color="auto" w:fill="E7E6E6" w:themeFill="background2"/>
          </w:tcPr>
          <w:p w14:paraId="14EAFB0C" w14:textId="77777777" w:rsidR="00662A00" w:rsidRDefault="00662A00" w:rsidP="00151CF6">
            <w:pPr>
              <w:jc w:val="center"/>
              <w:rPr>
                <w:b/>
                <w:bCs/>
                <w:lang w:val="en-US"/>
              </w:rPr>
            </w:pPr>
          </w:p>
          <w:p w14:paraId="15ADBA87" w14:textId="630B4DA8" w:rsidR="00662A00" w:rsidRPr="00763FC2" w:rsidRDefault="00662A00" w:rsidP="00151CF6">
            <w:pPr>
              <w:jc w:val="center"/>
              <w:rPr>
                <w:b/>
                <w:bCs/>
                <w:sz w:val="24"/>
                <w:szCs w:val="24"/>
                <w:lang w:val="en-US"/>
              </w:rPr>
            </w:pPr>
            <w:r w:rsidRPr="00763FC2">
              <w:rPr>
                <w:b/>
                <w:bCs/>
                <w:sz w:val="24"/>
                <w:szCs w:val="24"/>
                <w:lang w:val="en-US"/>
              </w:rPr>
              <w:t xml:space="preserve">Moody’s : </w:t>
            </w:r>
            <w:r>
              <w:rPr>
                <w:b/>
                <w:bCs/>
                <w:sz w:val="24"/>
                <w:szCs w:val="24"/>
                <w:lang w:val="en-US"/>
              </w:rPr>
              <w:t>Baa</w:t>
            </w:r>
            <w:r w:rsidR="00747BC8">
              <w:rPr>
                <w:b/>
                <w:bCs/>
                <w:sz w:val="24"/>
                <w:szCs w:val="24"/>
                <w:lang w:val="en-US"/>
              </w:rPr>
              <w:t>1</w:t>
            </w:r>
            <w:r w:rsidR="00FB1B23">
              <w:rPr>
                <w:b/>
                <w:bCs/>
                <w:sz w:val="24"/>
                <w:szCs w:val="24"/>
                <w:lang w:val="en-US"/>
              </w:rPr>
              <w:t xml:space="preserve">, </w:t>
            </w:r>
            <w:r w:rsidR="00747BC8" w:rsidRPr="000E5546">
              <w:rPr>
                <w:b/>
                <w:bCs/>
                <w:sz w:val="20"/>
                <w:szCs w:val="20"/>
                <w:lang w:val="en-US"/>
              </w:rPr>
              <w:t>Positive</w:t>
            </w:r>
            <w:r w:rsidR="00FB1B23">
              <w:rPr>
                <w:b/>
                <w:bCs/>
                <w:sz w:val="24"/>
                <w:szCs w:val="24"/>
                <w:lang w:val="en-US"/>
              </w:rPr>
              <w:t xml:space="preserve"> |</w:t>
            </w:r>
            <w:r w:rsidRPr="00763FC2">
              <w:rPr>
                <w:b/>
                <w:bCs/>
                <w:sz w:val="24"/>
                <w:szCs w:val="24"/>
                <w:lang w:val="en-US"/>
              </w:rPr>
              <w:t xml:space="preserve"> Fitch : </w:t>
            </w:r>
            <w:r w:rsidR="008F7262">
              <w:rPr>
                <w:b/>
                <w:bCs/>
                <w:sz w:val="24"/>
                <w:szCs w:val="24"/>
                <w:lang w:val="en-US"/>
              </w:rPr>
              <w:t>A</w:t>
            </w:r>
            <w:r>
              <w:rPr>
                <w:b/>
                <w:bCs/>
                <w:sz w:val="24"/>
                <w:szCs w:val="24"/>
                <w:lang w:val="en-US"/>
              </w:rPr>
              <w:t>-</w:t>
            </w:r>
            <w:r w:rsidR="00FB1B23">
              <w:rPr>
                <w:b/>
                <w:bCs/>
                <w:sz w:val="24"/>
                <w:szCs w:val="24"/>
                <w:lang w:val="en-US"/>
              </w:rPr>
              <w:t xml:space="preserve">, </w:t>
            </w:r>
            <w:r w:rsidR="00FB1B23" w:rsidRPr="000E5546">
              <w:rPr>
                <w:b/>
                <w:bCs/>
                <w:sz w:val="20"/>
                <w:szCs w:val="20"/>
                <w:lang w:val="en-US"/>
              </w:rPr>
              <w:t>Stable</w:t>
            </w:r>
            <w:r>
              <w:rPr>
                <w:b/>
                <w:bCs/>
                <w:sz w:val="24"/>
                <w:szCs w:val="24"/>
                <w:lang w:val="en-US"/>
              </w:rPr>
              <w:t xml:space="preserve"> </w:t>
            </w:r>
            <w:r w:rsidR="007971CE">
              <w:rPr>
                <w:b/>
                <w:bCs/>
                <w:sz w:val="24"/>
                <w:szCs w:val="24"/>
                <w:lang w:val="en-US"/>
              </w:rPr>
              <w:t>|</w:t>
            </w:r>
            <w:r w:rsidR="007971CE" w:rsidRPr="00763FC2">
              <w:rPr>
                <w:b/>
                <w:bCs/>
                <w:sz w:val="24"/>
                <w:szCs w:val="24"/>
                <w:lang w:val="en-US"/>
              </w:rPr>
              <w:t xml:space="preserve"> </w:t>
            </w:r>
            <w:r>
              <w:rPr>
                <w:b/>
                <w:bCs/>
                <w:sz w:val="24"/>
                <w:szCs w:val="24"/>
                <w:lang w:val="en-US"/>
              </w:rPr>
              <w:t xml:space="preserve">S&amp;P : </w:t>
            </w:r>
            <w:r w:rsidR="008F7262">
              <w:rPr>
                <w:b/>
                <w:bCs/>
                <w:sz w:val="24"/>
                <w:szCs w:val="24"/>
                <w:lang w:val="en-US"/>
              </w:rPr>
              <w:t xml:space="preserve">A, </w:t>
            </w:r>
            <w:r w:rsidR="008F7262" w:rsidRPr="000E5546">
              <w:rPr>
                <w:b/>
                <w:bCs/>
                <w:sz w:val="20"/>
                <w:szCs w:val="20"/>
                <w:lang w:val="en-US"/>
              </w:rPr>
              <w:t>Stable</w:t>
            </w:r>
          </w:p>
          <w:p w14:paraId="44D9853D" w14:textId="77777777" w:rsidR="00662A00" w:rsidRDefault="00662A00" w:rsidP="00151CF6">
            <w:pPr>
              <w:jc w:val="both"/>
              <w:rPr>
                <w:lang w:val="en-US"/>
              </w:rPr>
            </w:pPr>
          </w:p>
        </w:tc>
      </w:tr>
    </w:tbl>
    <w:p w14:paraId="6496C5C3" w14:textId="77777777" w:rsidR="00C71EC2" w:rsidRDefault="00C71EC2">
      <w:pPr>
        <w:rPr>
          <w:lang w:val="en-US"/>
        </w:rPr>
      </w:pPr>
    </w:p>
    <w:tbl>
      <w:tblPr>
        <w:tblStyle w:val="TableGrid"/>
        <w:tblW w:w="8995" w:type="dxa"/>
        <w:tblLook w:val="04A0" w:firstRow="1" w:lastRow="0" w:firstColumn="1" w:lastColumn="0" w:noHBand="0" w:noVBand="1"/>
      </w:tblPr>
      <w:tblGrid>
        <w:gridCol w:w="4405"/>
        <w:gridCol w:w="4590"/>
      </w:tblGrid>
      <w:tr w:rsidR="00A31D7D" w:rsidRPr="00A1049A" w14:paraId="3D961700" w14:textId="77777777" w:rsidTr="00D432F8">
        <w:trPr>
          <w:trHeight w:val="2942"/>
        </w:trPr>
        <w:tc>
          <w:tcPr>
            <w:tcW w:w="4405" w:type="dxa"/>
          </w:tcPr>
          <w:p w14:paraId="384EDFB6" w14:textId="7101D1A9" w:rsidR="00A31D7D" w:rsidRPr="006F0C21" w:rsidRDefault="00C6710E" w:rsidP="00BF1044">
            <w:pPr>
              <w:jc w:val="center"/>
              <w:rPr>
                <w:b/>
                <w:bCs/>
                <w:color w:val="70AD47" w:themeColor="accent6"/>
                <w:u w:val="single"/>
                <w:lang w:val="fr-BE"/>
              </w:rPr>
            </w:pPr>
            <w:proofErr w:type="spellStart"/>
            <w:r>
              <w:rPr>
                <w:b/>
                <w:bCs/>
                <w:color w:val="70AD47" w:themeColor="accent6"/>
                <w:u w:val="single"/>
                <w:lang w:val="fr-BE"/>
              </w:rPr>
              <w:t>Strengths</w:t>
            </w:r>
            <w:proofErr w:type="spellEnd"/>
          </w:p>
          <w:p w14:paraId="44E912C6" w14:textId="77777777" w:rsidR="00A31D7D" w:rsidRDefault="00A31D7D" w:rsidP="00BF1044">
            <w:pPr>
              <w:jc w:val="both"/>
              <w:rPr>
                <w:b/>
                <w:bCs/>
                <w:lang w:val="fr-BE"/>
              </w:rPr>
            </w:pPr>
          </w:p>
          <w:p w14:paraId="43E6B9F8" w14:textId="320210D2" w:rsidR="00C6710E" w:rsidRPr="0024623A" w:rsidRDefault="00C6710E" w:rsidP="0024623A">
            <w:pPr>
              <w:pStyle w:val="ListParagraph"/>
              <w:numPr>
                <w:ilvl w:val="0"/>
                <w:numId w:val="1"/>
              </w:numPr>
              <w:jc w:val="both"/>
              <w:rPr>
                <w:b/>
                <w:bCs/>
                <w:lang w:val="en-US"/>
              </w:rPr>
            </w:pPr>
            <w:r w:rsidRPr="0024623A">
              <w:rPr>
                <w:b/>
                <w:bCs/>
                <w:lang w:val="en-US"/>
              </w:rPr>
              <w:t>Dynamic growth well ahead of other countries in the zone</w:t>
            </w:r>
          </w:p>
          <w:p w14:paraId="02E7B3AC" w14:textId="0DE475A6" w:rsidR="00C6710E" w:rsidRPr="00A1049A" w:rsidRDefault="00C6710E" w:rsidP="00115362">
            <w:pPr>
              <w:pStyle w:val="ListParagraph"/>
              <w:numPr>
                <w:ilvl w:val="0"/>
                <w:numId w:val="1"/>
              </w:numPr>
              <w:jc w:val="both"/>
              <w:rPr>
                <w:b/>
                <w:bCs/>
                <w:lang w:val="en-US"/>
              </w:rPr>
            </w:pPr>
            <w:r w:rsidRPr="00C6710E">
              <w:rPr>
                <w:b/>
                <w:bCs/>
                <w:lang w:val="en-US"/>
              </w:rPr>
              <w:t>The country is on a path of fiscal consolidation (debt and deficit reduction)</w:t>
            </w:r>
          </w:p>
          <w:p w14:paraId="6924B403" w14:textId="319655A7" w:rsidR="00115362" w:rsidRPr="00115362" w:rsidRDefault="00C6710E" w:rsidP="00115362">
            <w:pPr>
              <w:pStyle w:val="ListParagraph"/>
              <w:numPr>
                <w:ilvl w:val="0"/>
                <w:numId w:val="1"/>
              </w:numPr>
              <w:jc w:val="both"/>
              <w:rPr>
                <w:b/>
                <w:bCs/>
                <w:lang w:val="fr-BE"/>
              </w:rPr>
            </w:pPr>
            <w:r w:rsidRPr="00C6710E">
              <w:rPr>
                <w:b/>
                <w:bCs/>
                <w:lang w:val="fr-BE"/>
              </w:rPr>
              <w:t xml:space="preserve">Comparative </w:t>
            </w:r>
            <w:proofErr w:type="spellStart"/>
            <w:r w:rsidRPr="00C6710E">
              <w:rPr>
                <w:b/>
                <w:bCs/>
                <w:lang w:val="fr-BE"/>
              </w:rPr>
              <w:t>advantage</w:t>
            </w:r>
            <w:proofErr w:type="spellEnd"/>
            <w:r w:rsidRPr="00C6710E">
              <w:rPr>
                <w:b/>
                <w:bCs/>
                <w:lang w:val="fr-BE"/>
              </w:rPr>
              <w:t xml:space="preserve"> in </w:t>
            </w:r>
            <w:proofErr w:type="spellStart"/>
            <w:r w:rsidRPr="00C6710E">
              <w:rPr>
                <w:b/>
                <w:bCs/>
                <w:lang w:val="fr-BE"/>
              </w:rPr>
              <w:t>renewable</w:t>
            </w:r>
            <w:proofErr w:type="spellEnd"/>
            <w:r w:rsidRPr="00C6710E">
              <w:rPr>
                <w:b/>
                <w:bCs/>
                <w:lang w:val="fr-BE"/>
              </w:rPr>
              <w:t xml:space="preserve"> energies</w:t>
            </w:r>
          </w:p>
        </w:tc>
        <w:tc>
          <w:tcPr>
            <w:tcW w:w="4590" w:type="dxa"/>
          </w:tcPr>
          <w:p w14:paraId="401ACA08" w14:textId="54D42453" w:rsidR="00A31D7D" w:rsidRPr="006F0C21" w:rsidRDefault="00C6710E" w:rsidP="00BF1044">
            <w:pPr>
              <w:jc w:val="center"/>
              <w:rPr>
                <w:b/>
                <w:bCs/>
                <w:color w:val="FF0000"/>
                <w:u w:val="single"/>
                <w:lang w:val="fr-BE"/>
              </w:rPr>
            </w:pPr>
            <w:proofErr w:type="spellStart"/>
            <w:r>
              <w:rPr>
                <w:b/>
                <w:bCs/>
                <w:color w:val="FF0000"/>
                <w:u w:val="single"/>
                <w:lang w:val="fr-BE"/>
              </w:rPr>
              <w:t>Weaknesses</w:t>
            </w:r>
            <w:proofErr w:type="spellEnd"/>
          </w:p>
          <w:p w14:paraId="5EC560CF" w14:textId="77777777" w:rsidR="00A31D7D" w:rsidRDefault="00A31D7D" w:rsidP="00BF1044">
            <w:pPr>
              <w:jc w:val="both"/>
              <w:rPr>
                <w:b/>
                <w:bCs/>
                <w:lang w:val="fr-BE"/>
              </w:rPr>
            </w:pPr>
          </w:p>
          <w:p w14:paraId="5A16A128" w14:textId="6147502F" w:rsidR="00C6710E" w:rsidRPr="00C6710E" w:rsidRDefault="00C6710E" w:rsidP="00C6710E">
            <w:pPr>
              <w:pStyle w:val="ListParagraph"/>
              <w:numPr>
                <w:ilvl w:val="0"/>
                <w:numId w:val="1"/>
              </w:numPr>
              <w:jc w:val="both"/>
              <w:rPr>
                <w:b/>
                <w:bCs/>
                <w:lang w:val="en-US"/>
              </w:rPr>
            </w:pPr>
            <w:r w:rsidRPr="00C6710E">
              <w:rPr>
                <w:b/>
                <w:bCs/>
                <w:lang w:val="en-US"/>
              </w:rPr>
              <w:t>The ruling coalition is fragile and could be jeopardized by Catalan independence aspirations.</w:t>
            </w:r>
          </w:p>
          <w:p w14:paraId="014EBE85" w14:textId="77777777" w:rsidR="00AD7B2D" w:rsidRDefault="00AD7B2D" w:rsidP="007F6153">
            <w:pPr>
              <w:pStyle w:val="ListParagraph"/>
              <w:numPr>
                <w:ilvl w:val="0"/>
                <w:numId w:val="1"/>
              </w:numPr>
              <w:jc w:val="both"/>
              <w:rPr>
                <w:b/>
                <w:bCs/>
                <w:lang w:val="en-US"/>
              </w:rPr>
            </w:pPr>
            <w:r w:rsidRPr="00AD7B2D">
              <w:rPr>
                <w:b/>
                <w:bCs/>
                <w:lang w:val="en-US"/>
              </w:rPr>
              <w:t>Despite historically low unemployment to date, the job market is still facing major structural difficulties.</w:t>
            </w:r>
          </w:p>
          <w:p w14:paraId="4488579E" w14:textId="2DE9E6FA" w:rsidR="00115362" w:rsidRPr="007F6153" w:rsidRDefault="00C6710E" w:rsidP="007F6153">
            <w:pPr>
              <w:pStyle w:val="ListParagraph"/>
              <w:numPr>
                <w:ilvl w:val="0"/>
                <w:numId w:val="1"/>
              </w:numPr>
              <w:jc w:val="both"/>
              <w:rPr>
                <w:b/>
                <w:bCs/>
                <w:lang w:val="en-US"/>
              </w:rPr>
            </w:pPr>
            <w:r w:rsidRPr="00C6710E">
              <w:rPr>
                <w:b/>
                <w:bCs/>
                <w:lang w:val="en-US"/>
              </w:rPr>
              <w:t xml:space="preserve">High dependence on energy imports </w:t>
            </w:r>
          </w:p>
        </w:tc>
      </w:tr>
    </w:tbl>
    <w:p w14:paraId="284790FA" w14:textId="77777777" w:rsidR="002D29A0" w:rsidRPr="00C6710E" w:rsidRDefault="002D29A0" w:rsidP="00FE4A47">
      <w:pPr>
        <w:jc w:val="both"/>
        <w:rPr>
          <w:b/>
          <w:bCs/>
          <w:highlight w:val="lightGray"/>
          <w:lang w:val="en-US"/>
        </w:rPr>
      </w:pPr>
    </w:p>
    <w:p w14:paraId="0482419E" w14:textId="2AA7FED1" w:rsidR="00C6710E" w:rsidRDefault="00355A82" w:rsidP="00FE4A47">
      <w:pPr>
        <w:jc w:val="both"/>
        <w:rPr>
          <w:b/>
          <w:bCs/>
          <w:lang w:val="en-US"/>
        </w:rPr>
      </w:pPr>
      <w:r>
        <w:rPr>
          <w:b/>
          <w:bCs/>
          <w:highlight w:val="lightGray"/>
          <w:lang w:val="en-US"/>
        </w:rPr>
        <w:t xml:space="preserve">Abstract </w:t>
      </w:r>
      <w:r w:rsidRPr="00355A82">
        <w:rPr>
          <w:b/>
          <w:bCs/>
          <w:highlight w:val="lightGray"/>
          <w:lang w:val="en-US"/>
        </w:rPr>
        <w:t xml:space="preserve">: Spain is currently experiencing growth that is reflected in an improvement in most of its macroeconomic indicators (fiscal consolidation, reduction in public debt). This growth is rooted in private consumption, which has been reinforced by a more efficient labor market and rising real incomes at a time of inflation (expected to return to 3% in 2024, 2.3% in 2025). However, there are several factors that could worsen the situation in the medium term, including: the issue of Catalan independence, which could lead to a major political reshuffle; difficulties in eliminating </w:t>
      </w:r>
      <w:r>
        <w:rPr>
          <w:b/>
          <w:bCs/>
          <w:highlight w:val="lightGray"/>
          <w:lang w:val="en-US"/>
        </w:rPr>
        <w:t xml:space="preserve">structural </w:t>
      </w:r>
      <w:r w:rsidRPr="00355A82">
        <w:rPr>
          <w:b/>
          <w:bCs/>
          <w:highlight w:val="lightGray"/>
          <w:lang w:val="en-US"/>
        </w:rPr>
        <w:t>unemployment</w:t>
      </w:r>
      <w:r>
        <w:rPr>
          <w:b/>
          <w:bCs/>
          <w:highlight w:val="lightGray"/>
          <w:lang w:val="en-US"/>
        </w:rPr>
        <w:t>,</w:t>
      </w:r>
      <w:r w:rsidRPr="00355A82">
        <w:rPr>
          <w:b/>
          <w:bCs/>
          <w:highlight w:val="lightGray"/>
          <w:lang w:val="en-US"/>
        </w:rPr>
        <w:t xml:space="preserve"> and heavy dependence on energy imports</w:t>
      </w:r>
      <w:r>
        <w:rPr>
          <w:b/>
          <w:bCs/>
          <w:lang w:val="en-US"/>
        </w:rPr>
        <w:t>.</w:t>
      </w:r>
    </w:p>
    <w:p w14:paraId="70F0268B" w14:textId="77777777" w:rsidR="00142B3B" w:rsidRDefault="00142B3B" w:rsidP="00FE4A47">
      <w:pPr>
        <w:jc w:val="both"/>
        <w:rPr>
          <w:b/>
          <w:bCs/>
          <w:lang w:val="en-US"/>
        </w:rPr>
      </w:pPr>
    </w:p>
    <w:p w14:paraId="73D48ED3" w14:textId="77777777" w:rsidR="00142B3B" w:rsidRDefault="00142B3B" w:rsidP="00142B3B">
      <w:pPr>
        <w:keepNext/>
        <w:jc w:val="both"/>
      </w:pPr>
      <w:r>
        <w:rPr>
          <w:noProof/>
        </w:rPr>
        <w:drawing>
          <wp:inline distT="0" distB="0" distL="0" distR="0" wp14:anchorId="1FF03413" wp14:editId="6B79AFF8">
            <wp:extent cx="5801364" cy="32543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6084" cy="3279461"/>
                    </a:xfrm>
                    <a:prstGeom prst="rect">
                      <a:avLst/>
                    </a:prstGeom>
                  </pic:spPr>
                </pic:pic>
              </a:graphicData>
            </a:graphic>
          </wp:inline>
        </w:drawing>
      </w:r>
    </w:p>
    <w:p w14:paraId="4F267788" w14:textId="68C08DF4" w:rsidR="00142B3B" w:rsidRPr="00142B3B" w:rsidRDefault="00DD3E4F" w:rsidP="00142B3B">
      <w:pPr>
        <w:pStyle w:val="Caption"/>
        <w:jc w:val="center"/>
        <w:rPr>
          <w:b/>
          <w:bCs/>
          <w:lang w:val="en-US"/>
        </w:rPr>
      </w:pPr>
      <w:r>
        <w:rPr>
          <w:lang w:val="en-US"/>
        </w:rPr>
        <w:t xml:space="preserve">Table and data are </w:t>
      </w:r>
      <w:r w:rsidR="00142B3B" w:rsidRPr="00142B3B">
        <w:rPr>
          <w:lang w:val="en-US"/>
        </w:rPr>
        <w:t>from</w:t>
      </w:r>
      <w:r w:rsidR="00142B3B" w:rsidRPr="00142B3B">
        <w:rPr>
          <w:b/>
          <w:bCs/>
          <w:lang w:val="en-US"/>
        </w:rPr>
        <w:t xml:space="preserve"> Fitch Connect</w:t>
      </w:r>
    </w:p>
    <w:p w14:paraId="0B212B61" w14:textId="77777777" w:rsidR="00355A82" w:rsidRPr="00C6710E" w:rsidRDefault="00355A82" w:rsidP="00FE4A47">
      <w:pPr>
        <w:jc w:val="both"/>
        <w:rPr>
          <w:b/>
          <w:bCs/>
          <w:lang w:val="en-US"/>
        </w:rPr>
      </w:pPr>
    </w:p>
    <w:p w14:paraId="2CF60E81" w14:textId="77777777" w:rsidR="00142B3B" w:rsidRDefault="00142B3B" w:rsidP="00FE4A47">
      <w:pPr>
        <w:jc w:val="both"/>
        <w:rPr>
          <w:u w:val="single"/>
          <w:lang w:val="en-US"/>
        </w:rPr>
      </w:pPr>
    </w:p>
    <w:p w14:paraId="0B4F4BC6" w14:textId="76973AD9" w:rsidR="00662A00" w:rsidRPr="00C6710E" w:rsidRDefault="00C6710E" w:rsidP="00FE4A47">
      <w:pPr>
        <w:jc w:val="both"/>
        <w:rPr>
          <w:u w:val="single"/>
          <w:lang w:val="en-US"/>
        </w:rPr>
      </w:pPr>
      <w:r w:rsidRPr="00C6710E">
        <w:rPr>
          <w:u w:val="single"/>
          <w:lang w:val="en-US"/>
        </w:rPr>
        <w:lastRenderedPageBreak/>
        <w:t>Important reminders</w:t>
      </w:r>
    </w:p>
    <w:p w14:paraId="0EF28485" w14:textId="77777777" w:rsidR="00AD7B2D" w:rsidRDefault="00AD7B2D" w:rsidP="00C6710E">
      <w:pPr>
        <w:jc w:val="both"/>
        <w:rPr>
          <w:lang w:val="en-US"/>
        </w:rPr>
      </w:pPr>
      <w:r w:rsidRPr="00AD7B2D">
        <w:rPr>
          <w:lang w:val="en-US"/>
        </w:rPr>
        <w:t xml:space="preserve">Spain has a population of </w:t>
      </w:r>
      <w:r w:rsidRPr="00AD7B2D">
        <w:rPr>
          <w:b/>
          <w:bCs/>
          <w:lang w:val="en-US"/>
        </w:rPr>
        <w:t>47 million</w:t>
      </w:r>
      <w:r w:rsidRPr="00AD7B2D">
        <w:rPr>
          <w:lang w:val="en-US"/>
        </w:rPr>
        <w:t xml:space="preserve">, is the </w:t>
      </w:r>
      <w:r w:rsidRPr="00AD7B2D">
        <w:rPr>
          <w:b/>
          <w:bCs/>
          <w:lang w:val="en-US"/>
        </w:rPr>
        <w:t xml:space="preserve">fourth largest country in Europe in terms of surface </w:t>
      </w:r>
      <w:proofErr w:type="gramStart"/>
      <w:r w:rsidRPr="00AD7B2D">
        <w:rPr>
          <w:b/>
          <w:bCs/>
          <w:lang w:val="en-US"/>
        </w:rPr>
        <w:t>area</w:t>
      </w:r>
      <w:r w:rsidRPr="00AD7B2D">
        <w:rPr>
          <w:lang w:val="en-US"/>
        </w:rPr>
        <w:t>, and</w:t>
      </w:r>
      <w:proofErr w:type="gramEnd"/>
      <w:r w:rsidRPr="00AD7B2D">
        <w:rPr>
          <w:lang w:val="en-US"/>
        </w:rPr>
        <w:t xml:space="preserve"> has a </w:t>
      </w:r>
      <w:r w:rsidRPr="00AD7B2D">
        <w:rPr>
          <w:b/>
          <w:bCs/>
          <w:lang w:val="en-US"/>
        </w:rPr>
        <w:t>GDP per capita of €30,300</w:t>
      </w:r>
      <w:r w:rsidRPr="00AD7B2D">
        <w:rPr>
          <w:lang w:val="en-US"/>
        </w:rPr>
        <w:t xml:space="preserve">. The country contributes </w:t>
      </w:r>
      <w:r w:rsidRPr="00AD7B2D">
        <w:rPr>
          <w:b/>
          <w:bCs/>
          <w:lang w:val="en-US"/>
        </w:rPr>
        <w:t>8.3% of the European Union's total GDP</w:t>
      </w:r>
      <w:r w:rsidRPr="00AD7B2D">
        <w:rPr>
          <w:lang w:val="en-US"/>
        </w:rPr>
        <w:t xml:space="preserve">, had an unemployment rate of </w:t>
      </w:r>
      <w:r w:rsidRPr="00AD7B2D">
        <w:rPr>
          <w:b/>
          <w:bCs/>
          <w:lang w:val="en-US"/>
        </w:rPr>
        <w:t>12.29% in Q1 2024</w:t>
      </w:r>
      <w:r w:rsidRPr="00AD7B2D">
        <w:rPr>
          <w:lang w:val="en-US"/>
        </w:rPr>
        <w:t xml:space="preserve">, and an </w:t>
      </w:r>
      <w:r w:rsidRPr="00AD7B2D">
        <w:rPr>
          <w:b/>
          <w:bCs/>
          <w:lang w:val="en-US"/>
        </w:rPr>
        <w:t>HDI of 0.905 in 2021</w:t>
      </w:r>
      <w:r w:rsidRPr="00AD7B2D">
        <w:rPr>
          <w:lang w:val="en-US"/>
        </w:rPr>
        <w:t xml:space="preserve"> (ranked 27th in the world).</w:t>
      </w:r>
    </w:p>
    <w:p w14:paraId="03104A9F" w14:textId="6295267D" w:rsidR="00C6710E" w:rsidRPr="004D497D" w:rsidRDefault="00C6710E" w:rsidP="00C6710E">
      <w:pPr>
        <w:jc w:val="both"/>
        <w:rPr>
          <w:b/>
          <w:bCs/>
          <w:lang w:val="en-US"/>
        </w:rPr>
      </w:pPr>
      <w:r w:rsidRPr="00C6710E">
        <w:rPr>
          <w:lang w:val="en-US"/>
        </w:rPr>
        <w:t xml:space="preserve">The 1978 Constitution in force today states that the "Spanish nation" is "indivisible", but also recognizes "the right of nationalities to autonomy", which could allow us to describe </w:t>
      </w:r>
      <w:r w:rsidRPr="004D497D">
        <w:rPr>
          <w:b/>
          <w:bCs/>
          <w:lang w:val="en-US"/>
        </w:rPr>
        <w:t>Spain as a "semi-federal" state.</w:t>
      </w:r>
    </w:p>
    <w:p w14:paraId="230B70BB" w14:textId="567FCEC5" w:rsidR="00C6710E" w:rsidRPr="00C6710E" w:rsidRDefault="00C6710E" w:rsidP="00C6710E">
      <w:pPr>
        <w:jc w:val="both"/>
        <w:rPr>
          <w:lang w:val="en-US"/>
        </w:rPr>
      </w:pPr>
      <w:r w:rsidRPr="00C6710E">
        <w:rPr>
          <w:lang w:val="en-US"/>
        </w:rPr>
        <w:t xml:space="preserve">Spain is a constitutional parliamentary monarchy. King Felipe VI, reigning since June 19, 2014, is head of state, while Prime Minister Pedro Sánchez (from the Spanish Socialist Workers' Party) has been </w:t>
      </w:r>
      <w:r w:rsidR="0024623A" w:rsidRPr="00C6710E">
        <w:rPr>
          <w:lang w:val="en-US"/>
        </w:rPr>
        <w:t>heading</w:t>
      </w:r>
      <w:r w:rsidRPr="00C6710E">
        <w:rPr>
          <w:lang w:val="en-US"/>
        </w:rPr>
        <w:t xml:space="preserve"> of government since June 2, 2018. </w:t>
      </w:r>
    </w:p>
    <w:p w14:paraId="08F08DE8" w14:textId="77777777" w:rsidR="00C6710E" w:rsidRPr="00C6710E" w:rsidRDefault="00C6710E" w:rsidP="00C6710E">
      <w:pPr>
        <w:jc w:val="both"/>
        <w:rPr>
          <w:lang w:val="en-US"/>
        </w:rPr>
      </w:pPr>
      <w:r w:rsidRPr="00C6710E">
        <w:rPr>
          <w:lang w:val="en-US"/>
        </w:rPr>
        <w:t xml:space="preserve">After a </w:t>
      </w:r>
      <w:r w:rsidRPr="004D497D">
        <w:rPr>
          <w:b/>
          <w:bCs/>
          <w:lang w:val="en-US"/>
        </w:rPr>
        <w:t>major recession in the early 2010s</w:t>
      </w:r>
      <w:r w:rsidRPr="00C6710E">
        <w:rPr>
          <w:lang w:val="en-US"/>
        </w:rPr>
        <w:t xml:space="preserve"> (subprime crisis and bursting of the real estate bubble in 2008, sovereign debt crisis in 2012), the </w:t>
      </w:r>
      <w:r w:rsidRPr="004D497D">
        <w:rPr>
          <w:b/>
          <w:bCs/>
          <w:lang w:val="en-US"/>
        </w:rPr>
        <w:t>Spanish economy has since experienced a period of catch-up that began in 2014</w:t>
      </w:r>
      <w:r w:rsidRPr="00C6710E">
        <w:rPr>
          <w:lang w:val="en-US"/>
        </w:rPr>
        <w:t xml:space="preserve">, with growth above the eurozone average. </w:t>
      </w:r>
    </w:p>
    <w:p w14:paraId="71217F5E" w14:textId="77777777" w:rsidR="00C6710E" w:rsidRDefault="00C6710E" w:rsidP="00C6710E">
      <w:pPr>
        <w:jc w:val="both"/>
        <w:rPr>
          <w:lang w:val="en-US"/>
        </w:rPr>
      </w:pPr>
      <w:r w:rsidRPr="00C6710E">
        <w:rPr>
          <w:lang w:val="en-US"/>
        </w:rPr>
        <w:t xml:space="preserve">The </w:t>
      </w:r>
      <w:r w:rsidRPr="004D497D">
        <w:rPr>
          <w:b/>
          <w:bCs/>
          <w:lang w:val="en-US"/>
        </w:rPr>
        <w:t>Covid crisis brought this positive momentum to a halt</w:t>
      </w:r>
      <w:r w:rsidRPr="00C6710E">
        <w:rPr>
          <w:lang w:val="en-US"/>
        </w:rPr>
        <w:t>, with GDP falling by 11.3% in 2020, the steepest drop among eurozone countries. This was due in particular to the closure of Spain's borders, which deprived it of revenue from tourism, which accounts for around 13% of the country's wealth.</w:t>
      </w:r>
    </w:p>
    <w:p w14:paraId="7CC55D52" w14:textId="20979DB2" w:rsidR="00B26765" w:rsidRDefault="00C6710E" w:rsidP="00FE4A47">
      <w:pPr>
        <w:jc w:val="both"/>
        <w:rPr>
          <w:b/>
          <w:bCs/>
          <w:lang w:val="en-US"/>
        </w:rPr>
      </w:pPr>
      <w:r w:rsidRPr="00C6710E">
        <w:rPr>
          <w:b/>
          <w:bCs/>
          <w:lang w:val="en-US"/>
        </w:rPr>
        <w:t>Since then, the Spanish economy has been on the rebound, with GDP set to grow by 5.5% in 2021, 5% in 2022 and 2.5% in 2023, well above the European average (0.8%).</w:t>
      </w:r>
    </w:p>
    <w:p w14:paraId="7E89E296" w14:textId="77777777" w:rsidR="00C6710E" w:rsidRPr="00C6710E" w:rsidRDefault="00C6710E" w:rsidP="00FE4A47">
      <w:pPr>
        <w:jc w:val="both"/>
        <w:rPr>
          <w:lang w:val="en-US"/>
        </w:rPr>
      </w:pPr>
    </w:p>
    <w:p w14:paraId="58AA3127" w14:textId="77777777" w:rsidR="00C6710E" w:rsidRPr="00C6710E" w:rsidRDefault="00C6710E" w:rsidP="00C6710E">
      <w:pPr>
        <w:jc w:val="both"/>
        <w:rPr>
          <w:u w:val="single"/>
          <w:lang w:val="en-US"/>
        </w:rPr>
      </w:pPr>
      <w:r w:rsidRPr="00C6710E">
        <w:rPr>
          <w:u w:val="single"/>
          <w:lang w:val="en-US"/>
        </w:rPr>
        <w:t>News</w:t>
      </w:r>
    </w:p>
    <w:p w14:paraId="142C926B" w14:textId="77777777" w:rsidR="00C6710E" w:rsidRPr="004D497D" w:rsidRDefault="00C6710E" w:rsidP="00C6710E">
      <w:pPr>
        <w:jc w:val="both"/>
        <w:rPr>
          <w:b/>
          <w:bCs/>
          <w:lang w:val="en-US"/>
        </w:rPr>
      </w:pPr>
      <w:r w:rsidRPr="00C6710E">
        <w:rPr>
          <w:lang w:val="en-US"/>
        </w:rPr>
        <w:t xml:space="preserve">On Tuesday June 25, 2024, the Spanish National Institute of Statistics published </w:t>
      </w:r>
      <w:r w:rsidRPr="004D497D">
        <w:rPr>
          <w:b/>
          <w:bCs/>
          <w:lang w:val="en-US"/>
        </w:rPr>
        <w:t xml:space="preserve">an estimate of growth in the Spanish economy. It reached 0.8% in the first quarter, 0.1 points higher than initially forecast, thanks to strong consumption and dynamic exports. </w:t>
      </w:r>
    </w:p>
    <w:p w14:paraId="0CF9BFE8" w14:textId="77777777" w:rsidR="00C6710E" w:rsidRPr="004D497D" w:rsidRDefault="00C6710E" w:rsidP="00C6710E">
      <w:pPr>
        <w:jc w:val="both"/>
        <w:rPr>
          <w:lang w:val="en-US"/>
        </w:rPr>
      </w:pPr>
      <w:r w:rsidRPr="00C6710E">
        <w:rPr>
          <w:lang w:val="en-US"/>
        </w:rPr>
        <w:t xml:space="preserve">On Wednesday April 24, 2024, the head of the Spanish government announced </w:t>
      </w:r>
      <w:r w:rsidRPr="004D497D">
        <w:rPr>
          <w:b/>
          <w:bCs/>
          <w:lang w:val="en-US"/>
        </w:rPr>
        <w:t xml:space="preserve">that he was considering resigning because of a preliminary investigation into his wife for </w:t>
      </w:r>
      <w:r w:rsidRPr="004D497D">
        <w:rPr>
          <w:lang w:val="en-US"/>
        </w:rPr>
        <w:t xml:space="preserve">corruption. In the end, he decided to remain Prime Minister. </w:t>
      </w:r>
    </w:p>
    <w:p w14:paraId="77E7CAF7" w14:textId="562D5F21" w:rsidR="00AA7FC2" w:rsidRDefault="00C6710E" w:rsidP="00C6710E">
      <w:pPr>
        <w:jc w:val="both"/>
        <w:rPr>
          <w:lang w:val="en-US"/>
        </w:rPr>
      </w:pPr>
      <w:r w:rsidRPr="00C6710E">
        <w:rPr>
          <w:lang w:val="en-US"/>
        </w:rPr>
        <w:t xml:space="preserve">On Thursday May 30, 2024, </w:t>
      </w:r>
      <w:r w:rsidRPr="004D497D">
        <w:rPr>
          <w:b/>
          <w:bCs/>
          <w:lang w:val="en-US"/>
        </w:rPr>
        <w:t xml:space="preserve">Spanish deputies definitively adopted an amnesty law for Catalan independence </w:t>
      </w:r>
      <w:r w:rsidR="0024623A" w:rsidRPr="004D497D">
        <w:rPr>
          <w:b/>
          <w:bCs/>
          <w:lang w:val="en-US"/>
        </w:rPr>
        <w:t>leaders</w:t>
      </w:r>
      <w:r w:rsidRPr="004D497D">
        <w:rPr>
          <w:b/>
          <w:bCs/>
          <w:lang w:val="en-US"/>
        </w:rPr>
        <w:t>.</w:t>
      </w:r>
      <w:r w:rsidRPr="00C6710E">
        <w:rPr>
          <w:lang w:val="en-US"/>
        </w:rPr>
        <w:t xml:space="preserve"> This measure will allow pro-independence fighters still in exile after the 2017 secession attempt, such as former </w:t>
      </w:r>
      <w:proofErr w:type="spellStart"/>
      <w:r w:rsidRPr="00C6710E">
        <w:rPr>
          <w:lang w:val="en-US"/>
        </w:rPr>
        <w:t>Junts</w:t>
      </w:r>
      <w:proofErr w:type="spellEnd"/>
      <w:r w:rsidRPr="00C6710E">
        <w:rPr>
          <w:lang w:val="en-US"/>
        </w:rPr>
        <w:t xml:space="preserve"> leader Carles Puigdemont, to return to the country.</w:t>
      </w:r>
    </w:p>
    <w:p w14:paraId="45BBB1E7" w14:textId="77777777" w:rsidR="00C6710E" w:rsidRPr="00C6710E" w:rsidRDefault="00C6710E" w:rsidP="00C6710E">
      <w:pPr>
        <w:jc w:val="both"/>
        <w:rPr>
          <w:lang w:val="en-US"/>
        </w:rPr>
      </w:pPr>
    </w:p>
    <w:p w14:paraId="762BAB8D" w14:textId="6880BDC2" w:rsidR="00593C5A" w:rsidRPr="00A1049A" w:rsidRDefault="00593C5A" w:rsidP="00FE4A47">
      <w:pPr>
        <w:jc w:val="both"/>
        <w:rPr>
          <w:u w:val="single"/>
          <w:lang w:val="en-US"/>
        </w:rPr>
      </w:pPr>
      <w:r w:rsidRPr="00A1049A">
        <w:rPr>
          <w:u w:val="single"/>
          <w:lang w:val="en-US"/>
        </w:rPr>
        <w:t>Context</w:t>
      </w:r>
    </w:p>
    <w:p w14:paraId="326E94BC" w14:textId="3070C198" w:rsidR="00C6710E" w:rsidRPr="00C6710E" w:rsidRDefault="00C6710E" w:rsidP="00C6710E">
      <w:pPr>
        <w:jc w:val="both"/>
        <w:rPr>
          <w:lang w:val="en-US"/>
        </w:rPr>
      </w:pPr>
      <w:r w:rsidRPr="00C6710E">
        <w:rPr>
          <w:lang w:val="en-US"/>
        </w:rPr>
        <w:t xml:space="preserve">Following his party's </w:t>
      </w:r>
      <w:r>
        <w:rPr>
          <w:lang w:val="en-US"/>
        </w:rPr>
        <w:t>debacle</w:t>
      </w:r>
      <w:r w:rsidRPr="00C6710E">
        <w:rPr>
          <w:lang w:val="en-US"/>
        </w:rPr>
        <w:t xml:space="preserve"> in the </w:t>
      </w:r>
      <w:r w:rsidR="004D497D">
        <w:rPr>
          <w:lang w:val="en-US"/>
        </w:rPr>
        <w:t xml:space="preserve">2023 </w:t>
      </w:r>
      <w:r w:rsidRPr="00C6710E">
        <w:rPr>
          <w:lang w:val="en-US"/>
        </w:rPr>
        <w:t xml:space="preserve">local elections, </w:t>
      </w:r>
      <w:r w:rsidRPr="004D497D">
        <w:rPr>
          <w:b/>
          <w:bCs/>
          <w:lang w:val="en-US"/>
        </w:rPr>
        <w:t>Pedro Sánchez decided to dissolve the party and call early general elections for July 2023.</w:t>
      </w:r>
      <w:r w:rsidRPr="00C6710E">
        <w:rPr>
          <w:lang w:val="en-US"/>
        </w:rPr>
        <w:t xml:space="preserve"> The Popular Party, led by Albert Nunez </w:t>
      </w:r>
      <w:proofErr w:type="spellStart"/>
      <w:r w:rsidRPr="00C6710E">
        <w:rPr>
          <w:lang w:val="en-US"/>
        </w:rPr>
        <w:t>Feijoo</w:t>
      </w:r>
      <w:proofErr w:type="spellEnd"/>
      <w:r w:rsidRPr="00C6710E">
        <w:rPr>
          <w:lang w:val="en-US"/>
        </w:rPr>
        <w:t xml:space="preserve">, came out on top, while the incumbent Prime Minister's PSOE surprised everyone by coming in second, just two points behind the PP, thwarting predictions of an electoral landslide. </w:t>
      </w:r>
    </w:p>
    <w:p w14:paraId="574CB7A1" w14:textId="77777777" w:rsidR="00C6710E" w:rsidRPr="00C6710E" w:rsidRDefault="00C6710E" w:rsidP="00C6710E">
      <w:pPr>
        <w:jc w:val="both"/>
        <w:rPr>
          <w:lang w:val="en-US"/>
        </w:rPr>
      </w:pPr>
      <w:r w:rsidRPr="00C6710E">
        <w:rPr>
          <w:lang w:val="en-US"/>
        </w:rPr>
        <w:t>Although King Felipe VI nominated the PP leader as his candidate, he failed to gather enough support to secure a majority in Congress.</w:t>
      </w:r>
    </w:p>
    <w:p w14:paraId="474531DA" w14:textId="352D7255" w:rsidR="002233AD" w:rsidRPr="004D497D" w:rsidRDefault="00C6710E" w:rsidP="00C6710E">
      <w:pPr>
        <w:jc w:val="both"/>
        <w:rPr>
          <w:b/>
          <w:bCs/>
          <w:lang w:val="en-US"/>
        </w:rPr>
      </w:pPr>
      <w:r w:rsidRPr="004D497D">
        <w:rPr>
          <w:b/>
          <w:bCs/>
          <w:lang w:val="en-US"/>
        </w:rPr>
        <w:lastRenderedPageBreak/>
        <w:t xml:space="preserve">Sánchez was in turn nominated and managed to form a coalition comprising the PSOE, Sumar (radical left), peripheral nationalist parties and Catalan independence fighters (in return for the amnesty law mentioned above).  </w:t>
      </w:r>
    </w:p>
    <w:p w14:paraId="18D02434" w14:textId="77777777" w:rsidR="00C6710E" w:rsidRPr="00C6710E" w:rsidRDefault="00C6710E" w:rsidP="00C6710E">
      <w:pPr>
        <w:jc w:val="both"/>
        <w:rPr>
          <w:u w:val="single"/>
          <w:lang w:val="en-US"/>
        </w:rPr>
      </w:pPr>
    </w:p>
    <w:p w14:paraId="616EA3BE" w14:textId="56EA5A57" w:rsidR="005A5631" w:rsidRPr="002C486B" w:rsidRDefault="002C486B" w:rsidP="00FE4A47">
      <w:pPr>
        <w:jc w:val="both"/>
        <w:rPr>
          <w:u w:val="single"/>
          <w:lang w:val="en-US"/>
        </w:rPr>
      </w:pPr>
      <w:r w:rsidRPr="002C486B">
        <w:rPr>
          <w:u w:val="single"/>
          <w:lang w:val="en-US"/>
        </w:rPr>
        <w:t xml:space="preserve">Economic facts </w:t>
      </w:r>
    </w:p>
    <w:p w14:paraId="1B2145D0" w14:textId="77777777" w:rsidR="00AD7B2D" w:rsidRDefault="00AD7B2D" w:rsidP="002C486B">
      <w:pPr>
        <w:jc w:val="both"/>
        <w:rPr>
          <w:b/>
          <w:bCs/>
          <w:lang w:val="en-US"/>
        </w:rPr>
      </w:pPr>
      <w:r w:rsidRPr="00AD7B2D">
        <w:rPr>
          <w:b/>
          <w:bCs/>
          <w:lang w:val="en-US"/>
        </w:rPr>
        <w:t xml:space="preserve">After the various crises of the early 2010s, Spain returned to growth between 2015 and 2019, with GDP increasing by an average of 2.82% over this period, a much better result than other countries in the region. </w:t>
      </w:r>
    </w:p>
    <w:p w14:paraId="6CCE0556" w14:textId="6593EA8A" w:rsidR="00AD7B2D" w:rsidRPr="00AD7B2D" w:rsidRDefault="00AD7B2D" w:rsidP="00AD7B2D">
      <w:pPr>
        <w:jc w:val="both"/>
        <w:rPr>
          <w:b/>
          <w:bCs/>
          <w:lang w:val="en-US"/>
        </w:rPr>
      </w:pPr>
      <w:r w:rsidRPr="00AD7B2D">
        <w:rPr>
          <w:lang w:val="en-US"/>
        </w:rPr>
        <w:t xml:space="preserve">This positive momentum has also been reflected in the labor market, </w:t>
      </w:r>
      <w:r w:rsidRPr="00AD7B2D">
        <w:rPr>
          <w:b/>
          <w:bCs/>
          <w:lang w:val="en-US"/>
        </w:rPr>
        <w:t xml:space="preserve">with unemployment </w:t>
      </w:r>
      <w:r>
        <w:rPr>
          <w:b/>
          <w:bCs/>
          <w:lang w:val="en-US"/>
        </w:rPr>
        <w:t>divided by two</w:t>
      </w:r>
      <w:r w:rsidRPr="00AD7B2D">
        <w:rPr>
          <w:b/>
          <w:bCs/>
          <w:lang w:val="en-US"/>
        </w:rPr>
        <w:t xml:space="preserve"> from its previous endemic level (26.1% in 2013) to 12.92% by 2022.</w:t>
      </w:r>
    </w:p>
    <w:p w14:paraId="320F8A1F" w14:textId="77777777" w:rsidR="00AD7B2D" w:rsidRDefault="00AD7B2D" w:rsidP="00AD7B2D">
      <w:pPr>
        <w:jc w:val="both"/>
        <w:rPr>
          <w:b/>
          <w:bCs/>
          <w:lang w:val="en-US"/>
        </w:rPr>
      </w:pPr>
      <w:r w:rsidRPr="00AD7B2D">
        <w:rPr>
          <w:lang w:val="en-US"/>
        </w:rPr>
        <w:t xml:space="preserve">Despite this improvement in the labor market, </w:t>
      </w:r>
      <w:r w:rsidRPr="00AD7B2D">
        <w:rPr>
          <w:b/>
          <w:bCs/>
          <w:lang w:val="en-US"/>
        </w:rPr>
        <w:t>it remains plagued by major structural difficulties, such as the high proportion of fixed-term contracts (25.8% in Q1 2020), youth unemployment (28.2% in February 2024, the worst score in the EU) and long-term unemployment (36.1% of the unemployed had been looking for work for over a year in 2019).</w:t>
      </w:r>
    </w:p>
    <w:p w14:paraId="2F1C79F5" w14:textId="77777777" w:rsidR="00AD7B2D" w:rsidRPr="00AD7B2D" w:rsidRDefault="00AD7B2D" w:rsidP="002C486B">
      <w:pPr>
        <w:jc w:val="both"/>
        <w:rPr>
          <w:b/>
          <w:bCs/>
          <w:lang w:val="en-US"/>
        </w:rPr>
      </w:pPr>
      <w:r w:rsidRPr="00AD7B2D">
        <w:rPr>
          <w:lang w:val="en-US"/>
        </w:rPr>
        <w:t xml:space="preserve">After being severely impacted by the Covid crisis </w:t>
      </w:r>
      <w:r w:rsidRPr="00AD7B2D">
        <w:rPr>
          <w:b/>
          <w:bCs/>
          <w:lang w:val="en-US"/>
        </w:rPr>
        <w:t>(in 2020, the Spanish economy contracted by 11.2%, the biggest fall in the entire Union)</w:t>
      </w:r>
      <w:r w:rsidRPr="00AD7B2D">
        <w:rPr>
          <w:lang w:val="en-US"/>
        </w:rPr>
        <w:t xml:space="preserve">, the country has enjoyed a strong recovery and proved highly resilient in the wake of the pandemic and the war in Ukraine. </w:t>
      </w:r>
      <w:r w:rsidRPr="00AD7B2D">
        <w:rPr>
          <w:b/>
          <w:bCs/>
          <w:lang w:val="en-US"/>
        </w:rPr>
        <w:t xml:space="preserve">Economic activity should slow in </w:t>
      </w:r>
      <w:proofErr w:type="gramStart"/>
      <w:r w:rsidRPr="00AD7B2D">
        <w:rPr>
          <w:b/>
          <w:bCs/>
          <w:lang w:val="en-US"/>
        </w:rPr>
        <w:t>2024, but</w:t>
      </w:r>
      <w:proofErr w:type="gramEnd"/>
      <w:r w:rsidRPr="00AD7B2D">
        <w:rPr>
          <w:b/>
          <w:bCs/>
          <w:lang w:val="en-US"/>
        </w:rPr>
        <w:t xml:space="preserve"> remain above the eurozone average (forecasts suggest growth of around 2%). </w:t>
      </w:r>
    </w:p>
    <w:p w14:paraId="3E04AB07" w14:textId="365547DF" w:rsidR="00AD7B2D" w:rsidRDefault="00AD7B2D" w:rsidP="002C486B">
      <w:pPr>
        <w:jc w:val="both"/>
        <w:rPr>
          <w:lang w:val="en-US"/>
        </w:rPr>
      </w:pPr>
      <w:r w:rsidRPr="00AD7B2D">
        <w:rPr>
          <w:lang w:val="en-US"/>
        </w:rPr>
        <w:t xml:space="preserve">General inflation is forecast to average around 3% in 2024, falling gradually to 2.2% in 2025. As far as food prices are concerned, the base effect resulting from last year's sharp rises and data on agricultural costs, which have been showing a negative annual variation for several months, should relieve pressure on prices. </w:t>
      </w:r>
    </w:p>
    <w:p w14:paraId="4A99289C" w14:textId="5A710CCB" w:rsidR="002C486B" w:rsidRDefault="002C486B" w:rsidP="002C486B">
      <w:pPr>
        <w:jc w:val="both"/>
        <w:rPr>
          <w:lang w:val="en-US"/>
        </w:rPr>
      </w:pPr>
      <w:r w:rsidRPr="002C486B">
        <w:rPr>
          <w:lang w:val="en-US"/>
        </w:rPr>
        <w:t xml:space="preserve">As regards its external position, the </w:t>
      </w:r>
      <w:r w:rsidRPr="004D497D">
        <w:rPr>
          <w:b/>
          <w:bCs/>
          <w:lang w:val="en-US"/>
        </w:rPr>
        <w:t>country has been running a current account surplus since 2013.</w:t>
      </w:r>
      <w:r w:rsidRPr="002C486B">
        <w:rPr>
          <w:lang w:val="en-US"/>
        </w:rPr>
        <w:t xml:space="preserve"> </w:t>
      </w:r>
      <w:r w:rsidRPr="004D497D">
        <w:rPr>
          <w:b/>
          <w:bCs/>
          <w:lang w:val="en-US"/>
        </w:rPr>
        <w:t>Projections as to whether this surplus will increase or decrease in the coming years are difficult to make, as it depends on external demand that is particularly sensitive to geopolitical factors,</w:t>
      </w:r>
      <w:r w:rsidRPr="002C486B">
        <w:rPr>
          <w:lang w:val="en-US"/>
        </w:rPr>
        <w:t xml:space="preserve"> evolving at a time of great uncertainty. The country also has one of the highest levels of net foreign debt in the EU (57.4% of GDP), although this has been falling in recent years. </w:t>
      </w:r>
    </w:p>
    <w:p w14:paraId="76EEEF2E" w14:textId="77777777" w:rsidR="00AD7B2D" w:rsidRPr="00AD7B2D" w:rsidRDefault="00AD7B2D" w:rsidP="00AD7B2D">
      <w:pPr>
        <w:jc w:val="both"/>
        <w:rPr>
          <w:b/>
          <w:bCs/>
          <w:lang w:val="en-US"/>
        </w:rPr>
      </w:pPr>
      <w:r w:rsidRPr="00AD7B2D">
        <w:rPr>
          <w:lang w:val="en-US"/>
        </w:rPr>
        <w:t xml:space="preserve">Due to its lack of conventional energy resources, </w:t>
      </w:r>
      <w:r w:rsidRPr="00AD7B2D">
        <w:rPr>
          <w:b/>
          <w:bCs/>
          <w:lang w:val="en-US"/>
        </w:rPr>
        <w:t xml:space="preserve">Spain is highly dependent on energy imports (71.9% of its imports are energy-related). By 2022, it would rank 7th in the world in crude oil imports, and 9th in natural gas imports. </w:t>
      </w:r>
    </w:p>
    <w:p w14:paraId="250250F7" w14:textId="475AB85D" w:rsidR="00AD7B2D" w:rsidRPr="002C486B" w:rsidRDefault="00AD7B2D" w:rsidP="00AD7B2D">
      <w:pPr>
        <w:jc w:val="both"/>
        <w:rPr>
          <w:lang w:val="en-US"/>
        </w:rPr>
      </w:pPr>
      <w:r w:rsidRPr="00AD7B2D">
        <w:rPr>
          <w:lang w:val="en-US"/>
        </w:rPr>
        <w:t xml:space="preserve">On the other hand, </w:t>
      </w:r>
      <w:r w:rsidRPr="00AD7B2D">
        <w:rPr>
          <w:b/>
          <w:bCs/>
          <w:lang w:val="en-US"/>
        </w:rPr>
        <w:t>Spain is a benchmark for renewable energies</w:t>
      </w:r>
      <w:r w:rsidRPr="00AD7B2D">
        <w:rPr>
          <w:lang w:val="en-US"/>
        </w:rPr>
        <w:t xml:space="preserve"> </w:t>
      </w:r>
      <w:r w:rsidRPr="00AD7B2D">
        <w:rPr>
          <w:b/>
          <w:bCs/>
          <w:lang w:val="en-US"/>
        </w:rPr>
        <w:t>(3rd European country with the largest renewable energy production capacity)</w:t>
      </w:r>
      <w:r w:rsidRPr="00AD7B2D">
        <w:rPr>
          <w:lang w:val="en-US"/>
        </w:rPr>
        <w:t>, benefits from more hours of sunshine than any other member state, as well as one of the continent's largest lithium deposits, creating optimal conditions for the exploitation of wind and hydro power.</w:t>
      </w:r>
    </w:p>
    <w:p w14:paraId="3EAB1D64" w14:textId="77777777" w:rsidR="002C486B" w:rsidRDefault="002C486B" w:rsidP="002C486B">
      <w:pPr>
        <w:jc w:val="both"/>
        <w:rPr>
          <w:lang w:val="en-US"/>
        </w:rPr>
      </w:pPr>
      <w:r w:rsidRPr="004D497D">
        <w:rPr>
          <w:b/>
          <w:bCs/>
          <w:lang w:val="en-US"/>
        </w:rPr>
        <w:t>The large surplus on the balance of services (expected to be close to 6% of GDP in 2023) offsets the structural deficits on the balance of goods,</w:t>
      </w:r>
      <w:r w:rsidRPr="002C486B">
        <w:rPr>
          <w:lang w:val="en-US"/>
        </w:rPr>
        <w:t xml:space="preserve"> largely attributable to the country's energy dependence, and on the balance of income (remittances from the Latin American and Moroccan diasporas to their countries of origin). This will partly offset the rise in imports due to dynamic domestic demand (stimulated by wage increases imposed by the socialist government, the minimum wage has jumped 47% over the last five years) and capital imports.</w:t>
      </w:r>
    </w:p>
    <w:p w14:paraId="2B2BF535" w14:textId="77777777" w:rsidR="002C486B" w:rsidRPr="004D497D" w:rsidRDefault="002C486B" w:rsidP="002C486B">
      <w:pPr>
        <w:jc w:val="both"/>
        <w:rPr>
          <w:b/>
          <w:bCs/>
          <w:lang w:val="en-US"/>
        </w:rPr>
      </w:pPr>
      <w:r w:rsidRPr="004D497D">
        <w:rPr>
          <w:b/>
          <w:bCs/>
          <w:lang w:val="en-US"/>
        </w:rPr>
        <w:lastRenderedPageBreak/>
        <w:t xml:space="preserve">As for public finances, the public deficit has fallen sharply (to 6.9% of GDP in 2021 and 4.8% in 2022) thanks to a record recovery driven by the upturn in activity and the gradual end of emergency measures. </w:t>
      </w:r>
    </w:p>
    <w:p w14:paraId="506AB5EA" w14:textId="77777777" w:rsidR="002C486B" w:rsidRPr="002C486B" w:rsidRDefault="002C486B" w:rsidP="002C486B">
      <w:pPr>
        <w:jc w:val="both"/>
        <w:rPr>
          <w:lang w:val="en-US"/>
        </w:rPr>
      </w:pPr>
      <w:r w:rsidRPr="002C486B">
        <w:rPr>
          <w:lang w:val="en-US"/>
        </w:rPr>
        <w:t xml:space="preserve">Forecasts anticipate a </w:t>
      </w:r>
      <w:r w:rsidRPr="004D497D">
        <w:rPr>
          <w:b/>
          <w:bCs/>
          <w:lang w:val="en-US"/>
        </w:rPr>
        <w:t xml:space="preserve">public deficit of 3% of GDP in 2024 (3.6% in 2023). The implementation of the Stability Pact reform, which will come into force in 2025, should facilitate the reduction of this deficit. </w:t>
      </w:r>
    </w:p>
    <w:p w14:paraId="28D1ACAC" w14:textId="77777777" w:rsidR="002C486B" w:rsidRPr="004D497D" w:rsidRDefault="002C486B" w:rsidP="002C486B">
      <w:pPr>
        <w:jc w:val="both"/>
        <w:rPr>
          <w:b/>
          <w:bCs/>
          <w:lang w:val="en-US"/>
        </w:rPr>
      </w:pPr>
      <w:r w:rsidRPr="004D497D">
        <w:rPr>
          <w:b/>
          <w:bCs/>
          <w:lang w:val="en-US"/>
        </w:rPr>
        <w:t>Similarly, public debt reversed its upward trend of 2020, recording a slight decline in 2021 (118.4% of GDP), which continued in 2022 (113.2%) and 2023 (107.7%).</w:t>
      </w:r>
    </w:p>
    <w:p w14:paraId="0EDA1416" w14:textId="77777777" w:rsidR="002C486B" w:rsidRPr="002C486B" w:rsidRDefault="002C486B" w:rsidP="002C486B">
      <w:pPr>
        <w:jc w:val="both"/>
        <w:rPr>
          <w:lang w:val="en-US"/>
        </w:rPr>
      </w:pPr>
      <w:r w:rsidRPr="00CD21E0">
        <w:rPr>
          <w:b/>
          <w:bCs/>
          <w:lang w:val="en-US"/>
        </w:rPr>
        <w:t>Spain's public debt ratio fell by 12.6 points from its pandemic peak of 120.3% (2020),</w:t>
      </w:r>
      <w:r w:rsidRPr="002C486B">
        <w:rPr>
          <w:lang w:val="en-US"/>
        </w:rPr>
        <w:t xml:space="preserve"> thanks to high nominal GDP growth. </w:t>
      </w:r>
    </w:p>
    <w:p w14:paraId="5F413C0C" w14:textId="77777777" w:rsidR="002C486B" w:rsidRPr="002C486B" w:rsidRDefault="002C486B" w:rsidP="002C486B">
      <w:pPr>
        <w:jc w:val="both"/>
        <w:rPr>
          <w:lang w:val="en-US"/>
        </w:rPr>
      </w:pPr>
      <w:r w:rsidRPr="002C486B">
        <w:rPr>
          <w:lang w:val="en-US"/>
        </w:rPr>
        <w:t xml:space="preserve">However, </w:t>
      </w:r>
      <w:r w:rsidRPr="00CD21E0">
        <w:rPr>
          <w:b/>
          <w:bCs/>
          <w:lang w:val="en-US"/>
        </w:rPr>
        <w:t>Spanish debt levels remain the 4th highest among Eurozone countries</w:t>
      </w:r>
      <w:r w:rsidRPr="002C486B">
        <w:rPr>
          <w:lang w:val="en-US"/>
        </w:rPr>
        <w:t xml:space="preserve"> (behind France, </w:t>
      </w:r>
      <w:proofErr w:type="gramStart"/>
      <w:r w:rsidRPr="002C486B">
        <w:rPr>
          <w:lang w:val="en-US"/>
        </w:rPr>
        <w:t>Italy</w:t>
      </w:r>
      <w:proofErr w:type="gramEnd"/>
      <w:r w:rsidRPr="002C486B">
        <w:rPr>
          <w:lang w:val="en-US"/>
        </w:rPr>
        <w:t xml:space="preserve"> and Greece). </w:t>
      </w:r>
    </w:p>
    <w:p w14:paraId="54A5E06D" w14:textId="4ABFD702" w:rsidR="002D29A0" w:rsidRPr="00CD21E0" w:rsidRDefault="002C486B" w:rsidP="00FE4A47">
      <w:pPr>
        <w:jc w:val="both"/>
        <w:rPr>
          <w:b/>
          <w:bCs/>
          <w:lang w:val="en-US"/>
        </w:rPr>
      </w:pPr>
      <w:r w:rsidRPr="00CD21E0">
        <w:rPr>
          <w:b/>
          <w:bCs/>
          <w:lang w:val="en-US"/>
        </w:rPr>
        <w:t>For 2025, the Spanish government is forecasting a deficit of 2.5%, which would mean that for the first time since 2007, Spain would achieve a primary budget surplus.</w:t>
      </w:r>
    </w:p>
    <w:p w14:paraId="1CF0F479" w14:textId="77777777" w:rsidR="002C486B" w:rsidRDefault="002C486B" w:rsidP="00FE4A47">
      <w:pPr>
        <w:jc w:val="both"/>
        <w:rPr>
          <w:lang w:val="en-US"/>
        </w:rPr>
      </w:pPr>
    </w:p>
    <w:p w14:paraId="337E0DDC" w14:textId="3D654D4C" w:rsidR="002C486B" w:rsidRDefault="002C486B" w:rsidP="002C486B">
      <w:pPr>
        <w:jc w:val="right"/>
        <w:rPr>
          <w:lang w:val="en-US"/>
        </w:rPr>
      </w:pPr>
      <w:r>
        <w:rPr>
          <w:lang w:val="en-US"/>
        </w:rPr>
        <w:t>Written on June 28, 2024</w:t>
      </w:r>
    </w:p>
    <w:p w14:paraId="338FD9FF" w14:textId="77777777" w:rsidR="002C486B" w:rsidRDefault="002C486B" w:rsidP="00FE4A47">
      <w:pPr>
        <w:jc w:val="both"/>
        <w:rPr>
          <w:lang w:val="en-US"/>
        </w:rPr>
      </w:pPr>
    </w:p>
    <w:p w14:paraId="247AAA4B" w14:textId="77777777" w:rsidR="002C486B" w:rsidRDefault="002C486B" w:rsidP="00FE4A47">
      <w:pPr>
        <w:jc w:val="both"/>
        <w:rPr>
          <w:lang w:val="en-US"/>
        </w:rPr>
      </w:pPr>
    </w:p>
    <w:p w14:paraId="1312E9C9" w14:textId="77777777" w:rsidR="00142B3B" w:rsidRDefault="00142B3B" w:rsidP="00FE4A47">
      <w:pPr>
        <w:jc w:val="both"/>
        <w:rPr>
          <w:lang w:val="en-US"/>
        </w:rPr>
      </w:pPr>
    </w:p>
    <w:p w14:paraId="1D13E52A" w14:textId="77777777" w:rsidR="00142B3B" w:rsidRDefault="00142B3B" w:rsidP="00FE4A47">
      <w:pPr>
        <w:jc w:val="both"/>
        <w:rPr>
          <w:lang w:val="en-US"/>
        </w:rPr>
      </w:pPr>
    </w:p>
    <w:p w14:paraId="2264B19E" w14:textId="77777777" w:rsidR="00142B3B" w:rsidRDefault="00142B3B" w:rsidP="00FE4A47">
      <w:pPr>
        <w:jc w:val="both"/>
        <w:rPr>
          <w:lang w:val="en-US"/>
        </w:rPr>
      </w:pPr>
    </w:p>
    <w:p w14:paraId="47667942" w14:textId="77777777" w:rsidR="00142B3B" w:rsidRDefault="00142B3B" w:rsidP="00FE4A47">
      <w:pPr>
        <w:jc w:val="both"/>
        <w:rPr>
          <w:lang w:val="en-US"/>
        </w:rPr>
      </w:pPr>
    </w:p>
    <w:p w14:paraId="50CDE785" w14:textId="77777777" w:rsidR="00142B3B" w:rsidRDefault="00142B3B" w:rsidP="00FE4A47">
      <w:pPr>
        <w:jc w:val="both"/>
        <w:rPr>
          <w:lang w:val="en-US"/>
        </w:rPr>
      </w:pPr>
    </w:p>
    <w:p w14:paraId="2187BB37" w14:textId="77777777" w:rsidR="00142B3B" w:rsidRDefault="00142B3B" w:rsidP="00FE4A47">
      <w:pPr>
        <w:jc w:val="both"/>
        <w:rPr>
          <w:lang w:val="en-US"/>
        </w:rPr>
      </w:pPr>
    </w:p>
    <w:p w14:paraId="1CF54519" w14:textId="77777777" w:rsidR="00142B3B" w:rsidRDefault="00142B3B" w:rsidP="00FE4A47">
      <w:pPr>
        <w:jc w:val="both"/>
        <w:rPr>
          <w:lang w:val="en-US"/>
        </w:rPr>
      </w:pPr>
    </w:p>
    <w:p w14:paraId="2F4EF6CF" w14:textId="77777777" w:rsidR="00142B3B" w:rsidRDefault="00142B3B" w:rsidP="00FE4A47">
      <w:pPr>
        <w:jc w:val="both"/>
        <w:rPr>
          <w:lang w:val="en-US"/>
        </w:rPr>
      </w:pPr>
    </w:p>
    <w:p w14:paraId="75319745" w14:textId="77777777" w:rsidR="00142B3B" w:rsidRDefault="00142B3B" w:rsidP="00FE4A47">
      <w:pPr>
        <w:jc w:val="both"/>
        <w:rPr>
          <w:lang w:val="en-US"/>
        </w:rPr>
      </w:pPr>
    </w:p>
    <w:p w14:paraId="33310F74" w14:textId="77777777" w:rsidR="00142B3B" w:rsidRDefault="00142B3B" w:rsidP="00FE4A47">
      <w:pPr>
        <w:jc w:val="both"/>
        <w:rPr>
          <w:lang w:val="en-US"/>
        </w:rPr>
      </w:pPr>
    </w:p>
    <w:p w14:paraId="08F2AE1D" w14:textId="77777777" w:rsidR="00142B3B" w:rsidRDefault="00142B3B" w:rsidP="00FE4A47">
      <w:pPr>
        <w:jc w:val="both"/>
        <w:rPr>
          <w:lang w:val="en-US"/>
        </w:rPr>
      </w:pPr>
    </w:p>
    <w:p w14:paraId="7C82ADB0" w14:textId="77777777" w:rsidR="00142B3B" w:rsidRDefault="00142B3B" w:rsidP="00FE4A47">
      <w:pPr>
        <w:jc w:val="both"/>
        <w:rPr>
          <w:lang w:val="en-US"/>
        </w:rPr>
      </w:pPr>
    </w:p>
    <w:p w14:paraId="1ED93880" w14:textId="77777777" w:rsidR="00142B3B" w:rsidRDefault="00142B3B" w:rsidP="00FE4A47">
      <w:pPr>
        <w:jc w:val="both"/>
        <w:rPr>
          <w:lang w:val="en-US"/>
        </w:rPr>
      </w:pPr>
    </w:p>
    <w:p w14:paraId="14142F53" w14:textId="77777777" w:rsidR="00142B3B" w:rsidRDefault="00142B3B" w:rsidP="00FE4A47">
      <w:pPr>
        <w:jc w:val="both"/>
        <w:rPr>
          <w:lang w:val="en-US"/>
        </w:rPr>
      </w:pPr>
    </w:p>
    <w:p w14:paraId="6DB085DE" w14:textId="77777777" w:rsidR="00142B3B" w:rsidRDefault="00142B3B" w:rsidP="00FE4A47">
      <w:pPr>
        <w:jc w:val="both"/>
        <w:rPr>
          <w:lang w:val="en-US"/>
        </w:rPr>
      </w:pPr>
    </w:p>
    <w:p w14:paraId="0511870E" w14:textId="77777777" w:rsidR="00142B3B" w:rsidRDefault="00142B3B" w:rsidP="00FE4A47">
      <w:pPr>
        <w:jc w:val="both"/>
        <w:rPr>
          <w:lang w:val="en-US"/>
        </w:rPr>
      </w:pPr>
    </w:p>
    <w:p w14:paraId="23DD08F1" w14:textId="5C917E44" w:rsidR="008F7262" w:rsidRPr="00A1049A" w:rsidRDefault="008F7262" w:rsidP="00FE4A47">
      <w:pPr>
        <w:jc w:val="both"/>
        <w:rPr>
          <w:i/>
          <w:iCs/>
          <w:lang w:val="en-US"/>
        </w:rPr>
      </w:pPr>
      <w:r w:rsidRPr="00A1049A">
        <w:rPr>
          <w:i/>
          <w:iCs/>
          <w:lang w:val="en-US"/>
        </w:rPr>
        <w:lastRenderedPageBreak/>
        <w:t>Source</w:t>
      </w:r>
      <w:r w:rsidR="007971CE" w:rsidRPr="00A1049A">
        <w:rPr>
          <w:i/>
          <w:iCs/>
          <w:lang w:val="en-US"/>
        </w:rPr>
        <w:t>s</w:t>
      </w:r>
      <w:r w:rsidRPr="00A1049A">
        <w:rPr>
          <w:i/>
          <w:iCs/>
          <w:lang w:val="en-US"/>
        </w:rPr>
        <w:t xml:space="preserve"> : </w:t>
      </w:r>
    </w:p>
    <w:p w14:paraId="54F0D952" w14:textId="571EA360" w:rsidR="008F7262" w:rsidRPr="00A1049A" w:rsidRDefault="00D432F8" w:rsidP="00FE4A47">
      <w:pPr>
        <w:jc w:val="both"/>
        <w:rPr>
          <w:i/>
          <w:iCs/>
          <w:sz w:val="20"/>
          <w:szCs w:val="20"/>
          <w:lang w:val="en-US"/>
        </w:rPr>
      </w:pPr>
      <w:hyperlink r:id="rId9" w:history="1">
        <w:r w:rsidR="008F7262" w:rsidRPr="00A1049A">
          <w:rPr>
            <w:rStyle w:val="Hyperlink"/>
            <w:i/>
            <w:iCs/>
            <w:sz w:val="20"/>
            <w:szCs w:val="20"/>
            <w:lang w:val="en-US"/>
          </w:rPr>
          <w:t>https://disclosure.spglobal.com/ratings/en/regulatory/article/-/view/type/HTML/id/3139611</w:t>
        </w:r>
      </w:hyperlink>
    </w:p>
    <w:p w14:paraId="6D353D56" w14:textId="493892DA" w:rsidR="008F7262" w:rsidRPr="00A1049A" w:rsidRDefault="00D432F8" w:rsidP="00FE4A47">
      <w:pPr>
        <w:jc w:val="both"/>
        <w:rPr>
          <w:i/>
          <w:iCs/>
          <w:sz w:val="20"/>
          <w:szCs w:val="20"/>
          <w:lang w:val="en-US"/>
        </w:rPr>
      </w:pPr>
      <w:hyperlink r:id="rId10" w:history="1">
        <w:r w:rsidR="00747BC8" w:rsidRPr="00A1049A">
          <w:rPr>
            <w:rStyle w:val="Hyperlink"/>
            <w:i/>
            <w:iCs/>
            <w:sz w:val="20"/>
            <w:szCs w:val="20"/>
            <w:lang w:val="en-US"/>
          </w:rPr>
          <w:t>https://app.fitchconnect.com/article/PR_10271498</w:t>
        </w:r>
      </w:hyperlink>
    </w:p>
    <w:p w14:paraId="22293C01" w14:textId="489187DC" w:rsidR="00747BC8" w:rsidRPr="00A1049A" w:rsidRDefault="00D432F8" w:rsidP="00FE4A47">
      <w:pPr>
        <w:jc w:val="both"/>
        <w:rPr>
          <w:i/>
          <w:iCs/>
          <w:sz w:val="20"/>
          <w:szCs w:val="20"/>
          <w:lang w:val="en-US"/>
        </w:rPr>
      </w:pPr>
      <w:hyperlink r:id="rId11" w:history="1">
        <w:r w:rsidR="00747BC8" w:rsidRPr="00A1049A">
          <w:rPr>
            <w:rStyle w:val="Hyperlink"/>
            <w:i/>
            <w:iCs/>
            <w:sz w:val="20"/>
            <w:szCs w:val="20"/>
            <w:lang w:val="en-US"/>
          </w:rPr>
          <w:t>https://www.coface.com/fr/actualites-economie-conseils-d-experts/tableau-de-bord-des-risques-economiques/fiches-risques-pays/espagne</w:t>
        </w:r>
      </w:hyperlink>
    </w:p>
    <w:p w14:paraId="3B63BBF4" w14:textId="469B2204" w:rsidR="001325A8" w:rsidRPr="00A1049A" w:rsidRDefault="00D432F8" w:rsidP="00FE4A47">
      <w:pPr>
        <w:jc w:val="both"/>
        <w:rPr>
          <w:i/>
          <w:iCs/>
          <w:sz w:val="20"/>
          <w:szCs w:val="20"/>
          <w:lang w:val="en-US"/>
        </w:rPr>
      </w:pPr>
      <w:hyperlink r:id="rId12" w:anchor=":~:text=En%202021%20et%202022%2C%20le,de%20fin%202019%5B1%5D" w:history="1">
        <w:r w:rsidR="001325A8" w:rsidRPr="00A1049A">
          <w:rPr>
            <w:rStyle w:val="Hyperlink"/>
            <w:i/>
            <w:iCs/>
            <w:sz w:val="20"/>
            <w:szCs w:val="20"/>
            <w:lang w:val="en-US"/>
          </w:rPr>
          <w:t>https://www.tresor.economie.gouv.fr/Pays/ES/situation-macroeconomique-de-l-espagne#:~:text=En%202021%20et%202022%2C%20le,de%20fin%202019%5B1%5D</w:t>
        </w:r>
      </w:hyperlink>
    </w:p>
    <w:p w14:paraId="465BAC3E" w14:textId="1D7BEBEB" w:rsidR="00523447" w:rsidRPr="00A1049A" w:rsidRDefault="00D432F8" w:rsidP="00FE4A47">
      <w:pPr>
        <w:jc w:val="both"/>
        <w:rPr>
          <w:i/>
          <w:iCs/>
          <w:sz w:val="20"/>
          <w:szCs w:val="20"/>
          <w:lang w:val="en-US"/>
        </w:rPr>
      </w:pPr>
      <w:hyperlink r:id="rId13" w:anchor=":~:text=Le%20stock%20d'investissements%20fran%C3%A7ais,filiales%2C%20et%2056%20900%20salari%C3%A9s" w:history="1">
        <w:r w:rsidR="00523447" w:rsidRPr="00A1049A">
          <w:rPr>
            <w:rStyle w:val="Hyperlink"/>
            <w:i/>
            <w:iCs/>
            <w:sz w:val="20"/>
            <w:szCs w:val="20"/>
            <w:lang w:val="en-US"/>
          </w:rPr>
          <w:t>https://www.diplomatie.gouv.fr/fr/dossiers-pays/espagne/presentation-de-l-espagne/#:~:text=Le%20stock%20d'investissements%20fran%C3%A7ais,filiales%2C%20et%2056%20900%20salari%C3%A9s</w:t>
        </w:r>
      </w:hyperlink>
    </w:p>
    <w:p w14:paraId="1171EC1E" w14:textId="76BCFE67" w:rsidR="00F513F4" w:rsidRPr="00A1049A" w:rsidRDefault="00D432F8" w:rsidP="00FE4A47">
      <w:pPr>
        <w:jc w:val="both"/>
        <w:rPr>
          <w:i/>
          <w:iCs/>
          <w:sz w:val="20"/>
          <w:szCs w:val="20"/>
          <w:lang w:val="en-US"/>
        </w:rPr>
      </w:pPr>
      <w:hyperlink r:id="rId14" w:history="1">
        <w:r w:rsidR="00F513F4" w:rsidRPr="00A1049A">
          <w:rPr>
            <w:rStyle w:val="Hyperlink"/>
            <w:i/>
            <w:iCs/>
            <w:sz w:val="20"/>
            <w:szCs w:val="20"/>
            <w:lang w:val="en-US"/>
          </w:rPr>
          <w:t>https://www.boursorama.com/actualite-economique/actualites/espagne-la-croissance-du-premier-trimestre-revisee-a-la-hausse-a-0-8-eb6dba032cc5503d1d6ba13beaa3356f</w:t>
        </w:r>
      </w:hyperlink>
    </w:p>
    <w:p w14:paraId="065A59B2" w14:textId="4ACEC143" w:rsidR="00115362" w:rsidRPr="00A1049A" w:rsidRDefault="00D432F8" w:rsidP="00115362">
      <w:pPr>
        <w:jc w:val="both"/>
        <w:rPr>
          <w:rStyle w:val="Hyperlink"/>
          <w:i/>
          <w:iCs/>
          <w:sz w:val="20"/>
          <w:szCs w:val="20"/>
          <w:lang w:val="en-US"/>
        </w:rPr>
      </w:pPr>
      <w:hyperlink r:id="rId15" w:history="1">
        <w:r w:rsidR="00115362" w:rsidRPr="00A1049A">
          <w:rPr>
            <w:rStyle w:val="Hyperlink"/>
            <w:i/>
            <w:iCs/>
            <w:sz w:val="20"/>
            <w:szCs w:val="20"/>
            <w:lang w:val="en-US"/>
          </w:rPr>
          <w:t>https://etudes-economiques.credit-agricole.com/Publication/2024-avril/espagne-les-carburants-et-l-electricite-soutiennent-l-inflation-de-mars</w:t>
        </w:r>
      </w:hyperlink>
    </w:p>
    <w:p w14:paraId="7F2DB52F" w14:textId="60D6EFCB" w:rsidR="007971CE" w:rsidRPr="00A1049A" w:rsidRDefault="00D432F8" w:rsidP="00115362">
      <w:pPr>
        <w:jc w:val="both"/>
        <w:rPr>
          <w:i/>
          <w:iCs/>
          <w:sz w:val="20"/>
          <w:szCs w:val="20"/>
          <w:lang w:val="en-US"/>
        </w:rPr>
      </w:pPr>
      <w:hyperlink r:id="rId16" w:history="1">
        <w:r w:rsidR="007971CE" w:rsidRPr="00A1049A">
          <w:rPr>
            <w:rStyle w:val="Hyperlink"/>
            <w:i/>
            <w:iCs/>
            <w:sz w:val="20"/>
            <w:szCs w:val="20"/>
            <w:lang w:val="en-US"/>
          </w:rPr>
          <w:t>https://www.oecd-ilibrary.org/sites/bd18c5ae-fr/1/3/2/17/index.html?itemId=/content/publication/bd18c5ae-fr&amp;_csp_=623453836f16e0c026165f9490b092dd&amp;itemIGO=oecd&amp;itemContentType=book</w:t>
        </w:r>
      </w:hyperlink>
    </w:p>
    <w:p w14:paraId="5659EA1B" w14:textId="4616F5E0" w:rsidR="00AD7B2D" w:rsidRPr="00A1049A" w:rsidRDefault="00D432F8" w:rsidP="00115362">
      <w:pPr>
        <w:jc w:val="both"/>
        <w:rPr>
          <w:i/>
          <w:iCs/>
          <w:sz w:val="20"/>
          <w:szCs w:val="20"/>
          <w:lang w:val="en-US"/>
        </w:rPr>
      </w:pPr>
      <w:hyperlink r:id="rId17" w:anchor=":~:text=Selon%20les%20derni%C3%A8res%20statistiques%20d,Italie%20(22%2C8%20%25)" w:history="1">
        <w:r w:rsidR="00AD7B2D" w:rsidRPr="00A1049A">
          <w:rPr>
            <w:rStyle w:val="Hyperlink"/>
            <w:i/>
            <w:iCs/>
            <w:sz w:val="20"/>
            <w:szCs w:val="20"/>
            <w:lang w:val="en-US"/>
          </w:rPr>
          <w:t>https://www.touteleurope.eu/economie-et-social/le-taux-de-chomage-des-jeunes-en-europe/#:~:text=Selon%20les%20derni%C3%A8res%20statistiques%20d,Italie%20(22%2C8%20%25)</w:t>
        </w:r>
      </w:hyperlink>
    </w:p>
    <w:p w14:paraId="7B623859" w14:textId="77777777" w:rsidR="00AD7B2D" w:rsidRPr="00A1049A" w:rsidRDefault="00AD7B2D" w:rsidP="00115362">
      <w:pPr>
        <w:jc w:val="both"/>
        <w:rPr>
          <w:i/>
          <w:iCs/>
          <w:sz w:val="20"/>
          <w:szCs w:val="20"/>
          <w:lang w:val="en-US"/>
        </w:rPr>
      </w:pPr>
    </w:p>
    <w:sectPr w:rsidR="00AD7B2D" w:rsidRPr="00A1049A">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9BDE" w14:textId="77777777" w:rsidR="00AB30FE" w:rsidRDefault="00AB30FE" w:rsidP="00AB30FE">
      <w:pPr>
        <w:spacing w:after="0" w:line="240" w:lineRule="auto"/>
      </w:pPr>
      <w:r>
        <w:separator/>
      </w:r>
    </w:p>
  </w:endnote>
  <w:endnote w:type="continuationSeparator" w:id="0">
    <w:p w14:paraId="7AB9456F" w14:textId="77777777" w:rsidR="00AB30FE" w:rsidRDefault="00AB30FE" w:rsidP="00AB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3278" w14:textId="77777777" w:rsidR="00AB30FE" w:rsidRDefault="00AB30FE" w:rsidP="00AB30FE">
      <w:pPr>
        <w:spacing w:after="0" w:line="240" w:lineRule="auto"/>
      </w:pPr>
      <w:r>
        <w:separator/>
      </w:r>
    </w:p>
  </w:footnote>
  <w:footnote w:type="continuationSeparator" w:id="0">
    <w:p w14:paraId="0B4F7871" w14:textId="77777777" w:rsidR="00AB30FE" w:rsidRDefault="00AB30FE" w:rsidP="00AB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8522" w14:textId="13D6D2AC" w:rsidR="00AB30FE" w:rsidRDefault="008F7262">
    <w:pPr>
      <w:pStyle w:val="Header"/>
    </w:pPr>
    <w:r>
      <w:rPr>
        <w:noProof/>
      </w:rPr>
      <w:drawing>
        <wp:inline distT="0" distB="0" distL="0" distR="0" wp14:anchorId="3BAA23BF" wp14:editId="67F1E997">
          <wp:extent cx="4572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2669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90"/>
    <w:rsid w:val="00003110"/>
    <w:rsid w:val="0001164B"/>
    <w:rsid w:val="00030E56"/>
    <w:rsid w:val="00036630"/>
    <w:rsid w:val="00043EA6"/>
    <w:rsid w:val="00057EA4"/>
    <w:rsid w:val="0006525C"/>
    <w:rsid w:val="000A167C"/>
    <w:rsid w:val="000B04B1"/>
    <w:rsid w:val="000C60F6"/>
    <w:rsid w:val="000E5546"/>
    <w:rsid w:val="00115362"/>
    <w:rsid w:val="00124387"/>
    <w:rsid w:val="001325A8"/>
    <w:rsid w:val="00142B3B"/>
    <w:rsid w:val="00142F2F"/>
    <w:rsid w:val="00153BEE"/>
    <w:rsid w:val="001E3459"/>
    <w:rsid w:val="001F1E91"/>
    <w:rsid w:val="002233AD"/>
    <w:rsid w:val="0022382D"/>
    <w:rsid w:val="00223B36"/>
    <w:rsid w:val="00240913"/>
    <w:rsid w:val="0024623A"/>
    <w:rsid w:val="002A47EE"/>
    <w:rsid w:val="002C486B"/>
    <w:rsid w:val="002D0290"/>
    <w:rsid w:val="002D29A0"/>
    <w:rsid w:val="00314D2E"/>
    <w:rsid w:val="003322FD"/>
    <w:rsid w:val="0033600F"/>
    <w:rsid w:val="00355A82"/>
    <w:rsid w:val="0036509C"/>
    <w:rsid w:val="00396C99"/>
    <w:rsid w:val="0042152F"/>
    <w:rsid w:val="00461EA0"/>
    <w:rsid w:val="00467C70"/>
    <w:rsid w:val="004805A6"/>
    <w:rsid w:val="004C51C2"/>
    <w:rsid w:val="004D497D"/>
    <w:rsid w:val="00506F85"/>
    <w:rsid w:val="00523447"/>
    <w:rsid w:val="00537CD8"/>
    <w:rsid w:val="005635FB"/>
    <w:rsid w:val="00590644"/>
    <w:rsid w:val="00593C5A"/>
    <w:rsid w:val="005A4DA9"/>
    <w:rsid w:val="005A5631"/>
    <w:rsid w:val="005B27AF"/>
    <w:rsid w:val="005C1DC6"/>
    <w:rsid w:val="005D1EB4"/>
    <w:rsid w:val="0060735C"/>
    <w:rsid w:val="00621D0C"/>
    <w:rsid w:val="00640E2A"/>
    <w:rsid w:val="00662A00"/>
    <w:rsid w:val="00677E24"/>
    <w:rsid w:val="0069574D"/>
    <w:rsid w:val="006C0B85"/>
    <w:rsid w:val="006C2ED1"/>
    <w:rsid w:val="006F2D32"/>
    <w:rsid w:val="006F3365"/>
    <w:rsid w:val="00747BC8"/>
    <w:rsid w:val="0076587B"/>
    <w:rsid w:val="007971CE"/>
    <w:rsid w:val="007B4D9F"/>
    <w:rsid w:val="007E75A5"/>
    <w:rsid w:val="007F6153"/>
    <w:rsid w:val="00802699"/>
    <w:rsid w:val="0081788C"/>
    <w:rsid w:val="00824697"/>
    <w:rsid w:val="00825AEC"/>
    <w:rsid w:val="0086661E"/>
    <w:rsid w:val="008A770D"/>
    <w:rsid w:val="008B2348"/>
    <w:rsid w:val="008C76C2"/>
    <w:rsid w:val="008D4304"/>
    <w:rsid w:val="008D4948"/>
    <w:rsid w:val="008F7262"/>
    <w:rsid w:val="009673CE"/>
    <w:rsid w:val="009827F8"/>
    <w:rsid w:val="009B5EF7"/>
    <w:rsid w:val="009E63C0"/>
    <w:rsid w:val="00A1049A"/>
    <w:rsid w:val="00A15026"/>
    <w:rsid w:val="00A27165"/>
    <w:rsid w:val="00A31D7D"/>
    <w:rsid w:val="00A6733E"/>
    <w:rsid w:val="00A963D3"/>
    <w:rsid w:val="00A973C3"/>
    <w:rsid w:val="00AA37BB"/>
    <w:rsid w:val="00AA7FC2"/>
    <w:rsid w:val="00AB30FE"/>
    <w:rsid w:val="00AD7B2D"/>
    <w:rsid w:val="00AE337F"/>
    <w:rsid w:val="00AE5321"/>
    <w:rsid w:val="00B01E7E"/>
    <w:rsid w:val="00B157A4"/>
    <w:rsid w:val="00B23108"/>
    <w:rsid w:val="00B23986"/>
    <w:rsid w:val="00B26765"/>
    <w:rsid w:val="00B424E7"/>
    <w:rsid w:val="00B43B01"/>
    <w:rsid w:val="00B45CEC"/>
    <w:rsid w:val="00B46731"/>
    <w:rsid w:val="00B81B03"/>
    <w:rsid w:val="00BB2D32"/>
    <w:rsid w:val="00BD7EC9"/>
    <w:rsid w:val="00BE6467"/>
    <w:rsid w:val="00BF6768"/>
    <w:rsid w:val="00C37949"/>
    <w:rsid w:val="00C43246"/>
    <w:rsid w:val="00C6710E"/>
    <w:rsid w:val="00C71EC2"/>
    <w:rsid w:val="00C81BBF"/>
    <w:rsid w:val="00C82883"/>
    <w:rsid w:val="00C900A1"/>
    <w:rsid w:val="00C9110D"/>
    <w:rsid w:val="00C936E0"/>
    <w:rsid w:val="00C94FA3"/>
    <w:rsid w:val="00CB5064"/>
    <w:rsid w:val="00CB6A35"/>
    <w:rsid w:val="00CD0561"/>
    <w:rsid w:val="00CD21E0"/>
    <w:rsid w:val="00D05752"/>
    <w:rsid w:val="00D20C7E"/>
    <w:rsid w:val="00D432F8"/>
    <w:rsid w:val="00D81DB1"/>
    <w:rsid w:val="00DA1B7B"/>
    <w:rsid w:val="00DB504D"/>
    <w:rsid w:val="00DD26CE"/>
    <w:rsid w:val="00DD3E4F"/>
    <w:rsid w:val="00E3792E"/>
    <w:rsid w:val="00E461CE"/>
    <w:rsid w:val="00E53144"/>
    <w:rsid w:val="00E6335F"/>
    <w:rsid w:val="00E80D31"/>
    <w:rsid w:val="00EC1560"/>
    <w:rsid w:val="00EC51C4"/>
    <w:rsid w:val="00EC5D36"/>
    <w:rsid w:val="00ED6BB5"/>
    <w:rsid w:val="00EE137B"/>
    <w:rsid w:val="00EE67A7"/>
    <w:rsid w:val="00F064BB"/>
    <w:rsid w:val="00F14014"/>
    <w:rsid w:val="00F513F4"/>
    <w:rsid w:val="00F65993"/>
    <w:rsid w:val="00F81436"/>
    <w:rsid w:val="00F9337A"/>
    <w:rsid w:val="00FB1B23"/>
    <w:rsid w:val="00FB7CC7"/>
    <w:rsid w:val="00FC57CD"/>
    <w:rsid w:val="00FE4A4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550BE87"/>
  <w15:chartTrackingRefBased/>
  <w15:docId w15:val="{0E330544-65AB-4618-A8D6-D93D1EDC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FE"/>
  </w:style>
  <w:style w:type="paragraph" w:styleId="Footer">
    <w:name w:val="footer"/>
    <w:basedOn w:val="Normal"/>
    <w:link w:val="FooterChar"/>
    <w:uiPriority w:val="99"/>
    <w:unhideWhenUsed/>
    <w:rsid w:val="00AB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FE"/>
  </w:style>
  <w:style w:type="character" w:styleId="Hyperlink">
    <w:name w:val="Hyperlink"/>
    <w:basedOn w:val="DefaultParagraphFont"/>
    <w:uiPriority w:val="99"/>
    <w:unhideWhenUsed/>
    <w:rsid w:val="00AB30FE"/>
    <w:rPr>
      <w:color w:val="0563C1" w:themeColor="hyperlink"/>
      <w:u w:val="single"/>
    </w:rPr>
  </w:style>
  <w:style w:type="character" w:styleId="UnresolvedMention">
    <w:name w:val="Unresolved Mention"/>
    <w:basedOn w:val="DefaultParagraphFont"/>
    <w:uiPriority w:val="99"/>
    <w:semiHidden/>
    <w:unhideWhenUsed/>
    <w:rsid w:val="00AB30FE"/>
    <w:rPr>
      <w:color w:val="605E5C"/>
      <w:shd w:val="clear" w:color="auto" w:fill="E1DFDD"/>
    </w:rPr>
  </w:style>
  <w:style w:type="character" w:styleId="FollowedHyperlink">
    <w:name w:val="FollowedHyperlink"/>
    <w:basedOn w:val="DefaultParagraphFont"/>
    <w:uiPriority w:val="99"/>
    <w:semiHidden/>
    <w:unhideWhenUsed/>
    <w:rsid w:val="00124387"/>
    <w:rPr>
      <w:color w:val="954F72" w:themeColor="followedHyperlink"/>
      <w:u w:val="single"/>
    </w:rPr>
  </w:style>
  <w:style w:type="paragraph" w:styleId="ListParagraph">
    <w:name w:val="List Paragraph"/>
    <w:basedOn w:val="Normal"/>
    <w:uiPriority w:val="34"/>
    <w:qFormat/>
    <w:rsid w:val="00C9110D"/>
    <w:pPr>
      <w:ind w:left="720"/>
      <w:contextualSpacing/>
    </w:pPr>
  </w:style>
  <w:style w:type="paragraph" w:styleId="Caption">
    <w:name w:val="caption"/>
    <w:basedOn w:val="Normal"/>
    <w:next w:val="Normal"/>
    <w:uiPriority w:val="35"/>
    <w:unhideWhenUsed/>
    <w:qFormat/>
    <w:rsid w:val="00142B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plomatie.gouv.fr/fr/dossiers-pays/espagne/presentation-de-l-espagn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resor.economie.gouv.fr/Pays/ES/situation-macroeconomique-de-l-espagne" TargetMode="External"/><Relationship Id="rId17" Type="http://schemas.openxmlformats.org/officeDocument/2006/relationships/hyperlink" Target="https://www.touteleurope.eu/economie-et-social/le-taux-de-chomage-des-jeunes-en-europe/" TargetMode="External"/><Relationship Id="rId2" Type="http://schemas.openxmlformats.org/officeDocument/2006/relationships/numbering" Target="numbering.xml"/><Relationship Id="rId16" Type="http://schemas.openxmlformats.org/officeDocument/2006/relationships/hyperlink" Target="https://www.oecd-ilibrary.org/sites/bd18c5ae-fr/1/3/2/17/index.html?itemId=/content/publication/bd18c5ae-fr&amp;_csp_=623453836f16e0c026165f9490b092dd&amp;itemIGO=oecd&amp;itemContentType=boo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face.com/fr/actualites-economie-conseils-d-experts/tableau-de-bord-des-risques-economiques/fiches-risques-pays/espagne" TargetMode="External"/><Relationship Id="rId5" Type="http://schemas.openxmlformats.org/officeDocument/2006/relationships/webSettings" Target="webSettings.xml"/><Relationship Id="rId15" Type="http://schemas.openxmlformats.org/officeDocument/2006/relationships/hyperlink" Target="https://etudes-economiques.credit-agricole.com/Publication/2024-avril/espagne-les-carburants-et-l-electricite-soutiennent-l-inflation-de-mars" TargetMode="External"/><Relationship Id="rId10" Type="http://schemas.openxmlformats.org/officeDocument/2006/relationships/hyperlink" Target="https://app.fitchconnect.com/article/PR_1027149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sclosure.spglobal.com/ratings/en/regulatory/article/-/view/type/HTML/id/3139611" TargetMode="External"/><Relationship Id="rId14" Type="http://schemas.openxmlformats.org/officeDocument/2006/relationships/hyperlink" Target="https://www.boursorama.com/actualite-economique/actualites/espagne-la-croissance-du-premier-trimestre-revisee-a-la-hausse-a-0-8-eb6dba032cc5503d1d6ba13beaa3356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877E-3745-4131-AB99-17E003CD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5</Pages>
  <Words>1689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45</cp:revision>
  <cp:lastPrinted>2024-06-28T10:57:00Z</cp:lastPrinted>
  <dcterms:created xsi:type="dcterms:W3CDTF">2024-05-27T07:45:00Z</dcterms:created>
  <dcterms:modified xsi:type="dcterms:W3CDTF">2024-06-28T10:59:00Z</dcterms:modified>
</cp:coreProperties>
</file>