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BA7813" w:rsidRPr="00A87014" w14:paraId="5E9F6302" w14:textId="77777777" w:rsidTr="000F64DD">
        <w:tc>
          <w:tcPr>
            <w:tcW w:w="9016" w:type="dxa"/>
            <w:shd w:val="clear" w:color="auto" w:fill="E7E6E6" w:themeFill="background2"/>
          </w:tcPr>
          <w:p w14:paraId="47DED72E" w14:textId="77777777" w:rsidR="00BA7813" w:rsidRDefault="00BA7813" w:rsidP="000F64DD">
            <w:pPr>
              <w:jc w:val="center"/>
              <w:rPr>
                <w:b/>
                <w:bCs/>
                <w:lang w:val="en-US"/>
              </w:rPr>
            </w:pPr>
          </w:p>
          <w:p w14:paraId="4AF1CADD" w14:textId="0846CE1D" w:rsidR="00BA7813" w:rsidRPr="008B15E7" w:rsidRDefault="00BA7813" w:rsidP="000F64DD">
            <w:pPr>
              <w:jc w:val="center"/>
              <w:rPr>
                <w:rFonts w:ascii="Aptos" w:hAnsi="Aptos"/>
                <w:b/>
                <w:bCs/>
                <w:sz w:val="24"/>
                <w:szCs w:val="24"/>
                <w:lang w:val="en-US"/>
              </w:rPr>
            </w:pPr>
            <w:r w:rsidRPr="008B15E7">
              <w:rPr>
                <w:rFonts w:ascii="Aptos" w:hAnsi="Aptos"/>
                <w:b/>
                <w:bCs/>
                <w:sz w:val="24"/>
                <w:szCs w:val="24"/>
                <w:lang w:val="en-US"/>
              </w:rPr>
              <w:t xml:space="preserve">Moody’s : Baa1, </w:t>
            </w:r>
            <w:r w:rsidRPr="008B15E7">
              <w:rPr>
                <w:rFonts w:ascii="Aptos" w:hAnsi="Aptos"/>
                <w:b/>
                <w:bCs/>
                <w:sz w:val="20"/>
                <w:szCs w:val="20"/>
                <w:lang w:val="en-US"/>
              </w:rPr>
              <w:t>Positive</w:t>
            </w:r>
            <w:r w:rsidRPr="008B15E7">
              <w:rPr>
                <w:rFonts w:ascii="Aptos" w:hAnsi="Aptos"/>
                <w:b/>
                <w:bCs/>
                <w:sz w:val="24"/>
                <w:szCs w:val="24"/>
                <w:lang w:val="en-US"/>
              </w:rPr>
              <w:t xml:space="preserve"> | Fitch : </w:t>
            </w:r>
            <w:r w:rsidR="008B15E7" w:rsidRPr="008B15E7">
              <w:rPr>
                <w:rFonts w:ascii="Aptos" w:hAnsi="Aptos"/>
                <w:b/>
                <w:bCs/>
                <w:sz w:val="24"/>
                <w:szCs w:val="24"/>
                <w:lang w:val="en-US"/>
              </w:rPr>
              <w:t>BBB</w:t>
            </w:r>
            <w:r w:rsidRPr="008B15E7">
              <w:rPr>
                <w:rFonts w:ascii="Aptos" w:hAnsi="Aptos"/>
                <w:b/>
                <w:bCs/>
                <w:sz w:val="24"/>
                <w:szCs w:val="24"/>
                <w:lang w:val="en-US"/>
              </w:rPr>
              <w:t xml:space="preserve">, </w:t>
            </w:r>
            <w:r w:rsidRPr="008B15E7">
              <w:rPr>
                <w:rFonts w:ascii="Aptos" w:hAnsi="Aptos"/>
                <w:b/>
                <w:bCs/>
                <w:sz w:val="20"/>
                <w:szCs w:val="20"/>
                <w:lang w:val="en-US"/>
              </w:rPr>
              <w:t>Stable</w:t>
            </w:r>
            <w:r w:rsidRPr="008B15E7">
              <w:rPr>
                <w:rFonts w:ascii="Aptos" w:hAnsi="Aptos"/>
                <w:b/>
                <w:bCs/>
                <w:sz w:val="24"/>
                <w:szCs w:val="24"/>
                <w:lang w:val="en-US"/>
              </w:rPr>
              <w:t xml:space="preserve"> | S&amp;P : </w:t>
            </w:r>
            <w:r w:rsidR="008B15E7" w:rsidRPr="008B15E7">
              <w:rPr>
                <w:rFonts w:ascii="Aptos" w:hAnsi="Aptos"/>
                <w:b/>
                <w:bCs/>
                <w:sz w:val="24"/>
                <w:szCs w:val="24"/>
                <w:lang w:val="en-US"/>
              </w:rPr>
              <w:t>BBB-</w:t>
            </w:r>
            <w:r w:rsidRPr="008B15E7">
              <w:rPr>
                <w:rFonts w:ascii="Aptos" w:hAnsi="Aptos"/>
                <w:b/>
                <w:bCs/>
                <w:sz w:val="24"/>
                <w:szCs w:val="24"/>
                <w:lang w:val="en-US"/>
              </w:rPr>
              <w:t xml:space="preserve">, </w:t>
            </w:r>
            <w:r w:rsidRPr="008B15E7">
              <w:rPr>
                <w:rFonts w:ascii="Aptos" w:hAnsi="Aptos"/>
                <w:b/>
                <w:bCs/>
                <w:sz w:val="20"/>
                <w:szCs w:val="20"/>
                <w:lang w:val="en-US"/>
              </w:rPr>
              <w:t>Stable</w:t>
            </w:r>
          </w:p>
          <w:p w14:paraId="3900613E" w14:textId="77777777" w:rsidR="00BA7813" w:rsidRDefault="00BA7813" w:rsidP="000F64DD">
            <w:pPr>
              <w:jc w:val="both"/>
              <w:rPr>
                <w:lang w:val="en-US"/>
              </w:rPr>
            </w:pPr>
          </w:p>
        </w:tc>
      </w:tr>
    </w:tbl>
    <w:p w14:paraId="23A63B9D" w14:textId="77777777" w:rsidR="00BA7813" w:rsidRDefault="00BA7813" w:rsidP="00BA7813">
      <w:pPr>
        <w:rPr>
          <w:lang w:val="en-US"/>
        </w:rPr>
      </w:pPr>
    </w:p>
    <w:tbl>
      <w:tblPr>
        <w:tblStyle w:val="TableGrid"/>
        <w:tblW w:w="8995" w:type="dxa"/>
        <w:tblLook w:val="04A0" w:firstRow="1" w:lastRow="0" w:firstColumn="1" w:lastColumn="0" w:noHBand="0" w:noVBand="1"/>
      </w:tblPr>
      <w:tblGrid>
        <w:gridCol w:w="4495"/>
        <w:gridCol w:w="4500"/>
      </w:tblGrid>
      <w:tr w:rsidR="00BA7813" w14:paraId="159AFA1C" w14:textId="77777777" w:rsidTr="000F64DD">
        <w:trPr>
          <w:trHeight w:val="2942"/>
        </w:trPr>
        <w:tc>
          <w:tcPr>
            <w:tcW w:w="4495" w:type="dxa"/>
          </w:tcPr>
          <w:p w14:paraId="3B49C17D" w14:textId="77777777" w:rsidR="00BA7813" w:rsidRPr="008B15E7" w:rsidRDefault="00BA7813" w:rsidP="000F64DD">
            <w:pPr>
              <w:jc w:val="center"/>
              <w:rPr>
                <w:rFonts w:ascii="Aptos" w:hAnsi="Aptos"/>
                <w:b/>
                <w:bCs/>
                <w:color w:val="70AD47" w:themeColor="accent6"/>
                <w:u w:val="single"/>
                <w:lang w:val="fr-BE"/>
              </w:rPr>
            </w:pPr>
            <w:r w:rsidRPr="008B15E7">
              <w:rPr>
                <w:rFonts w:ascii="Aptos" w:hAnsi="Aptos"/>
                <w:b/>
                <w:bCs/>
                <w:color w:val="70AD47" w:themeColor="accent6"/>
                <w:u w:val="single"/>
                <w:lang w:val="fr-BE"/>
              </w:rPr>
              <w:t>Points forts</w:t>
            </w:r>
          </w:p>
          <w:p w14:paraId="1790AEE1" w14:textId="77777777" w:rsidR="00BA7813" w:rsidRPr="008B15E7" w:rsidRDefault="00BA7813" w:rsidP="000F64DD">
            <w:pPr>
              <w:jc w:val="both"/>
              <w:rPr>
                <w:rFonts w:ascii="Aptos" w:hAnsi="Aptos"/>
                <w:b/>
                <w:bCs/>
                <w:lang w:val="fr-BE"/>
              </w:rPr>
            </w:pPr>
          </w:p>
          <w:p w14:paraId="5A30B316" w14:textId="13D19FEA" w:rsidR="00BA7813" w:rsidRDefault="00A87014" w:rsidP="000F64DD">
            <w:pPr>
              <w:pStyle w:val="ListParagraph"/>
              <w:numPr>
                <w:ilvl w:val="0"/>
                <w:numId w:val="1"/>
              </w:numPr>
              <w:jc w:val="both"/>
              <w:rPr>
                <w:rFonts w:ascii="Aptos" w:hAnsi="Aptos"/>
                <w:b/>
                <w:bCs/>
                <w:lang w:val="fr-BE"/>
              </w:rPr>
            </w:pPr>
            <w:r>
              <w:rPr>
                <w:rFonts w:ascii="Aptos" w:hAnsi="Aptos"/>
                <w:b/>
                <w:bCs/>
                <w:lang w:val="fr-BE"/>
              </w:rPr>
              <w:t>Bénéficie d’un emplacement géographique stratégique, au carrefour de l’Europe</w:t>
            </w:r>
            <w:r w:rsidR="00F74ADE">
              <w:rPr>
                <w:rFonts w:ascii="Aptos" w:hAnsi="Aptos"/>
                <w:b/>
                <w:bCs/>
                <w:lang w:val="fr-BE"/>
              </w:rPr>
              <w:t>, de la Russie et de la Chine</w:t>
            </w:r>
          </w:p>
          <w:p w14:paraId="0511B728" w14:textId="77777777" w:rsidR="00A87014" w:rsidRDefault="00F74ADE" w:rsidP="000F64DD">
            <w:pPr>
              <w:pStyle w:val="ListParagraph"/>
              <w:numPr>
                <w:ilvl w:val="0"/>
                <w:numId w:val="1"/>
              </w:numPr>
              <w:jc w:val="both"/>
              <w:rPr>
                <w:rFonts w:ascii="Aptos" w:hAnsi="Aptos"/>
                <w:b/>
                <w:bCs/>
                <w:lang w:val="fr-BE"/>
              </w:rPr>
            </w:pPr>
            <w:r>
              <w:rPr>
                <w:rFonts w:ascii="Aptos" w:hAnsi="Aptos"/>
                <w:b/>
                <w:bCs/>
                <w:lang w:val="fr-BE"/>
              </w:rPr>
              <w:t>Important potentiel pétrolier, gazier et minier</w:t>
            </w:r>
          </w:p>
          <w:p w14:paraId="2D989DBA" w14:textId="600AF05C" w:rsidR="00F74ADE" w:rsidRPr="008B15E7" w:rsidRDefault="00A96482" w:rsidP="000F64DD">
            <w:pPr>
              <w:pStyle w:val="ListParagraph"/>
              <w:numPr>
                <w:ilvl w:val="0"/>
                <w:numId w:val="1"/>
              </w:numPr>
              <w:jc w:val="both"/>
              <w:rPr>
                <w:rFonts w:ascii="Aptos" w:hAnsi="Aptos"/>
                <w:b/>
                <w:bCs/>
                <w:lang w:val="fr-BE"/>
              </w:rPr>
            </w:pPr>
            <w:r w:rsidRPr="00A96482">
              <w:rPr>
                <w:rFonts w:ascii="Aptos" w:hAnsi="Aptos"/>
                <w:b/>
                <w:bCs/>
                <w:lang w:val="fr-BE"/>
              </w:rPr>
              <w:t>Réserves importantes de change de la Banque centrale (NBK) et du Fonds pétrolier national (NFRK)</w:t>
            </w:r>
          </w:p>
        </w:tc>
        <w:tc>
          <w:tcPr>
            <w:tcW w:w="4500" w:type="dxa"/>
          </w:tcPr>
          <w:p w14:paraId="52E7B958" w14:textId="77777777" w:rsidR="00BA7813" w:rsidRPr="008B15E7" w:rsidRDefault="00BA7813" w:rsidP="000F64DD">
            <w:pPr>
              <w:jc w:val="center"/>
              <w:rPr>
                <w:rFonts w:ascii="Aptos" w:hAnsi="Aptos"/>
                <w:b/>
                <w:bCs/>
                <w:color w:val="FF0000"/>
                <w:u w:val="single"/>
                <w:lang w:val="fr-BE"/>
              </w:rPr>
            </w:pPr>
            <w:r w:rsidRPr="008B15E7">
              <w:rPr>
                <w:rFonts w:ascii="Aptos" w:hAnsi="Aptos"/>
                <w:b/>
                <w:bCs/>
                <w:color w:val="FF0000"/>
                <w:u w:val="single"/>
                <w:lang w:val="fr-BE"/>
              </w:rPr>
              <w:t>Points faibles</w:t>
            </w:r>
          </w:p>
          <w:p w14:paraId="1EBE3778" w14:textId="77777777" w:rsidR="00BA7813" w:rsidRPr="008B15E7" w:rsidRDefault="00BA7813" w:rsidP="000F64DD">
            <w:pPr>
              <w:jc w:val="both"/>
              <w:rPr>
                <w:rFonts w:ascii="Aptos" w:hAnsi="Aptos"/>
                <w:b/>
                <w:bCs/>
                <w:lang w:val="fr-BE"/>
              </w:rPr>
            </w:pPr>
          </w:p>
          <w:p w14:paraId="0B8DF64C" w14:textId="5C748464" w:rsidR="007C4083" w:rsidRPr="007C4083" w:rsidRDefault="007C4083" w:rsidP="007C4083">
            <w:pPr>
              <w:pStyle w:val="ListParagraph"/>
              <w:numPr>
                <w:ilvl w:val="0"/>
                <w:numId w:val="1"/>
              </w:numPr>
              <w:jc w:val="both"/>
              <w:rPr>
                <w:rFonts w:ascii="Aptos" w:hAnsi="Aptos"/>
                <w:b/>
                <w:bCs/>
                <w:lang w:val="fr-BE"/>
              </w:rPr>
            </w:pPr>
            <w:r>
              <w:rPr>
                <w:rFonts w:ascii="Aptos" w:hAnsi="Aptos"/>
                <w:b/>
                <w:bCs/>
                <w:lang w:val="fr-BE"/>
              </w:rPr>
              <w:t>L’environnement économique du pays sera très sensible à l’évolution de ses relations avec la Chine et la Russie</w:t>
            </w:r>
          </w:p>
          <w:p w14:paraId="37B5DF73" w14:textId="761F4DCD" w:rsidR="00BA7813" w:rsidRDefault="00F74ADE" w:rsidP="00007E98">
            <w:pPr>
              <w:pStyle w:val="ListParagraph"/>
              <w:numPr>
                <w:ilvl w:val="0"/>
                <w:numId w:val="1"/>
              </w:numPr>
              <w:jc w:val="both"/>
              <w:rPr>
                <w:rFonts w:ascii="Aptos" w:hAnsi="Aptos"/>
                <w:b/>
                <w:bCs/>
                <w:lang w:val="fr-BE"/>
              </w:rPr>
            </w:pPr>
            <w:r>
              <w:rPr>
                <w:rFonts w:ascii="Aptos" w:hAnsi="Aptos"/>
                <w:b/>
                <w:bCs/>
                <w:lang w:val="fr-BE"/>
              </w:rPr>
              <w:t>La révolte de 2022 témoigne d’un mal-être de la population laissant présager un</w:t>
            </w:r>
            <w:r w:rsidR="007C4083">
              <w:rPr>
                <w:rFonts w:ascii="Aptos" w:hAnsi="Aptos"/>
                <w:b/>
                <w:bCs/>
                <w:lang w:val="fr-BE"/>
              </w:rPr>
              <w:t xml:space="preserve"> scénario d’</w:t>
            </w:r>
            <w:r>
              <w:rPr>
                <w:rFonts w:ascii="Aptos" w:hAnsi="Aptos"/>
                <w:b/>
                <w:bCs/>
                <w:lang w:val="fr-BE"/>
              </w:rPr>
              <w:t>instabilité politique</w:t>
            </w:r>
          </w:p>
          <w:p w14:paraId="2BA51C9B" w14:textId="77777777" w:rsidR="00A96482" w:rsidRDefault="00A96482" w:rsidP="00A96482">
            <w:pPr>
              <w:pStyle w:val="ListParagraph"/>
              <w:numPr>
                <w:ilvl w:val="0"/>
                <w:numId w:val="1"/>
              </w:numPr>
              <w:jc w:val="both"/>
              <w:rPr>
                <w:rFonts w:ascii="Aptos" w:hAnsi="Aptos"/>
                <w:b/>
                <w:bCs/>
                <w:lang w:val="fr-BE"/>
              </w:rPr>
            </w:pPr>
            <w:r>
              <w:rPr>
                <w:rFonts w:ascii="Aptos" w:hAnsi="Aptos"/>
                <w:b/>
                <w:bCs/>
                <w:lang w:val="fr-BE"/>
              </w:rPr>
              <w:t>Système bancaire fragile et dollarisation importante</w:t>
            </w:r>
          </w:p>
          <w:p w14:paraId="64B88389" w14:textId="24BD470D" w:rsidR="00A96482" w:rsidRPr="00A96482" w:rsidRDefault="00A96482" w:rsidP="00A96482">
            <w:pPr>
              <w:pStyle w:val="ListParagraph"/>
              <w:jc w:val="both"/>
              <w:rPr>
                <w:rFonts w:ascii="Aptos" w:hAnsi="Aptos"/>
                <w:b/>
                <w:bCs/>
                <w:lang w:val="fr-BE"/>
              </w:rPr>
            </w:pPr>
          </w:p>
        </w:tc>
      </w:tr>
    </w:tbl>
    <w:p w14:paraId="7579C7C1" w14:textId="77777777" w:rsidR="00BA7813" w:rsidRPr="008B15E7" w:rsidRDefault="00BA7813" w:rsidP="00BA7813">
      <w:pPr>
        <w:jc w:val="both"/>
        <w:rPr>
          <w:rFonts w:ascii="Aptos" w:hAnsi="Aptos"/>
          <w:b/>
          <w:bCs/>
          <w:highlight w:val="lightGray"/>
          <w:lang w:val="fr-BE"/>
        </w:rPr>
      </w:pPr>
    </w:p>
    <w:p w14:paraId="5BF1312C" w14:textId="0B8AFD68" w:rsidR="00BA7813" w:rsidRPr="008B15E7" w:rsidRDefault="00BA7813" w:rsidP="00BA7813">
      <w:pPr>
        <w:jc w:val="both"/>
        <w:rPr>
          <w:rFonts w:ascii="Aptos" w:hAnsi="Aptos"/>
          <w:b/>
          <w:bCs/>
          <w:lang w:val="fr-BE"/>
        </w:rPr>
      </w:pPr>
      <w:r w:rsidRPr="003106CE">
        <w:rPr>
          <w:rFonts w:ascii="Aptos" w:hAnsi="Aptos"/>
          <w:b/>
          <w:bCs/>
          <w:highlight w:val="lightGray"/>
          <w:lang w:val="fr-BE"/>
        </w:rPr>
        <w:t>Résumé :</w:t>
      </w:r>
      <w:r w:rsidR="003106CE" w:rsidRPr="003106CE">
        <w:rPr>
          <w:highlight w:val="lightGray"/>
        </w:rPr>
        <w:t xml:space="preserve"> </w:t>
      </w:r>
      <w:r w:rsidR="003106CE" w:rsidRPr="003106CE">
        <w:rPr>
          <w:rFonts w:ascii="Aptos" w:hAnsi="Aptos"/>
          <w:b/>
          <w:bCs/>
          <w:highlight w:val="lightGray"/>
          <w:lang w:val="fr-BE"/>
        </w:rPr>
        <w:t>Le Kazakhstan bénéficie d'un emplacement géographique stratégique entre l'Europe, la Russie et Chine</w:t>
      </w:r>
      <w:r w:rsidR="00375CD9">
        <w:rPr>
          <w:rFonts w:ascii="Aptos" w:hAnsi="Aptos"/>
          <w:b/>
          <w:bCs/>
          <w:highlight w:val="lightGray"/>
          <w:lang w:val="fr-BE"/>
        </w:rPr>
        <w:t xml:space="preserve"> et Moyen-Orient</w:t>
      </w:r>
      <w:r w:rsidR="003106CE">
        <w:rPr>
          <w:rFonts w:ascii="Aptos" w:hAnsi="Aptos"/>
          <w:b/>
          <w:bCs/>
          <w:highlight w:val="lightGray"/>
          <w:lang w:val="fr-BE"/>
        </w:rPr>
        <w:t xml:space="preserve">. Aussi, le pays dispose </w:t>
      </w:r>
      <w:r w:rsidR="003106CE" w:rsidRPr="003106CE">
        <w:rPr>
          <w:rFonts w:ascii="Aptos" w:hAnsi="Aptos"/>
          <w:b/>
          <w:bCs/>
          <w:highlight w:val="lightGray"/>
          <w:lang w:val="fr-BE"/>
        </w:rPr>
        <w:t>d'un potentiel pétrolier, gazier et minier significatif</w:t>
      </w:r>
      <w:r w:rsidR="003106CE">
        <w:rPr>
          <w:rFonts w:ascii="Aptos" w:hAnsi="Aptos"/>
          <w:b/>
          <w:bCs/>
          <w:highlight w:val="lightGray"/>
          <w:lang w:val="fr-BE"/>
        </w:rPr>
        <w:t>, qui lui assure une rente conséquente</w:t>
      </w:r>
      <w:r w:rsidR="003106CE" w:rsidRPr="003106CE">
        <w:rPr>
          <w:rFonts w:ascii="Aptos" w:hAnsi="Aptos"/>
          <w:b/>
          <w:bCs/>
          <w:highlight w:val="lightGray"/>
          <w:lang w:val="fr-BE"/>
        </w:rPr>
        <w:t xml:space="preserve">. Les importantes réserves de change de la Banque centrale et du Fonds pétrolier national sont des atouts majeurs pour la stabilité économique du pays. Cependant, son économie reste </w:t>
      </w:r>
      <w:r w:rsidR="003106CE">
        <w:rPr>
          <w:rFonts w:ascii="Aptos" w:hAnsi="Aptos"/>
          <w:b/>
          <w:bCs/>
          <w:highlight w:val="lightGray"/>
          <w:lang w:val="fr-BE"/>
        </w:rPr>
        <w:t>dépendante de ses bonnes</w:t>
      </w:r>
      <w:r w:rsidR="003106CE" w:rsidRPr="003106CE">
        <w:rPr>
          <w:rFonts w:ascii="Aptos" w:hAnsi="Aptos"/>
          <w:b/>
          <w:bCs/>
          <w:highlight w:val="lightGray"/>
          <w:lang w:val="fr-BE"/>
        </w:rPr>
        <w:t xml:space="preserve"> relations avec la Chine et la Russie</w:t>
      </w:r>
      <w:r w:rsidR="00375CD9">
        <w:rPr>
          <w:rFonts w:ascii="Aptos" w:hAnsi="Aptos"/>
          <w:b/>
          <w:bCs/>
          <w:highlight w:val="lightGray"/>
          <w:lang w:val="fr-BE"/>
        </w:rPr>
        <w:t xml:space="preserve">. Par exemple, 80% des exportations totales de pétrole du pays passe par </w:t>
      </w:r>
      <w:r w:rsidR="003106CE">
        <w:rPr>
          <w:rFonts w:ascii="Aptos" w:hAnsi="Aptos"/>
          <w:b/>
          <w:bCs/>
          <w:highlight w:val="lightGray"/>
          <w:lang w:val="fr-BE"/>
        </w:rPr>
        <w:t xml:space="preserve">le </w:t>
      </w:r>
      <w:proofErr w:type="spellStart"/>
      <w:r w:rsidR="003106CE">
        <w:rPr>
          <w:rFonts w:ascii="Aptos" w:hAnsi="Aptos"/>
          <w:b/>
          <w:bCs/>
          <w:highlight w:val="lightGray"/>
          <w:lang w:val="fr-BE"/>
        </w:rPr>
        <w:t>Caspian</w:t>
      </w:r>
      <w:proofErr w:type="spellEnd"/>
      <w:r w:rsidR="003106CE">
        <w:rPr>
          <w:rFonts w:ascii="Aptos" w:hAnsi="Aptos"/>
          <w:b/>
          <w:bCs/>
          <w:highlight w:val="lightGray"/>
          <w:lang w:val="fr-BE"/>
        </w:rPr>
        <w:t xml:space="preserve"> Pipeline Consortium</w:t>
      </w:r>
      <w:r w:rsidR="00375CD9">
        <w:rPr>
          <w:rFonts w:ascii="Aptos" w:hAnsi="Aptos"/>
          <w:b/>
          <w:bCs/>
          <w:highlight w:val="lightGray"/>
          <w:lang w:val="fr-BE"/>
        </w:rPr>
        <w:t xml:space="preserve"> qui traverse le territoire russe</w:t>
      </w:r>
      <w:r w:rsidR="003106CE" w:rsidRPr="003106CE">
        <w:rPr>
          <w:rFonts w:ascii="Aptos" w:hAnsi="Aptos"/>
          <w:b/>
          <w:bCs/>
          <w:highlight w:val="lightGray"/>
          <w:lang w:val="fr-BE"/>
        </w:rPr>
        <w:t xml:space="preserve">. La révolte de 2022 a mis en lumière des tensions internes qui pourraient menacer la stabilité politique, et le système bancaire du pays est </w:t>
      </w:r>
      <w:r w:rsidR="00375CD9">
        <w:rPr>
          <w:rFonts w:ascii="Aptos" w:hAnsi="Aptos"/>
          <w:b/>
          <w:bCs/>
          <w:highlight w:val="lightGray"/>
          <w:lang w:val="fr-BE"/>
        </w:rPr>
        <w:t>fragilisé</w:t>
      </w:r>
      <w:r w:rsidR="003106CE" w:rsidRPr="003106CE">
        <w:rPr>
          <w:rFonts w:ascii="Aptos" w:hAnsi="Aptos"/>
          <w:b/>
          <w:bCs/>
          <w:highlight w:val="lightGray"/>
          <w:lang w:val="fr-BE"/>
        </w:rPr>
        <w:t xml:space="preserve"> par une dollarisation élevée. Malgré ces défis, le Kazakhstan affiche</w:t>
      </w:r>
      <w:r w:rsidR="00375CD9">
        <w:rPr>
          <w:rFonts w:ascii="Aptos" w:hAnsi="Aptos"/>
          <w:b/>
          <w:bCs/>
          <w:highlight w:val="lightGray"/>
          <w:lang w:val="fr-BE"/>
        </w:rPr>
        <w:t xml:space="preserve"> des potentialités réelles,</w:t>
      </w:r>
      <w:r w:rsidR="003106CE" w:rsidRPr="003106CE">
        <w:rPr>
          <w:rFonts w:ascii="Aptos" w:hAnsi="Aptos"/>
          <w:b/>
          <w:bCs/>
          <w:highlight w:val="lightGray"/>
          <w:lang w:val="fr-BE"/>
        </w:rPr>
        <w:t xml:space="preserve"> une croissance économique solide, soutenue par l'expansion de ses exportations d'hydrocarbure</w:t>
      </w:r>
      <w:r w:rsidR="00375CD9">
        <w:rPr>
          <w:rFonts w:ascii="Aptos" w:hAnsi="Aptos"/>
          <w:b/>
          <w:bCs/>
          <w:highlight w:val="lightGray"/>
          <w:lang w:val="fr-BE"/>
        </w:rPr>
        <w:t>s</w:t>
      </w:r>
      <w:r w:rsidR="003106CE" w:rsidRPr="003106CE">
        <w:rPr>
          <w:rFonts w:ascii="Aptos" w:hAnsi="Aptos"/>
          <w:b/>
          <w:bCs/>
          <w:highlight w:val="lightGray"/>
          <w:lang w:val="fr-BE"/>
        </w:rPr>
        <w:t>. L'avenir économique repose sur la diversification de</w:t>
      </w:r>
      <w:r w:rsidR="0041089C">
        <w:rPr>
          <w:rFonts w:ascii="Aptos" w:hAnsi="Aptos"/>
          <w:b/>
          <w:bCs/>
          <w:highlight w:val="lightGray"/>
          <w:lang w:val="fr-BE"/>
        </w:rPr>
        <w:t xml:space="preserve">s </w:t>
      </w:r>
      <w:r w:rsidR="003106CE" w:rsidRPr="003106CE">
        <w:rPr>
          <w:rFonts w:ascii="Aptos" w:hAnsi="Aptos"/>
          <w:b/>
          <w:bCs/>
          <w:highlight w:val="lightGray"/>
          <w:lang w:val="fr-BE"/>
        </w:rPr>
        <w:t xml:space="preserve">revenus et </w:t>
      </w:r>
      <w:r w:rsidR="00375CD9">
        <w:rPr>
          <w:rFonts w:ascii="Aptos" w:hAnsi="Aptos"/>
          <w:b/>
          <w:bCs/>
          <w:highlight w:val="lightGray"/>
          <w:lang w:val="fr-BE"/>
        </w:rPr>
        <w:t>une amélioration des</w:t>
      </w:r>
      <w:r w:rsidR="003106CE" w:rsidRPr="003106CE">
        <w:rPr>
          <w:rFonts w:ascii="Aptos" w:hAnsi="Aptos"/>
          <w:b/>
          <w:bCs/>
          <w:highlight w:val="lightGray"/>
          <w:lang w:val="fr-BE"/>
        </w:rPr>
        <w:t xml:space="preserve"> infrastructures.</w:t>
      </w:r>
    </w:p>
    <w:p w14:paraId="4EF83AC7" w14:textId="77777777" w:rsidR="00BA7813" w:rsidRDefault="00BA7813" w:rsidP="00BA7813">
      <w:pPr>
        <w:jc w:val="both"/>
        <w:rPr>
          <w:b/>
          <w:bCs/>
          <w:lang w:val="fr-BE"/>
        </w:rPr>
      </w:pPr>
    </w:p>
    <w:p w14:paraId="23F3BD4F" w14:textId="55417C6E" w:rsidR="00BA7813" w:rsidRDefault="00762C2F" w:rsidP="00375CD9">
      <w:pPr>
        <w:keepNext/>
        <w:jc w:val="center"/>
      </w:pPr>
      <w:r>
        <w:rPr>
          <w:noProof/>
        </w:rPr>
        <w:drawing>
          <wp:inline distT="0" distB="0" distL="0" distR="0" wp14:anchorId="4C4F79ED" wp14:editId="6A3B4781">
            <wp:extent cx="4787276" cy="26206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523" cy="2664025"/>
                    </a:xfrm>
                    <a:prstGeom prst="rect">
                      <a:avLst/>
                    </a:prstGeom>
                  </pic:spPr>
                </pic:pic>
              </a:graphicData>
            </a:graphic>
          </wp:inline>
        </w:drawing>
      </w:r>
    </w:p>
    <w:p w14:paraId="58B25172" w14:textId="77777777" w:rsidR="00BA7813" w:rsidRPr="008B15E7" w:rsidRDefault="00BA7813" w:rsidP="00BA7813">
      <w:pPr>
        <w:pStyle w:val="Caption"/>
        <w:jc w:val="center"/>
        <w:rPr>
          <w:rFonts w:ascii="Aptos" w:hAnsi="Aptos"/>
          <w:b/>
          <w:bCs/>
          <w:lang w:val="fr-BE"/>
        </w:rPr>
      </w:pPr>
      <w:r w:rsidRPr="008B15E7">
        <w:rPr>
          <w:rFonts w:ascii="Aptos" w:hAnsi="Aptos"/>
        </w:rPr>
        <w:t xml:space="preserve">Le tableau et les données proviennent de </w:t>
      </w:r>
      <w:r w:rsidRPr="008B15E7">
        <w:rPr>
          <w:rFonts w:ascii="Aptos" w:hAnsi="Aptos"/>
          <w:b/>
          <w:bCs/>
        </w:rPr>
        <w:t xml:space="preserve">Fitch </w:t>
      </w:r>
      <w:proofErr w:type="spellStart"/>
      <w:r w:rsidRPr="008B15E7">
        <w:rPr>
          <w:rFonts w:ascii="Aptos" w:hAnsi="Aptos"/>
          <w:b/>
          <w:bCs/>
        </w:rPr>
        <w:t>Connect</w:t>
      </w:r>
      <w:proofErr w:type="spellEnd"/>
    </w:p>
    <w:p w14:paraId="20391009" w14:textId="77777777" w:rsidR="00BA7813" w:rsidRPr="008B15E7" w:rsidRDefault="00BA7813" w:rsidP="00BA7813">
      <w:pPr>
        <w:jc w:val="both"/>
        <w:rPr>
          <w:rFonts w:ascii="Aptos" w:hAnsi="Aptos"/>
          <w:u w:val="single"/>
        </w:rPr>
      </w:pPr>
      <w:r w:rsidRPr="008B15E7">
        <w:rPr>
          <w:rFonts w:ascii="Aptos" w:hAnsi="Aptos"/>
          <w:u w:val="single"/>
        </w:rPr>
        <w:lastRenderedPageBreak/>
        <w:t>Rappels importants</w:t>
      </w:r>
    </w:p>
    <w:p w14:paraId="7C11B9B6" w14:textId="27D4E347" w:rsidR="00BA7813" w:rsidRDefault="00417412" w:rsidP="00BA7813">
      <w:pPr>
        <w:jc w:val="both"/>
        <w:rPr>
          <w:rFonts w:ascii="Aptos" w:hAnsi="Aptos"/>
        </w:rPr>
      </w:pPr>
      <w:r>
        <w:rPr>
          <w:rFonts w:ascii="Aptos" w:hAnsi="Aptos"/>
        </w:rPr>
        <w:t>Le</w:t>
      </w:r>
      <w:r w:rsidR="008B15E7">
        <w:rPr>
          <w:rFonts w:ascii="Aptos" w:hAnsi="Aptos"/>
        </w:rPr>
        <w:t xml:space="preserve"> Kazakhstan acquiert son indépendance le 16 </w:t>
      </w:r>
      <w:r>
        <w:rPr>
          <w:rFonts w:ascii="Aptos" w:hAnsi="Aptos"/>
        </w:rPr>
        <w:t>décembre 1991, au moment de la dislocation de l’URSS dont elle était membre.  Depuis, le pays est engagé dans un processus de libéralisation de son économie</w:t>
      </w:r>
      <w:r w:rsidR="007A68C4">
        <w:rPr>
          <w:rFonts w:ascii="Aptos" w:hAnsi="Aptos"/>
        </w:rPr>
        <w:t xml:space="preserve"> (vague de privatisation, création d’une monnaie nationale, signature d’un contrat d’exploitation pétrolière avec </w:t>
      </w:r>
      <w:proofErr w:type="spellStart"/>
      <w:r w:rsidR="007A68C4">
        <w:rPr>
          <w:rFonts w:ascii="Aptos" w:hAnsi="Aptos"/>
        </w:rPr>
        <w:t>Chrevron</w:t>
      </w:r>
      <w:proofErr w:type="spellEnd"/>
      <w:r w:rsidR="007A68C4">
        <w:rPr>
          <w:rFonts w:ascii="Aptos" w:hAnsi="Aptos"/>
        </w:rPr>
        <w:t xml:space="preserve">). Suite à la crise pétrolière de 1998 qui a lourdement impacté la Russie (avec qui elle conserve toujours des liens solides), le Kazakhstan a décidé de se tourner économiquement vers la Chine. </w:t>
      </w:r>
    </w:p>
    <w:p w14:paraId="338B184B" w14:textId="2AFFA7A9" w:rsidR="00C33B15" w:rsidRDefault="007B1D5D" w:rsidP="00BA7813">
      <w:pPr>
        <w:jc w:val="both"/>
        <w:rPr>
          <w:rFonts w:ascii="Aptos" w:hAnsi="Aptos"/>
        </w:rPr>
      </w:pPr>
      <w:r>
        <w:rPr>
          <w:rFonts w:ascii="Aptos" w:hAnsi="Aptos"/>
        </w:rPr>
        <w:t>L</w:t>
      </w:r>
      <w:r w:rsidR="00AE3852">
        <w:rPr>
          <w:rFonts w:ascii="Aptos" w:hAnsi="Aptos"/>
        </w:rPr>
        <w:t xml:space="preserve">e </w:t>
      </w:r>
      <w:proofErr w:type="spellStart"/>
      <w:r w:rsidR="00AE3852">
        <w:rPr>
          <w:rFonts w:ascii="Aptos" w:hAnsi="Aptos"/>
        </w:rPr>
        <w:t>Kazhakstan</w:t>
      </w:r>
      <w:proofErr w:type="spellEnd"/>
      <w:r w:rsidR="00AE3852">
        <w:rPr>
          <w:rFonts w:ascii="Aptos" w:hAnsi="Aptos"/>
        </w:rPr>
        <w:t xml:space="preserve"> possède une</w:t>
      </w:r>
      <w:r>
        <w:rPr>
          <w:rFonts w:ascii="Aptos" w:hAnsi="Aptos"/>
        </w:rPr>
        <w:t xml:space="preserve"> superficie de 2,7 millions de kilomètres carrés</w:t>
      </w:r>
      <w:r w:rsidR="00786320">
        <w:rPr>
          <w:rFonts w:ascii="Aptos" w:hAnsi="Aptos"/>
        </w:rPr>
        <w:t xml:space="preserve"> (le 9</w:t>
      </w:r>
      <w:r w:rsidR="00786320" w:rsidRPr="00786320">
        <w:rPr>
          <w:rFonts w:ascii="Aptos" w:hAnsi="Aptos"/>
          <w:vertAlign w:val="superscript"/>
        </w:rPr>
        <w:t>e</w:t>
      </w:r>
      <w:r w:rsidR="00786320">
        <w:rPr>
          <w:rFonts w:ascii="Aptos" w:hAnsi="Aptos"/>
        </w:rPr>
        <w:t xml:space="preserve"> plus grand du monde)</w:t>
      </w:r>
      <w:r w:rsidR="00AE3852">
        <w:rPr>
          <w:rFonts w:ascii="Aptos" w:hAnsi="Aptos"/>
        </w:rPr>
        <w:t xml:space="preserve"> et </w:t>
      </w:r>
      <w:r w:rsidR="00786320">
        <w:rPr>
          <w:rFonts w:ascii="Aptos" w:hAnsi="Aptos"/>
        </w:rPr>
        <w:t>comporte 20 millions d’habitants</w:t>
      </w:r>
      <w:r w:rsidR="00AE3852">
        <w:rPr>
          <w:rFonts w:ascii="Aptos" w:hAnsi="Aptos"/>
        </w:rPr>
        <w:t>. Le pays possède un IDH de 0</w:t>
      </w:r>
      <w:r w:rsidR="00A87014">
        <w:rPr>
          <w:rFonts w:ascii="Aptos" w:hAnsi="Aptos"/>
        </w:rPr>
        <w:t>,</w:t>
      </w:r>
      <w:r w:rsidR="00AE3852">
        <w:rPr>
          <w:rFonts w:ascii="Aptos" w:hAnsi="Aptos"/>
        </w:rPr>
        <w:t>81, ce qui le place à la 56</w:t>
      </w:r>
      <w:r w:rsidR="00AE3852" w:rsidRPr="00AE3852">
        <w:rPr>
          <w:rFonts w:ascii="Aptos" w:hAnsi="Aptos"/>
          <w:vertAlign w:val="superscript"/>
        </w:rPr>
        <w:t>e</w:t>
      </w:r>
      <w:r w:rsidR="00AE3852">
        <w:rPr>
          <w:rFonts w:ascii="Aptos" w:hAnsi="Aptos"/>
        </w:rPr>
        <w:t xml:space="preserve"> place du classement</w:t>
      </w:r>
      <w:r w:rsidR="00571C85">
        <w:rPr>
          <w:rFonts w:ascii="Aptos" w:hAnsi="Aptos"/>
        </w:rPr>
        <w:t>.</w:t>
      </w:r>
    </w:p>
    <w:p w14:paraId="307EA42A" w14:textId="351D1BBE" w:rsidR="00C33B15" w:rsidRDefault="00C33B15" w:rsidP="00BA7813">
      <w:pPr>
        <w:jc w:val="both"/>
        <w:rPr>
          <w:rFonts w:ascii="Aptos" w:hAnsi="Aptos"/>
        </w:rPr>
      </w:pPr>
      <w:r w:rsidRPr="00571C85">
        <w:rPr>
          <w:rFonts w:ascii="Aptos" w:hAnsi="Aptos"/>
        </w:rPr>
        <w:t>La politique au Kazakhstan repose sur un modèle étatique de république semi-présidentielle dont le chef d'État est le président et le chef de gouvernement, le Premier ministre. Le régime du Kazakhstan demeure qualifié d'autoritaire.</w:t>
      </w:r>
      <w:r>
        <w:rPr>
          <w:rFonts w:ascii="Aptos" w:hAnsi="Aptos"/>
        </w:rPr>
        <w:t xml:space="preserve"> L’actuel président est </w:t>
      </w:r>
      <w:proofErr w:type="spellStart"/>
      <w:r>
        <w:rPr>
          <w:rFonts w:ascii="Aptos" w:hAnsi="Aptos"/>
        </w:rPr>
        <w:t>K</w:t>
      </w:r>
      <w:r w:rsidRPr="00571C85">
        <w:rPr>
          <w:rFonts w:ascii="Aptos" w:hAnsi="Aptos"/>
        </w:rPr>
        <w:t>assym-Jomart</w:t>
      </w:r>
      <w:proofErr w:type="spellEnd"/>
      <w:r w:rsidRPr="00571C85">
        <w:rPr>
          <w:rFonts w:ascii="Aptos" w:hAnsi="Aptos"/>
        </w:rPr>
        <w:t xml:space="preserve"> </w:t>
      </w:r>
      <w:proofErr w:type="spellStart"/>
      <w:r w:rsidRPr="00571C85">
        <w:rPr>
          <w:rFonts w:ascii="Aptos" w:hAnsi="Aptos"/>
        </w:rPr>
        <w:t>Tokaïev</w:t>
      </w:r>
      <w:proofErr w:type="spellEnd"/>
      <w:r>
        <w:rPr>
          <w:rFonts w:ascii="Aptos" w:hAnsi="Aptos"/>
        </w:rPr>
        <w:t xml:space="preserve"> (en fonction depuis le 20 mars 2019) et le chef du gouvernement est </w:t>
      </w:r>
      <w:proofErr w:type="spellStart"/>
      <w:r w:rsidRPr="00C33B15">
        <w:rPr>
          <w:rFonts w:ascii="Aptos" w:hAnsi="Aptos"/>
        </w:rPr>
        <w:t>Oljas</w:t>
      </w:r>
      <w:proofErr w:type="spellEnd"/>
      <w:r w:rsidRPr="00C33B15">
        <w:rPr>
          <w:rFonts w:ascii="Aptos" w:hAnsi="Aptos"/>
        </w:rPr>
        <w:t xml:space="preserve"> </w:t>
      </w:r>
      <w:proofErr w:type="spellStart"/>
      <w:r w:rsidRPr="00C33B15">
        <w:rPr>
          <w:rFonts w:ascii="Aptos" w:hAnsi="Aptos"/>
        </w:rPr>
        <w:t>Bektenov</w:t>
      </w:r>
      <w:proofErr w:type="spellEnd"/>
      <w:r>
        <w:rPr>
          <w:rFonts w:ascii="Aptos" w:hAnsi="Aptos"/>
        </w:rPr>
        <w:t xml:space="preserve"> (depuis le 6 février 2024). </w:t>
      </w:r>
    </w:p>
    <w:p w14:paraId="775EAEA4" w14:textId="7A4253ED" w:rsidR="00CE603E" w:rsidRDefault="00786320" w:rsidP="00BA7813">
      <w:pPr>
        <w:jc w:val="both"/>
        <w:rPr>
          <w:rFonts w:ascii="Aptos" w:hAnsi="Aptos"/>
        </w:rPr>
      </w:pPr>
      <w:r>
        <w:rPr>
          <w:rFonts w:ascii="Aptos" w:hAnsi="Aptos"/>
        </w:rPr>
        <w:t>Riche en ressources naturelles (uranium, pétrole, gaz naturel, charbon), et disposant de terres fertiles, le Kazakhstan attire les grandes puissances mondiales. Ce pays d’Asie centrale, est coincé géographiquement entre deux puissances, la Russie et la Chine, ce qui lui confère un positionnement stratégique.</w:t>
      </w:r>
    </w:p>
    <w:p w14:paraId="1DC29309" w14:textId="77777777" w:rsidR="00C33B15" w:rsidRPr="008B15E7" w:rsidRDefault="00C33B15" w:rsidP="00BA7813">
      <w:pPr>
        <w:jc w:val="both"/>
        <w:rPr>
          <w:rFonts w:ascii="Aptos" w:hAnsi="Aptos"/>
        </w:rPr>
      </w:pPr>
    </w:p>
    <w:p w14:paraId="4F0E75C6" w14:textId="77777777" w:rsidR="00BA7813" w:rsidRDefault="00BA7813" w:rsidP="00BA7813">
      <w:pPr>
        <w:jc w:val="both"/>
        <w:rPr>
          <w:rFonts w:ascii="Aptos" w:hAnsi="Aptos"/>
          <w:u w:val="single"/>
          <w:lang w:val="fr-BE"/>
        </w:rPr>
      </w:pPr>
      <w:r w:rsidRPr="008B15E7">
        <w:rPr>
          <w:rFonts w:ascii="Aptos" w:hAnsi="Aptos"/>
          <w:u w:val="single"/>
          <w:lang w:val="fr-BE"/>
        </w:rPr>
        <w:t>Actualité</w:t>
      </w:r>
    </w:p>
    <w:p w14:paraId="601618CB" w14:textId="7E4AD0D8" w:rsidR="002B477B" w:rsidRDefault="002B477B" w:rsidP="00BA7813">
      <w:pPr>
        <w:jc w:val="both"/>
        <w:rPr>
          <w:rFonts w:ascii="Aptos" w:hAnsi="Aptos"/>
          <w:lang w:val="fr-BE"/>
        </w:rPr>
      </w:pPr>
      <w:r>
        <w:rPr>
          <w:rFonts w:ascii="Aptos" w:hAnsi="Aptos"/>
          <w:lang w:val="fr-BE"/>
        </w:rPr>
        <w:t>En janvier</w:t>
      </w:r>
      <w:r w:rsidRPr="002B477B">
        <w:rPr>
          <w:rFonts w:ascii="Aptos" w:hAnsi="Aptos"/>
          <w:lang w:val="fr-BE"/>
        </w:rPr>
        <w:t xml:space="preserve"> 2022, un mouvement de protestation</w:t>
      </w:r>
      <w:r>
        <w:rPr>
          <w:rFonts w:ascii="Aptos" w:hAnsi="Aptos"/>
          <w:lang w:val="fr-BE"/>
        </w:rPr>
        <w:t xml:space="preserve"> a éclaté</w:t>
      </w:r>
      <w:r w:rsidRPr="002B477B">
        <w:rPr>
          <w:rFonts w:ascii="Aptos" w:hAnsi="Aptos"/>
          <w:lang w:val="fr-BE"/>
        </w:rPr>
        <w:t xml:space="preserve"> </w:t>
      </w:r>
      <w:r>
        <w:rPr>
          <w:rFonts w:ascii="Aptos" w:hAnsi="Aptos"/>
          <w:lang w:val="fr-BE"/>
        </w:rPr>
        <w:t xml:space="preserve">dans tout le pays à la suite de </w:t>
      </w:r>
      <w:r w:rsidRPr="002B477B">
        <w:rPr>
          <w:rFonts w:ascii="Aptos" w:hAnsi="Aptos"/>
          <w:lang w:val="fr-BE"/>
        </w:rPr>
        <w:t xml:space="preserve">la hausse </w:t>
      </w:r>
      <w:r>
        <w:rPr>
          <w:rFonts w:ascii="Aptos" w:hAnsi="Aptos"/>
          <w:lang w:val="fr-BE"/>
        </w:rPr>
        <w:t>soudaine</w:t>
      </w:r>
      <w:r w:rsidRPr="002B477B">
        <w:rPr>
          <w:rFonts w:ascii="Aptos" w:hAnsi="Aptos"/>
          <w:lang w:val="fr-BE"/>
        </w:rPr>
        <w:t xml:space="preserve"> </w:t>
      </w:r>
      <w:r>
        <w:rPr>
          <w:rFonts w:ascii="Aptos" w:hAnsi="Aptos"/>
          <w:lang w:val="fr-BE"/>
        </w:rPr>
        <w:t xml:space="preserve">des prix du carburant. </w:t>
      </w:r>
      <w:r w:rsidRPr="002B477B">
        <w:rPr>
          <w:rFonts w:ascii="Aptos" w:hAnsi="Aptos"/>
          <w:lang w:val="fr-BE"/>
        </w:rPr>
        <w:t xml:space="preserve"> Les manifestations ont commencé dans la ville pétrolière de </w:t>
      </w:r>
      <w:proofErr w:type="spellStart"/>
      <w:r w:rsidRPr="002B477B">
        <w:rPr>
          <w:rFonts w:ascii="Aptos" w:hAnsi="Aptos"/>
          <w:lang w:val="fr-BE"/>
        </w:rPr>
        <w:t>Janaozen</w:t>
      </w:r>
      <w:proofErr w:type="spellEnd"/>
      <w:r w:rsidRPr="002B477B">
        <w:rPr>
          <w:rFonts w:ascii="Aptos" w:hAnsi="Aptos"/>
          <w:lang w:val="fr-BE"/>
        </w:rPr>
        <w:t xml:space="preserve"> mais se sont vite étendues à d'autres ville</w:t>
      </w:r>
      <w:r>
        <w:rPr>
          <w:rFonts w:ascii="Aptos" w:hAnsi="Aptos"/>
          <w:lang w:val="fr-BE"/>
        </w:rPr>
        <w:t>s</w:t>
      </w:r>
      <w:r w:rsidRPr="002B477B">
        <w:rPr>
          <w:rFonts w:ascii="Aptos" w:hAnsi="Aptos"/>
          <w:lang w:val="fr-BE"/>
        </w:rPr>
        <w:t>, et tournent à l'émeute pendant la nuit du 4 au 5 janvier, conduisant l</w:t>
      </w:r>
      <w:r>
        <w:rPr>
          <w:rFonts w:ascii="Aptos" w:hAnsi="Aptos"/>
          <w:lang w:val="fr-BE"/>
        </w:rPr>
        <w:t xml:space="preserve">’actuel </w:t>
      </w:r>
      <w:r w:rsidRPr="002B477B">
        <w:rPr>
          <w:rFonts w:ascii="Aptos" w:hAnsi="Aptos"/>
          <w:lang w:val="fr-BE"/>
        </w:rPr>
        <w:t xml:space="preserve">président </w:t>
      </w:r>
      <w:proofErr w:type="spellStart"/>
      <w:r w:rsidRPr="002B477B">
        <w:rPr>
          <w:rFonts w:ascii="Aptos" w:hAnsi="Aptos"/>
          <w:lang w:val="fr-BE"/>
        </w:rPr>
        <w:t>Kassym-Jomart</w:t>
      </w:r>
      <w:proofErr w:type="spellEnd"/>
      <w:r w:rsidRPr="002B477B">
        <w:rPr>
          <w:rFonts w:ascii="Aptos" w:hAnsi="Aptos"/>
          <w:lang w:val="fr-BE"/>
        </w:rPr>
        <w:t xml:space="preserve"> </w:t>
      </w:r>
      <w:proofErr w:type="spellStart"/>
      <w:r w:rsidRPr="002B477B">
        <w:rPr>
          <w:rFonts w:ascii="Aptos" w:hAnsi="Aptos"/>
          <w:lang w:val="fr-BE"/>
        </w:rPr>
        <w:t>Tokaïev</w:t>
      </w:r>
      <w:proofErr w:type="spellEnd"/>
      <w:r w:rsidRPr="002B477B">
        <w:rPr>
          <w:rFonts w:ascii="Aptos" w:hAnsi="Aptos"/>
          <w:lang w:val="fr-BE"/>
        </w:rPr>
        <w:t xml:space="preserve"> à déclarer l'état d'urgence, dans un premier temps à Almaty et dans le district de Manguistaou, puis sur l'intégralité du territoire.</w:t>
      </w:r>
      <w:r>
        <w:rPr>
          <w:rFonts w:ascii="Aptos" w:hAnsi="Aptos"/>
          <w:lang w:val="fr-BE"/>
        </w:rPr>
        <w:t xml:space="preserve"> L</w:t>
      </w:r>
      <w:r w:rsidRPr="002B477B">
        <w:rPr>
          <w:rFonts w:ascii="Aptos" w:hAnsi="Aptos"/>
          <w:lang w:val="fr-BE"/>
        </w:rPr>
        <w:t>e gouvernement présente sa démission et le chef de l'État prend la tête du conseil de sécurité nationale.</w:t>
      </w:r>
    </w:p>
    <w:p w14:paraId="33B427CE" w14:textId="1195EDF4" w:rsidR="00762C2F" w:rsidRDefault="00762C2F" w:rsidP="00BA7813">
      <w:pPr>
        <w:jc w:val="both"/>
        <w:rPr>
          <w:rFonts w:ascii="Aptos" w:hAnsi="Aptos"/>
          <w:lang w:val="fr-BE"/>
        </w:rPr>
      </w:pPr>
      <w:r w:rsidRPr="00762C2F">
        <w:rPr>
          <w:rFonts w:ascii="Aptos" w:hAnsi="Aptos"/>
          <w:lang w:val="fr-BE"/>
        </w:rPr>
        <w:t xml:space="preserve">Ces </w:t>
      </w:r>
      <w:r w:rsidRPr="00762C2F">
        <w:rPr>
          <w:rFonts w:ascii="Aptos" w:hAnsi="Aptos"/>
          <w:lang w:val="fr-BE"/>
        </w:rPr>
        <w:t>évènements</w:t>
      </w:r>
      <w:r w:rsidRPr="00762C2F">
        <w:rPr>
          <w:rFonts w:ascii="Aptos" w:hAnsi="Aptos"/>
          <w:lang w:val="fr-BE"/>
        </w:rPr>
        <w:t xml:space="preserve">, qualifiés de tentative de coup d’Etat, ont amené le président </w:t>
      </w:r>
      <w:proofErr w:type="spellStart"/>
      <w:r w:rsidRPr="00762C2F">
        <w:rPr>
          <w:rFonts w:ascii="Aptos" w:hAnsi="Aptos"/>
          <w:lang w:val="fr-BE"/>
        </w:rPr>
        <w:t>Tokaïev</w:t>
      </w:r>
      <w:proofErr w:type="spellEnd"/>
      <w:r w:rsidRPr="00762C2F">
        <w:rPr>
          <w:rFonts w:ascii="Aptos" w:hAnsi="Aptos"/>
          <w:lang w:val="fr-BE"/>
        </w:rPr>
        <w:t xml:space="preserve"> à entreprendre une série de réformes, s’appuyant sur un nouvel organe consultatif, le Conseil national de la confiance publique. Ce programme comprend notamment des mesures de transparence budgétaire, économique et financière, l’assouplissement du régime d’autorisation des manifestations sur la voie publique, et l’abolition de la peine de mort (effective depuis le 4 janvier 2021).</w:t>
      </w:r>
    </w:p>
    <w:p w14:paraId="1532DD17" w14:textId="77777777" w:rsidR="0041089C" w:rsidRDefault="0041089C" w:rsidP="00BA7813">
      <w:pPr>
        <w:jc w:val="both"/>
        <w:rPr>
          <w:rFonts w:ascii="Aptos" w:hAnsi="Aptos"/>
          <w:u w:val="single"/>
          <w:lang w:val="fr-BE"/>
        </w:rPr>
      </w:pPr>
    </w:p>
    <w:p w14:paraId="2E56C791" w14:textId="4768A947" w:rsidR="00BA7813" w:rsidRDefault="00BA7813" w:rsidP="00BA7813">
      <w:pPr>
        <w:jc w:val="both"/>
        <w:rPr>
          <w:rFonts w:ascii="Aptos" w:hAnsi="Aptos"/>
          <w:u w:val="single"/>
          <w:lang w:val="fr-BE"/>
        </w:rPr>
      </w:pPr>
      <w:r w:rsidRPr="008B15E7">
        <w:rPr>
          <w:rFonts w:ascii="Aptos" w:hAnsi="Aptos"/>
          <w:u w:val="single"/>
          <w:lang w:val="fr-BE"/>
        </w:rPr>
        <w:t>Faits économiques</w:t>
      </w:r>
    </w:p>
    <w:p w14:paraId="20D739DD" w14:textId="77777777" w:rsidR="00CE603E" w:rsidRDefault="00CE603E" w:rsidP="00BA7813">
      <w:pPr>
        <w:jc w:val="both"/>
        <w:rPr>
          <w:rFonts w:ascii="Aptos" w:hAnsi="Aptos"/>
          <w:lang w:val="fr-BE"/>
        </w:rPr>
      </w:pPr>
      <w:r>
        <w:rPr>
          <w:rFonts w:ascii="Aptos" w:hAnsi="Aptos"/>
          <w:lang w:val="fr-BE"/>
        </w:rPr>
        <w:t>Avec un PIB dépassant 225 milliards USD en 2023, et un PIB par habitants de 11 500 USD, le Kazakhstan concentre près de 50% du PIB de l’Asie centrale.</w:t>
      </w:r>
    </w:p>
    <w:p w14:paraId="24444EF7" w14:textId="459C6EF3" w:rsidR="00D044AE" w:rsidRDefault="00D044AE" w:rsidP="00BA7813">
      <w:pPr>
        <w:jc w:val="both"/>
        <w:rPr>
          <w:rFonts w:ascii="Aptos" w:hAnsi="Aptos"/>
          <w:lang w:val="fr-BE"/>
        </w:rPr>
      </w:pPr>
      <w:r>
        <w:rPr>
          <w:rFonts w:ascii="Aptos" w:hAnsi="Aptos"/>
          <w:lang w:val="fr-BE"/>
        </w:rPr>
        <w:t>L’économie</w:t>
      </w:r>
      <w:r w:rsidRPr="00D044AE">
        <w:rPr>
          <w:rFonts w:ascii="Aptos" w:hAnsi="Aptos"/>
          <w:lang w:val="fr-BE"/>
        </w:rPr>
        <w:t xml:space="preserve"> </w:t>
      </w:r>
      <w:r w:rsidRPr="00D044AE">
        <w:rPr>
          <w:rStyle w:val="Emphasis"/>
          <w:rFonts w:ascii="Aptos" w:hAnsi="Aptos" w:cs="Arial"/>
          <w:i w:val="0"/>
          <w:iCs w:val="0"/>
          <w:color w:val="333333"/>
          <w:shd w:val="clear" w:color="auto" w:fill="FFFFFF"/>
        </w:rPr>
        <w:t>kazakhstanaise</w:t>
      </w:r>
      <w:r>
        <w:rPr>
          <w:rStyle w:val="Emphasis"/>
          <w:rFonts w:ascii="Arial" w:hAnsi="Arial" w:cs="Arial"/>
          <w:color w:val="333333"/>
          <w:shd w:val="clear" w:color="auto" w:fill="FFFFFF"/>
        </w:rPr>
        <w:t xml:space="preserve"> </w:t>
      </w:r>
      <w:r>
        <w:rPr>
          <w:rFonts w:ascii="Aptos" w:hAnsi="Aptos"/>
          <w:lang w:val="fr-BE"/>
        </w:rPr>
        <w:t>repose principalement sur l’exportation d’hydrocarbures</w:t>
      </w:r>
      <w:r w:rsidR="003B5237">
        <w:rPr>
          <w:rFonts w:ascii="Aptos" w:hAnsi="Aptos"/>
          <w:lang w:val="fr-BE"/>
        </w:rPr>
        <w:t xml:space="preserve">. Membre de l’OPEP, </w:t>
      </w:r>
      <w:r w:rsidR="00D5465E">
        <w:rPr>
          <w:rFonts w:ascii="Aptos" w:hAnsi="Aptos"/>
          <w:lang w:val="fr-BE"/>
        </w:rPr>
        <w:t>le pays est le 9</w:t>
      </w:r>
      <w:r w:rsidR="00D5465E" w:rsidRPr="00D5465E">
        <w:rPr>
          <w:rFonts w:ascii="Aptos" w:hAnsi="Aptos"/>
          <w:vertAlign w:val="superscript"/>
          <w:lang w:val="fr-BE"/>
        </w:rPr>
        <w:t>e</w:t>
      </w:r>
      <w:r w:rsidR="00D5465E">
        <w:rPr>
          <w:rFonts w:ascii="Aptos" w:hAnsi="Aptos"/>
          <w:lang w:val="fr-BE"/>
        </w:rPr>
        <w:t xml:space="preserve"> exportateur mondial de pétrole brut et de charbon</w:t>
      </w:r>
      <w:r w:rsidR="003B5237">
        <w:rPr>
          <w:rFonts w:ascii="Aptos" w:hAnsi="Aptos"/>
          <w:lang w:val="fr-BE"/>
        </w:rPr>
        <w:t xml:space="preserve">. </w:t>
      </w:r>
      <w:r w:rsidR="00A61768">
        <w:rPr>
          <w:rFonts w:ascii="Aptos" w:hAnsi="Aptos"/>
          <w:lang w:val="fr-BE"/>
        </w:rPr>
        <w:t>Les hydrocarbures</w:t>
      </w:r>
      <w:r w:rsidR="003B5237">
        <w:rPr>
          <w:rFonts w:ascii="Aptos" w:hAnsi="Aptos"/>
          <w:lang w:val="fr-BE"/>
        </w:rPr>
        <w:t xml:space="preserve"> </w:t>
      </w:r>
      <w:r>
        <w:rPr>
          <w:rFonts w:ascii="Aptos" w:hAnsi="Aptos"/>
          <w:lang w:val="fr-BE"/>
        </w:rPr>
        <w:t xml:space="preserve">représentaient environ 60% des exportations totales en valeur </w:t>
      </w:r>
      <w:r w:rsidR="003B5237">
        <w:rPr>
          <w:rFonts w:ascii="Aptos" w:hAnsi="Aptos"/>
          <w:lang w:val="fr-BE"/>
        </w:rPr>
        <w:t>l’année dernière</w:t>
      </w:r>
      <w:r w:rsidR="00D5465E">
        <w:rPr>
          <w:rFonts w:ascii="Aptos" w:hAnsi="Aptos"/>
          <w:lang w:val="fr-BE"/>
        </w:rPr>
        <w:t xml:space="preserve">. </w:t>
      </w:r>
      <w:r w:rsidR="00C33B15">
        <w:rPr>
          <w:rFonts w:ascii="Aptos" w:hAnsi="Aptos"/>
          <w:lang w:val="fr-BE"/>
        </w:rPr>
        <w:t xml:space="preserve">Toutefois un </w:t>
      </w:r>
      <w:r w:rsidR="00C33B15">
        <w:rPr>
          <w:rFonts w:ascii="Aptos" w:hAnsi="Aptos"/>
          <w:lang w:val="fr-BE"/>
        </w:rPr>
        <w:lastRenderedPageBreak/>
        <w:t>risque pèse sur les exportations de pétrole brute, dans le cas où la Russie déciderait, comme par deux fois en 2022, de couper l’accès du Kazakhstan au pipeline de la mer Caspienne (CPC), ce qui conditionne quelque peu</w:t>
      </w:r>
      <w:r w:rsidR="00C75DFE">
        <w:rPr>
          <w:rFonts w:ascii="Aptos" w:hAnsi="Aptos"/>
          <w:lang w:val="fr-BE"/>
        </w:rPr>
        <w:t xml:space="preserve"> la relation que le Kazakhstan doit entretenir avec la Russie.  </w:t>
      </w:r>
    </w:p>
    <w:p w14:paraId="6D184089" w14:textId="1E206602" w:rsidR="00C45571" w:rsidRDefault="00C75DFE" w:rsidP="00BA7813">
      <w:pPr>
        <w:jc w:val="both"/>
        <w:rPr>
          <w:rFonts w:ascii="Aptos" w:hAnsi="Aptos"/>
          <w:lang w:val="fr-BE"/>
        </w:rPr>
      </w:pPr>
      <w:r>
        <w:rPr>
          <w:rFonts w:ascii="Aptos" w:hAnsi="Aptos"/>
          <w:lang w:val="fr-BE"/>
        </w:rPr>
        <w:t>L</w:t>
      </w:r>
      <w:r w:rsidR="00C45571">
        <w:rPr>
          <w:rFonts w:ascii="Aptos" w:hAnsi="Aptos"/>
          <w:lang w:val="fr-BE"/>
        </w:rPr>
        <w:t>e</w:t>
      </w:r>
      <w:r w:rsidR="00C45571" w:rsidRPr="00C45571">
        <w:rPr>
          <w:rFonts w:ascii="Aptos" w:hAnsi="Aptos"/>
          <w:lang w:val="fr-BE"/>
        </w:rPr>
        <w:t xml:space="preserve"> gouvernement </w:t>
      </w:r>
      <w:r w:rsidR="003070B0">
        <w:rPr>
          <w:rFonts w:ascii="Aptos" w:hAnsi="Aptos"/>
          <w:lang w:val="fr-BE"/>
        </w:rPr>
        <w:t xml:space="preserve">a </w:t>
      </w:r>
      <w:r w:rsidR="00A61768">
        <w:rPr>
          <w:rFonts w:ascii="Aptos" w:hAnsi="Aptos"/>
          <w:lang w:val="fr-BE"/>
        </w:rPr>
        <w:t>annoncé</w:t>
      </w:r>
      <w:r w:rsidR="003070B0">
        <w:rPr>
          <w:rFonts w:ascii="Aptos" w:hAnsi="Aptos"/>
          <w:lang w:val="fr-BE"/>
        </w:rPr>
        <w:t xml:space="preserve"> vouloir</w:t>
      </w:r>
      <w:r w:rsidR="00C45571" w:rsidRPr="00C45571">
        <w:rPr>
          <w:rFonts w:ascii="Aptos" w:hAnsi="Aptos"/>
          <w:lang w:val="fr-BE"/>
        </w:rPr>
        <w:t xml:space="preserve"> augmenter les recettes associées aux revenus non pétroliers de 60% en 2022</w:t>
      </w:r>
      <w:r w:rsidR="003070B0">
        <w:rPr>
          <w:rFonts w:ascii="Aptos" w:hAnsi="Aptos"/>
          <w:lang w:val="fr-BE"/>
        </w:rPr>
        <w:t>, pour un objectif de</w:t>
      </w:r>
      <w:r w:rsidR="00C45571" w:rsidRPr="00C45571">
        <w:rPr>
          <w:rFonts w:ascii="Aptos" w:hAnsi="Aptos"/>
          <w:lang w:val="fr-BE"/>
        </w:rPr>
        <w:t xml:space="preserve"> 78% en 2025</w:t>
      </w:r>
      <w:r w:rsidR="000B7871">
        <w:rPr>
          <w:rFonts w:ascii="Aptos" w:hAnsi="Aptos"/>
          <w:lang w:val="fr-BE"/>
        </w:rPr>
        <w:t xml:space="preserve">. </w:t>
      </w:r>
      <w:r w:rsidR="00C45571" w:rsidRPr="00C45571">
        <w:rPr>
          <w:rFonts w:ascii="Aptos" w:hAnsi="Aptos"/>
          <w:lang w:val="fr-BE"/>
        </w:rPr>
        <w:t>Davantage de dépenses seront consacrées à l’économie réelle</w:t>
      </w:r>
      <w:r w:rsidR="000B7871">
        <w:rPr>
          <w:rFonts w:ascii="Aptos" w:hAnsi="Aptos"/>
          <w:lang w:val="fr-BE"/>
        </w:rPr>
        <w:t>, comme la construction de nouvelles routes (le projet du Corridor du Milieu sera décisif) ou encore de projets immobiliers ..</w:t>
      </w:r>
      <w:r w:rsidR="000B7871" w:rsidRPr="00C45571">
        <w:rPr>
          <w:rFonts w:ascii="Aptos" w:hAnsi="Aptos"/>
          <w:lang w:val="fr-BE"/>
        </w:rPr>
        <w:t>.</w:t>
      </w:r>
      <w:r w:rsidR="00C45571" w:rsidRPr="00C45571">
        <w:rPr>
          <w:rFonts w:ascii="Aptos" w:hAnsi="Aptos"/>
          <w:lang w:val="fr-BE"/>
        </w:rPr>
        <w:t xml:space="preserve"> </w:t>
      </w:r>
    </w:p>
    <w:p w14:paraId="3582FA6A" w14:textId="29E45982" w:rsidR="00CE603E" w:rsidRDefault="00D044AE" w:rsidP="00BA7813">
      <w:pPr>
        <w:jc w:val="both"/>
        <w:rPr>
          <w:rFonts w:ascii="Aptos" w:hAnsi="Aptos"/>
          <w:lang w:val="fr-BE"/>
        </w:rPr>
      </w:pPr>
      <w:r>
        <w:rPr>
          <w:rFonts w:ascii="Aptos" w:hAnsi="Aptos"/>
          <w:lang w:val="fr-BE"/>
        </w:rPr>
        <w:t>Après la crise mondiale du Covid-19 (ayant engendré aussi une chute des prix du pétrole), le Kazakhstan a connu un rebond solide. Le PIB a augmenté de 4,3% en 2021, 3,2% en 2022 et 5,1% en 2023 (</w:t>
      </w:r>
      <w:r w:rsidR="00C75DFE">
        <w:rPr>
          <w:rFonts w:ascii="Aptos" w:hAnsi="Aptos"/>
          <w:lang w:val="fr-BE"/>
        </w:rPr>
        <w:t xml:space="preserve">soit </w:t>
      </w:r>
      <w:r w:rsidR="00D5465E">
        <w:rPr>
          <w:rFonts w:ascii="Aptos" w:hAnsi="Aptos"/>
          <w:lang w:val="fr-BE"/>
        </w:rPr>
        <w:t>son meilleur résultat</w:t>
      </w:r>
      <w:r>
        <w:rPr>
          <w:rFonts w:ascii="Aptos" w:hAnsi="Aptos"/>
          <w:lang w:val="fr-BE"/>
        </w:rPr>
        <w:t xml:space="preserve"> </w:t>
      </w:r>
      <w:r w:rsidR="00D5465E">
        <w:rPr>
          <w:rFonts w:ascii="Aptos" w:hAnsi="Aptos"/>
          <w:lang w:val="fr-BE"/>
        </w:rPr>
        <w:t xml:space="preserve">depuis 11 ans). </w:t>
      </w:r>
      <w:r w:rsidR="009E4AE6">
        <w:rPr>
          <w:rFonts w:ascii="Aptos" w:hAnsi="Aptos"/>
          <w:lang w:val="fr-BE"/>
        </w:rPr>
        <w:t>Le gouvernement envisage une croissance entre 3,5% et 4,5% pour l’année en cours, tandis que le FMI prévoit une croissance de 3,1%.</w:t>
      </w:r>
    </w:p>
    <w:p w14:paraId="6A195BA3" w14:textId="15A20CB7" w:rsidR="00F56D7C" w:rsidRDefault="00F56D7C" w:rsidP="00BA7813">
      <w:pPr>
        <w:jc w:val="both"/>
        <w:rPr>
          <w:rFonts w:ascii="Aptos" w:hAnsi="Aptos"/>
          <w:lang w:val="fr-BE"/>
        </w:rPr>
      </w:pPr>
      <w:r>
        <w:rPr>
          <w:rFonts w:ascii="Aptos" w:hAnsi="Aptos"/>
          <w:lang w:val="fr-BE"/>
        </w:rPr>
        <w:t xml:space="preserve">L’agence S&amp;P prévoie une croissance annuelle d’une moyenne d’environ 3,6% sur les quatre prochaines années. L’expansion du champ pétrolier de </w:t>
      </w:r>
      <w:proofErr w:type="spellStart"/>
      <w:r>
        <w:rPr>
          <w:rFonts w:ascii="Aptos" w:hAnsi="Aptos"/>
          <w:lang w:val="fr-BE"/>
        </w:rPr>
        <w:t>Tengiz</w:t>
      </w:r>
      <w:proofErr w:type="spellEnd"/>
      <w:r>
        <w:rPr>
          <w:rFonts w:ascii="Aptos" w:hAnsi="Aptos"/>
          <w:lang w:val="fr-BE"/>
        </w:rPr>
        <w:t xml:space="preserve"> (reporté à la mi-2025) devrait être un facteur clé de cette croissance future. En effet, en l’absence de perturbations, celle-ci devrait permettre d</w:t>
      </w:r>
      <w:r w:rsidR="00AF0451">
        <w:rPr>
          <w:rFonts w:ascii="Aptos" w:hAnsi="Aptos"/>
          <w:lang w:val="fr-BE"/>
        </w:rPr>
        <w:t>’augmenter considérablement la production pétrolière</w:t>
      </w:r>
      <w:r w:rsidR="00C75DFE">
        <w:rPr>
          <w:rFonts w:ascii="Aptos" w:hAnsi="Aptos"/>
          <w:lang w:val="fr-BE"/>
        </w:rPr>
        <w:t xml:space="preserve"> du pays</w:t>
      </w:r>
      <w:r w:rsidR="00AF0451">
        <w:rPr>
          <w:rFonts w:ascii="Aptos" w:hAnsi="Aptos"/>
          <w:lang w:val="fr-BE"/>
        </w:rPr>
        <w:t xml:space="preserve">, la faisant passer de 85,9 millions de tonnes en 2021, à 103 millions de tonnes lorsque le projet sera abouti. </w:t>
      </w:r>
    </w:p>
    <w:p w14:paraId="55B741D3" w14:textId="7265260C" w:rsidR="00E01036" w:rsidRDefault="00077199" w:rsidP="00BA7813">
      <w:pPr>
        <w:jc w:val="both"/>
        <w:rPr>
          <w:rFonts w:ascii="Aptos" w:hAnsi="Aptos"/>
          <w:lang w:val="fr-BE"/>
        </w:rPr>
      </w:pPr>
      <w:r>
        <w:rPr>
          <w:rFonts w:ascii="Aptos" w:hAnsi="Aptos"/>
          <w:lang w:val="fr-BE"/>
        </w:rPr>
        <w:t xml:space="preserve">Sur la période 2014-2022, le </w:t>
      </w:r>
      <w:proofErr w:type="spellStart"/>
      <w:r>
        <w:rPr>
          <w:rFonts w:ascii="Aptos" w:hAnsi="Aptos"/>
          <w:lang w:val="fr-BE"/>
        </w:rPr>
        <w:t>tenge</w:t>
      </w:r>
      <w:proofErr w:type="spellEnd"/>
      <w:r>
        <w:rPr>
          <w:rFonts w:ascii="Aptos" w:hAnsi="Aptos"/>
          <w:lang w:val="fr-BE"/>
        </w:rPr>
        <w:t xml:space="preserve"> kazakh (KZT) s’est déprécié de -14% en moyenne annuelle. Cette monnaie est particulièrement vulnérable </w:t>
      </w:r>
      <w:r w:rsidR="002C52F1">
        <w:rPr>
          <w:rFonts w:ascii="Aptos" w:hAnsi="Aptos"/>
          <w:lang w:val="fr-BE"/>
        </w:rPr>
        <w:t xml:space="preserve">aux chocs externes. Sur l’année 2022, le taux de change de la KZT a été assez volatil, mais aligné avec le prix du pétrole. Il a finalement perdu -8% en valeur par rapport au dollar américain.  </w:t>
      </w:r>
    </w:p>
    <w:p w14:paraId="7979DBA2" w14:textId="7259A50B" w:rsidR="003D7041" w:rsidRDefault="00C75DFE" w:rsidP="00BA7813">
      <w:pPr>
        <w:jc w:val="both"/>
        <w:rPr>
          <w:rFonts w:ascii="Aptos" w:hAnsi="Aptos"/>
          <w:lang w:val="fr-BE"/>
        </w:rPr>
      </w:pPr>
      <w:r>
        <w:rPr>
          <w:rFonts w:ascii="Aptos" w:hAnsi="Aptos"/>
          <w:lang w:val="fr-BE"/>
        </w:rPr>
        <w:t>A l’instar de l’immense majorité des pays du monde, l</w:t>
      </w:r>
      <w:r w:rsidR="003B5237">
        <w:rPr>
          <w:rFonts w:ascii="Aptos" w:hAnsi="Aptos"/>
          <w:lang w:val="fr-BE"/>
        </w:rPr>
        <w:t>e Kazakhstan n’a pas échappé à la vague inflationnis</w:t>
      </w:r>
      <w:r w:rsidR="003D7041">
        <w:rPr>
          <w:rFonts w:ascii="Aptos" w:hAnsi="Aptos"/>
          <w:lang w:val="fr-BE"/>
        </w:rPr>
        <w:t xml:space="preserve">te, celle-ci étant repartie à la hausse depuis 2020, passant d’une moyenne de 6,8% à </w:t>
      </w:r>
      <w:r w:rsidR="00BA3A47">
        <w:rPr>
          <w:rFonts w:ascii="Aptos" w:hAnsi="Aptos"/>
          <w:lang w:val="fr-BE"/>
        </w:rPr>
        <w:t>14,9</w:t>
      </w:r>
      <w:r w:rsidR="003D7041">
        <w:rPr>
          <w:rFonts w:ascii="Aptos" w:hAnsi="Aptos"/>
          <w:lang w:val="fr-BE"/>
        </w:rPr>
        <w:t xml:space="preserve">% </w:t>
      </w:r>
      <w:r w:rsidR="00BA3A47">
        <w:rPr>
          <w:rFonts w:ascii="Aptos" w:hAnsi="Aptos"/>
          <w:lang w:val="fr-BE"/>
        </w:rPr>
        <w:t>en</w:t>
      </w:r>
      <w:r w:rsidR="003D7041">
        <w:rPr>
          <w:rFonts w:ascii="Aptos" w:hAnsi="Aptos"/>
          <w:lang w:val="fr-BE"/>
        </w:rPr>
        <w:t xml:space="preserve"> 2023</w:t>
      </w:r>
      <w:r w:rsidR="003D7041">
        <w:rPr>
          <w:rFonts w:ascii="Aptos" w:hAnsi="Aptos"/>
          <w:b/>
          <w:bCs/>
          <w:lang w:val="fr-BE"/>
        </w:rPr>
        <w:t xml:space="preserve"> </w:t>
      </w:r>
      <w:r w:rsidR="003D7041">
        <w:rPr>
          <w:rFonts w:ascii="Aptos" w:hAnsi="Aptos"/>
          <w:lang w:val="fr-BE"/>
        </w:rPr>
        <w:t xml:space="preserve">sur fond de hausse des </w:t>
      </w:r>
      <w:r>
        <w:rPr>
          <w:rFonts w:ascii="Aptos" w:hAnsi="Aptos"/>
          <w:lang w:val="fr-BE"/>
        </w:rPr>
        <w:t>prix</w:t>
      </w:r>
      <w:r w:rsidR="003D7041">
        <w:rPr>
          <w:rFonts w:ascii="Aptos" w:hAnsi="Aptos"/>
          <w:lang w:val="fr-BE"/>
        </w:rPr>
        <w:t xml:space="preserve"> de l’énergie et des aliments.</w:t>
      </w:r>
      <w:r w:rsidR="00265FAC">
        <w:rPr>
          <w:rFonts w:ascii="Aptos" w:hAnsi="Aptos"/>
          <w:lang w:val="fr-BE"/>
        </w:rPr>
        <w:t xml:space="preserve"> Celle-ci est légèrement retombé depuis. </w:t>
      </w:r>
    </w:p>
    <w:p w14:paraId="0B08C6B6" w14:textId="66173FA4" w:rsidR="00CE603E" w:rsidRPr="008B15E7" w:rsidRDefault="00265FAC" w:rsidP="00BA7813">
      <w:pPr>
        <w:jc w:val="both"/>
        <w:rPr>
          <w:rFonts w:ascii="Aptos" w:hAnsi="Aptos"/>
          <w:u w:val="single"/>
          <w:lang w:val="fr-BE"/>
        </w:rPr>
      </w:pPr>
      <w:r w:rsidRPr="00265FAC">
        <w:rPr>
          <w:rFonts w:ascii="Aptos" w:hAnsi="Aptos"/>
          <w:lang w:val="fr-BE"/>
        </w:rPr>
        <w:t>En réaction</w:t>
      </w:r>
      <w:r w:rsidR="00C75DFE">
        <w:rPr>
          <w:rFonts w:ascii="Aptos" w:hAnsi="Aptos"/>
          <w:lang w:val="fr-BE"/>
        </w:rPr>
        <w:t xml:space="preserve"> à cela</w:t>
      </w:r>
      <w:r>
        <w:rPr>
          <w:rFonts w:ascii="Aptos" w:hAnsi="Aptos"/>
          <w:lang w:val="fr-BE"/>
        </w:rPr>
        <w:t>,</w:t>
      </w:r>
      <w:r w:rsidRPr="00265FAC">
        <w:rPr>
          <w:rFonts w:ascii="Aptos" w:hAnsi="Aptos"/>
          <w:lang w:val="fr-BE"/>
        </w:rPr>
        <w:t xml:space="preserve"> la Banque nationale du Kazakhstan a maintenu son taux d'intérêt de référence à 14,75 % lors de sa réunion du 12 avril 2024, </w:t>
      </w:r>
      <w:r>
        <w:rPr>
          <w:rFonts w:ascii="Aptos" w:hAnsi="Aptos"/>
          <w:lang w:val="fr-BE"/>
        </w:rPr>
        <w:t>faisant le choix de l</w:t>
      </w:r>
      <w:r w:rsidRPr="00265FAC">
        <w:rPr>
          <w:rFonts w:ascii="Aptos" w:hAnsi="Aptos"/>
          <w:lang w:val="fr-BE"/>
        </w:rPr>
        <w:t>a stabilité après cinq réductions consécutives.</w:t>
      </w:r>
    </w:p>
    <w:p w14:paraId="5C1922F7" w14:textId="717BBB28" w:rsidR="000B6A31" w:rsidRPr="008B4B01" w:rsidRDefault="00265FAC" w:rsidP="00BA7813">
      <w:pPr>
        <w:jc w:val="both"/>
        <w:rPr>
          <w:rFonts w:ascii="Aptos" w:hAnsi="Aptos"/>
          <w:b/>
          <w:bCs/>
          <w:lang w:val="fr-BE"/>
        </w:rPr>
      </w:pPr>
      <w:r>
        <w:rPr>
          <w:rFonts w:ascii="Aptos" w:hAnsi="Aptos"/>
          <w:lang w:val="fr-BE"/>
        </w:rPr>
        <w:t>En 2020, le déficit</w:t>
      </w:r>
      <w:r w:rsidR="004A65A5">
        <w:rPr>
          <w:rFonts w:ascii="Aptos" w:hAnsi="Aptos"/>
          <w:lang w:val="fr-BE"/>
        </w:rPr>
        <w:t xml:space="preserve"> public</w:t>
      </w:r>
      <w:r>
        <w:rPr>
          <w:rFonts w:ascii="Aptos" w:hAnsi="Aptos"/>
          <w:lang w:val="fr-BE"/>
        </w:rPr>
        <w:t xml:space="preserve"> a atteint un niveau historiquement </w:t>
      </w:r>
      <w:r w:rsidR="00C75DFE">
        <w:rPr>
          <w:rFonts w:ascii="Aptos" w:hAnsi="Aptos"/>
          <w:lang w:val="fr-BE"/>
        </w:rPr>
        <w:t>élevé</w:t>
      </w:r>
      <w:r>
        <w:rPr>
          <w:rFonts w:ascii="Aptos" w:hAnsi="Aptos"/>
          <w:lang w:val="fr-BE"/>
        </w:rPr>
        <w:t xml:space="preserve"> avec -6,40% du PIB, dû en grande partie à la chute brutale du cours du pétrole</w:t>
      </w:r>
      <w:r w:rsidR="004A65A5">
        <w:rPr>
          <w:rFonts w:ascii="Aptos" w:hAnsi="Aptos"/>
          <w:lang w:val="fr-BE"/>
        </w:rPr>
        <w:t xml:space="preserve"> Il </w:t>
      </w:r>
      <w:r w:rsidR="0028097D">
        <w:rPr>
          <w:rFonts w:ascii="Aptos" w:hAnsi="Aptos"/>
          <w:lang w:val="fr-BE"/>
        </w:rPr>
        <w:t>s’est amélioré</w:t>
      </w:r>
      <w:r w:rsidR="004A65A5">
        <w:rPr>
          <w:rFonts w:ascii="Aptos" w:hAnsi="Aptos"/>
          <w:lang w:val="fr-BE"/>
        </w:rPr>
        <w:t xml:space="preserve"> depuis puisqu’il était à -2,1% du PIB en 2022, et à -2,5% en 2023</w:t>
      </w:r>
      <w:r w:rsidR="00C75DFE">
        <w:rPr>
          <w:rFonts w:ascii="Aptos" w:hAnsi="Aptos"/>
          <w:lang w:val="fr-BE"/>
        </w:rPr>
        <w:t xml:space="preserve">. </w:t>
      </w:r>
    </w:p>
    <w:p w14:paraId="236CF977" w14:textId="4BBA2C47" w:rsidR="000B6A31" w:rsidRDefault="008B4B01" w:rsidP="00BA7813">
      <w:pPr>
        <w:jc w:val="both"/>
        <w:rPr>
          <w:rFonts w:ascii="Aptos" w:hAnsi="Aptos"/>
          <w:lang w:val="fr-BE"/>
        </w:rPr>
      </w:pPr>
      <w:r w:rsidRPr="008B4B01">
        <w:rPr>
          <w:rFonts w:ascii="Aptos" w:hAnsi="Aptos"/>
          <w:lang w:val="fr-BE"/>
        </w:rPr>
        <w:t>Après la chute des prix du pétrole en 2015, le pays a enregistré des déficits courants annuels successifs en</w:t>
      </w:r>
      <w:r>
        <w:rPr>
          <w:rFonts w:ascii="Aptos" w:hAnsi="Aptos"/>
          <w:lang w:val="fr-BE"/>
        </w:rPr>
        <w:t xml:space="preserve">tre </w:t>
      </w:r>
      <w:r w:rsidRPr="008B4B01">
        <w:rPr>
          <w:rFonts w:ascii="Aptos" w:hAnsi="Aptos"/>
          <w:lang w:val="fr-BE"/>
        </w:rPr>
        <w:t>2015</w:t>
      </w:r>
      <w:r>
        <w:rPr>
          <w:rFonts w:ascii="Aptos" w:hAnsi="Aptos"/>
          <w:lang w:val="fr-BE"/>
        </w:rPr>
        <w:t xml:space="preserve"> et </w:t>
      </w:r>
      <w:r w:rsidRPr="008B4B01">
        <w:rPr>
          <w:rFonts w:ascii="Aptos" w:hAnsi="Aptos"/>
          <w:lang w:val="fr-BE"/>
        </w:rPr>
        <w:t>2021 (en moyenne -3,4 % du PIB). Seuls les prix élevés du pétrole et du gaz en 2022 ont permis au compte extérieur du Kazakhstan de retrouver un excédent d’environ +3 % du PIB.</w:t>
      </w:r>
      <w:r>
        <w:rPr>
          <w:rFonts w:ascii="Aptos" w:hAnsi="Aptos"/>
          <w:lang w:val="fr-BE"/>
        </w:rPr>
        <w:t xml:space="preserve"> Les observateurs prévoient que ces excédents se poursuivront dans les années à venir, même s’ils devraient être moindres. </w:t>
      </w:r>
    </w:p>
    <w:p w14:paraId="2C98F9DE" w14:textId="5BEC4789" w:rsidR="008B4B01" w:rsidRDefault="008B4B01" w:rsidP="00BA7813">
      <w:pPr>
        <w:jc w:val="both"/>
        <w:rPr>
          <w:rFonts w:ascii="Aptos" w:hAnsi="Aptos"/>
          <w:lang w:val="fr-BE"/>
        </w:rPr>
      </w:pPr>
      <w:r>
        <w:rPr>
          <w:rFonts w:ascii="Aptos" w:hAnsi="Aptos"/>
          <w:lang w:val="fr-BE"/>
        </w:rPr>
        <w:t xml:space="preserve">Quant à la dette </w:t>
      </w:r>
      <w:r w:rsidR="004D267A">
        <w:rPr>
          <w:rFonts w:ascii="Aptos" w:hAnsi="Aptos"/>
          <w:lang w:val="fr-BE"/>
        </w:rPr>
        <w:t>extérieure rapporté au PIB, celle-ci a fluctué entre 80% et 120% sur la période 2015-2022 et devrait se situer aux alentours de 75% en 2024</w:t>
      </w:r>
      <w:r w:rsidR="00E703A3">
        <w:rPr>
          <w:rFonts w:ascii="Aptos" w:hAnsi="Aptos"/>
          <w:lang w:val="fr-BE"/>
        </w:rPr>
        <w:t xml:space="preserve"> (ce qui représenterait l’équivalent de 40% des recettes d’exportation)</w:t>
      </w:r>
      <w:r w:rsidR="008F7D1C">
        <w:rPr>
          <w:rFonts w:ascii="Aptos" w:hAnsi="Aptos"/>
          <w:lang w:val="fr-BE"/>
        </w:rPr>
        <w:t>.</w:t>
      </w:r>
    </w:p>
    <w:p w14:paraId="79DBDCB6" w14:textId="4386B0BC" w:rsidR="00E01036" w:rsidRDefault="00E01036" w:rsidP="00BA7813">
      <w:pPr>
        <w:jc w:val="both"/>
        <w:rPr>
          <w:rFonts w:ascii="Aptos" w:hAnsi="Aptos"/>
          <w:lang w:val="fr-BE"/>
        </w:rPr>
      </w:pPr>
      <w:r>
        <w:rPr>
          <w:rFonts w:ascii="Aptos" w:hAnsi="Aptos"/>
          <w:lang w:val="fr-BE"/>
        </w:rPr>
        <w:t xml:space="preserve">Les réserves de changes et les avoirs en devises du Fonds National de la République du Kazakhstan ont atteint 36% du PIB à la fin mars, malgré un déficit du compte courant qui est tombé à 3,3% du PIB en 2023. </w:t>
      </w:r>
    </w:p>
    <w:p w14:paraId="4BE7EBFD" w14:textId="5E6EE94D" w:rsidR="003829EC" w:rsidRPr="003829EC" w:rsidRDefault="00BA3A47" w:rsidP="003829EC">
      <w:pPr>
        <w:jc w:val="both"/>
        <w:rPr>
          <w:rFonts w:ascii="Aptos" w:hAnsi="Aptos"/>
          <w:lang w:val="fr-BE"/>
        </w:rPr>
      </w:pPr>
      <w:r>
        <w:rPr>
          <w:rFonts w:ascii="Aptos" w:hAnsi="Aptos"/>
          <w:lang w:val="fr-BE"/>
        </w:rPr>
        <w:lastRenderedPageBreak/>
        <w:t>Le secteur bancaire kazakhsta</w:t>
      </w:r>
      <w:r w:rsidR="003829EC">
        <w:rPr>
          <w:rFonts w:ascii="Aptos" w:hAnsi="Aptos"/>
          <w:lang w:val="fr-BE"/>
        </w:rPr>
        <w:t>na</w:t>
      </w:r>
      <w:r>
        <w:rPr>
          <w:rFonts w:ascii="Aptos" w:hAnsi="Aptos"/>
          <w:lang w:val="fr-BE"/>
        </w:rPr>
        <w:t>is est en proie à des difficultés structurelles</w:t>
      </w:r>
      <w:r w:rsidR="003829EC">
        <w:rPr>
          <w:rFonts w:ascii="Aptos" w:hAnsi="Aptos"/>
          <w:lang w:val="fr-BE"/>
        </w:rPr>
        <w:t xml:space="preserve"> malgré les mesures entreprises ses dernières années, visant à renforcer la supervision et le développement du marché financier. Celui-ci est sous</w:t>
      </w:r>
      <w:r w:rsidR="003829EC" w:rsidRPr="003829EC">
        <w:rPr>
          <w:rFonts w:ascii="Aptos" w:hAnsi="Aptos"/>
          <w:lang w:val="fr-BE"/>
        </w:rPr>
        <w:t xml:space="preserve"> dimensionné et remplit peu son rôle de financement de l’économie, les banques </w:t>
      </w:r>
      <w:r w:rsidR="003829EC">
        <w:rPr>
          <w:rFonts w:ascii="Aptos" w:hAnsi="Aptos"/>
          <w:lang w:val="fr-BE"/>
        </w:rPr>
        <w:t>sont</w:t>
      </w:r>
      <w:r w:rsidR="003829EC" w:rsidRPr="003829EC">
        <w:rPr>
          <w:rFonts w:ascii="Aptos" w:hAnsi="Aptos"/>
          <w:lang w:val="fr-BE"/>
        </w:rPr>
        <w:t xml:space="preserve"> réticentes à financer plus activement les entreprises et autres acteurs privés.</w:t>
      </w:r>
      <w:r w:rsidR="003829EC">
        <w:rPr>
          <w:rFonts w:ascii="Aptos" w:hAnsi="Aptos"/>
          <w:lang w:val="fr-BE"/>
        </w:rPr>
        <w:t xml:space="preserve"> En effet </w:t>
      </w:r>
      <w:r w:rsidR="003829EC" w:rsidRPr="003829EC">
        <w:rPr>
          <w:rFonts w:ascii="Aptos" w:hAnsi="Aptos"/>
          <w:lang w:val="fr-BE"/>
        </w:rPr>
        <w:t xml:space="preserve">les prêts aux entreprises sont considérés comme plus risqués à accorder que les prêts destinés aux particuliers. Cette situation découle principalement de certaines faiblesses structurelles persistantes dans l’environnement bancaire local. Parmi ces faiblesses, on peut citer une dollarisation importante des prêts </w:t>
      </w:r>
      <w:r w:rsidR="00E01036">
        <w:rPr>
          <w:rFonts w:ascii="Aptos" w:hAnsi="Aptos"/>
          <w:lang w:val="fr-BE"/>
        </w:rPr>
        <w:t xml:space="preserve">qui est aujourd’hui estimé à 37%, (même si </w:t>
      </w:r>
      <w:r w:rsidR="003829EC" w:rsidRPr="003829EC">
        <w:rPr>
          <w:rFonts w:ascii="Aptos" w:hAnsi="Aptos"/>
          <w:lang w:val="fr-BE"/>
        </w:rPr>
        <w:t xml:space="preserve">cette tendance </w:t>
      </w:r>
      <w:r w:rsidR="00E01036">
        <w:rPr>
          <w:rFonts w:ascii="Aptos" w:hAnsi="Aptos"/>
          <w:lang w:val="fr-BE"/>
        </w:rPr>
        <w:t>est</w:t>
      </w:r>
      <w:r w:rsidR="003829EC" w:rsidRPr="003829EC">
        <w:rPr>
          <w:rFonts w:ascii="Aptos" w:hAnsi="Aptos"/>
          <w:lang w:val="fr-BE"/>
        </w:rPr>
        <w:t xml:space="preserve"> à la baisse), une concentration élevée d’emprunts par un petit nombre d’acteurs dans des secteurs restreints</w:t>
      </w:r>
      <w:r w:rsidR="00E01036">
        <w:rPr>
          <w:rFonts w:ascii="Aptos" w:hAnsi="Aptos"/>
          <w:lang w:val="fr-BE"/>
        </w:rPr>
        <w:t>.</w:t>
      </w:r>
    </w:p>
    <w:p w14:paraId="1B5537BB" w14:textId="77777777" w:rsidR="003829EC" w:rsidRPr="003829EC" w:rsidRDefault="003829EC" w:rsidP="003829EC">
      <w:pPr>
        <w:jc w:val="both"/>
        <w:rPr>
          <w:rFonts w:ascii="Aptos" w:hAnsi="Aptos"/>
          <w:lang w:val="fr-BE"/>
        </w:rPr>
      </w:pPr>
    </w:p>
    <w:p w14:paraId="1D79382B" w14:textId="70B109C2" w:rsidR="0041089C" w:rsidRDefault="00BA7813" w:rsidP="00C75DFE">
      <w:pPr>
        <w:jc w:val="right"/>
        <w:rPr>
          <w:rFonts w:ascii="Aptos" w:hAnsi="Aptos"/>
          <w:lang w:val="fr-BE"/>
        </w:rPr>
      </w:pPr>
      <w:r w:rsidRPr="008B15E7">
        <w:rPr>
          <w:rFonts w:ascii="Aptos" w:hAnsi="Aptos"/>
          <w:lang w:val="fr-BE"/>
        </w:rPr>
        <w:t>Rédigé le 2</w:t>
      </w:r>
      <w:r w:rsidR="00CE603E">
        <w:rPr>
          <w:rFonts w:ascii="Aptos" w:hAnsi="Aptos"/>
          <w:lang w:val="fr-BE"/>
        </w:rPr>
        <w:t>4</w:t>
      </w:r>
      <w:r w:rsidRPr="008B15E7">
        <w:rPr>
          <w:rFonts w:ascii="Aptos" w:hAnsi="Aptos"/>
          <w:lang w:val="fr-BE"/>
        </w:rPr>
        <w:t xml:space="preserve"> jui</w:t>
      </w:r>
      <w:r w:rsidR="00CE603E">
        <w:rPr>
          <w:rFonts w:ascii="Aptos" w:hAnsi="Aptos"/>
          <w:lang w:val="fr-BE"/>
        </w:rPr>
        <w:t>llet</w:t>
      </w:r>
      <w:r w:rsidRPr="008B15E7">
        <w:rPr>
          <w:rFonts w:ascii="Aptos" w:hAnsi="Aptos"/>
          <w:lang w:val="fr-BE"/>
        </w:rPr>
        <w:t xml:space="preserve"> 2024.</w:t>
      </w:r>
    </w:p>
    <w:p w14:paraId="52D041CD" w14:textId="77777777" w:rsidR="0041089C" w:rsidRDefault="0041089C">
      <w:pPr>
        <w:rPr>
          <w:rFonts w:ascii="Aptos" w:hAnsi="Aptos"/>
          <w:lang w:val="fr-BE"/>
        </w:rPr>
      </w:pPr>
      <w:r>
        <w:rPr>
          <w:rFonts w:ascii="Aptos" w:hAnsi="Aptos"/>
          <w:lang w:val="fr-BE"/>
        </w:rPr>
        <w:br w:type="page"/>
      </w:r>
    </w:p>
    <w:p w14:paraId="6C9D7C28" w14:textId="77777777" w:rsidR="00C75DFE" w:rsidRDefault="00C75DFE" w:rsidP="00C75DFE">
      <w:pPr>
        <w:jc w:val="right"/>
        <w:rPr>
          <w:rFonts w:ascii="Aptos" w:hAnsi="Aptos"/>
          <w:lang w:val="fr-BE"/>
        </w:rPr>
      </w:pPr>
    </w:p>
    <w:p w14:paraId="3A2636EC" w14:textId="50711681" w:rsidR="00BA7813" w:rsidRPr="008B15E7" w:rsidRDefault="00BA7813" w:rsidP="00C75DFE">
      <w:pPr>
        <w:rPr>
          <w:rFonts w:ascii="Aptos" w:hAnsi="Aptos"/>
          <w:i/>
          <w:iCs/>
          <w:lang w:val="fr-BE"/>
        </w:rPr>
      </w:pPr>
      <w:r w:rsidRPr="008B15E7">
        <w:rPr>
          <w:rFonts w:ascii="Aptos" w:hAnsi="Aptos"/>
          <w:i/>
          <w:iCs/>
          <w:lang w:val="fr-BE"/>
        </w:rPr>
        <w:t xml:space="preserve">Sources : </w:t>
      </w:r>
    </w:p>
    <w:bookmarkStart w:id="0" w:name="_Hlk170470709"/>
    <w:p w14:paraId="3AFA9374" w14:textId="3A4F16B2" w:rsidR="00BA7813" w:rsidRPr="008B15E7" w:rsidRDefault="00D95658" w:rsidP="00BA7813">
      <w:pPr>
        <w:jc w:val="both"/>
        <w:rPr>
          <w:rFonts w:ascii="Aptos" w:hAnsi="Aptos"/>
          <w:i/>
          <w:iCs/>
          <w:sz w:val="20"/>
          <w:szCs w:val="20"/>
        </w:rPr>
      </w:pPr>
      <w:r w:rsidRPr="008B15E7">
        <w:rPr>
          <w:rFonts w:ascii="Aptos" w:hAnsi="Aptos"/>
          <w:i/>
          <w:iCs/>
          <w:sz w:val="20"/>
          <w:szCs w:val="20"/>
        </w:rPr>
        <w:fldChar w:fldCharType="begin"/>
      </w:r>
      <w:r w:rsidRPr="008B15E7">
        <w:rPr>
          <w:rFonts w:ascii="Aptos" w:hAnsi="Aptos"/>
          <w:i/>
          <w:iCs/>
          <w:sz w:val="20"/>
          <w:szCs w:val="20"/>
        </w:rPr>
        <w:instrText>HYPERLINK "https://disclosure.spglobal.com/ratings/en/regulatory/article/-/view/type/HTML/id/3133510"</w:instrText>
      </w:r>
      <w:r w:rsidRPr="008B15E7">
        <w:rPr>
          <w:rFonts w:ascii="Aptos" w:hAnsi="Aptos"/>
          <w:i/>
          <w:iCs/>
          <w:sz w:val="20"/>
          <w:szCs w:val="20"/>
        </w:rPr>
      </w:r>
      <w:r w:rsidRPr="008B15E7">
        <w:rPr>
          <w:rFonts w:ascii="Aptos" w:hAnsi="Aptos"/>
          <w:i/>
          <w:iCs/>
          <w:sz w:val="20"/>
          <w:szCs w:val="20"/>
        </w:rPr>
        <w:fldChar w:fldCharType="separate"/>
      </w:r>
      <w:r w:rsidRPr="008B15E7">
        <w:rPr>
          <w:rStyle w:val="Hyperlink"/>
          <w:rFonts w:ascii="Aptos" w:hAnsi="Aptos"/>
          <w:i/>
          <w:iCs/>
          <w:sz w:val="20"/>
          <w:szCs w:val="20"/>
        </w:rPr>
        <w:t>https://disclosure.spglobal.co</w:t>
      </w:r>
      <w:r w:rsidRPr="008B15E7">
        <w:rPr>
          <w:rStyle w:val="Hyperlink"/>
          <w:rFonts w:ascii="Aptos" w:hAnsi="Aptos"/>
          <w:i/>
          <w:iCs/>
          <w:sz w:val="20"/>
          <w:szCs w:val="20"/>
        </w:rPr>
        <w:t>m</w:t>
      </w:r>
      <w:r w:rsidRPr="008B15E7">
        <w:rPr>
          <w:rStyle w:val="Hyperlink"/>
          <w:rFonts w:ascii="Aptos" w:hAnsi="Aptos"/>
          <w:i/>
          <w:iCs/>
          <w:sz w:val="20"/>
          <w:szCs w:val="20"/>
        </w:rPr>
        <w:t>/ratings/en/regulatory/article/-/view/type/HTML/id/3133510</w:t>
      </w:r>
      <w:r w:rsidRPr="008B15E7">
        <w:rPr>
          <w:rFonts w:ascii="Aptos" w:hAnsi="Aptos"/>
          <w:i/>
          <w:iCs/>
          <w:sz w:val="20"/>
          <w:szCs w:val="20"/>
        </w:rPr>
        <w:fldChar w:fldCharType="end"/>
      </w:r>
    </w:p>
    <w:p w14:paraId="27F31899" w14:textId="5277E421" w:rsidR="00D95658" w:rsidRPr="008B15E7" w:rsidRDefault="0041089C" w:rsidP="00BA7813">
      <w:pPr>
        <w:jc w:val="both"/>
        <w:rPr>
          <w:rFonts w:ascii="Aptos" w:hAnsi="Aptos"/>
          <w:i/>
          <w:iCs/>
          <w:sz w:val="20"/>
          <w:szCs w:val="20"/>
        </w:rPr>
      </w:pPr>
      <w:hyperlink r:id="rId8" w:anchor="fc6127bd5e4d37a246d4c73579791d51" w:history="1">
        <w:r w:rsidR="00D95658" w:rsidRPr="008B15E7">
          <w:rPr>
            <w:rStyle w:val="Hyperlink"/>
            <w:rFonts w:ascii="Aptos" w:hAnsi="Aptos"/>
            <w:i/>
            <w:iCs/>
            <w:sz w:val="20"/>
            <w:szCs w:val="20"/>
          </w:rPr>
          <w:t>https://www.moodys.com/research/Gov</w:t>
        </w:r>
        <w:r w:rsidR="00D95658" w:rsidRPr="008B15E7">
          <w:rPr>
            <w:rStyle w:val="Hyperlink"/>
            <w:rFonts w:ascii="Aptos" w:hAnsi="Aptos"/>
            <w:i/>
            <w:iCs/>
            <w:sz w:val="20"/>
            <w:szCs w:val="20"/>
          </w:rPr>
          <w:t>e</w:t>
        </w:r>
        <w:r w:rsidR="00D95658" w:rsidRPr="008B15E7">
          <w:rPr>
            <w:rStyle w:val="Hyperlink"/>
            <w:rFonts w:ascii="Aptos" w:hAnsi="Aptos"/>
            <w:i/>
            <w:iCs/>
            <w:sz w:val="20"/>
            <w:szCs w:val="20"/>
          </w:rPr>
          <w:t>rnment-of-Kazakhstan-Baa2-positive-Regular-update-Credit-Opinion--PBC_1406464#fc6127bd5e4d37a246d4c73579791d51</w:t>
        </w:r>
      </w:hyperlink>
    </w:p>
    <w:p w14:paraId="4D2857B1" w14:textId="4BA845B3" w:rsidR="00D95658" w:rsidRPr="008B15E7" w:rsidRDefault="0041089C" w:rsidP="00BA7813">
      <w:pPr>
        <w:jc w:val="both"/>
        <w:rPr>
          <w:rFonts w:ascii="Aptos" w:hAnsi="Aptos"/>
          <w:i/>
          <w:iCs/>
          <w:sz w:val="20"/>
          <w:szCs w:val="20"/>
        </w:rPr>
      </w:pPr>
      <w:hyperlink r:id="rId9" w:history="1">
        <w:r w:rsidR="00007E98" w:rsidRPr="008B15E7">
          <w:rPr>
            <w:rStyle w:val="Hyperlink"/>
            <w:rFonts w:ascii="Aptos" w:hAnsi="Aptos"/>
            <w:i/>
            <w:iCs/>
            <w:sz w:val="20"/>
            <w:szCs w:val="20"/>
          </w:rPr>
          <w:t>https://app.fitchconnect.com/arti</w:t>
        </w:r>
        <w:r w:rsidR="00007E98" w:rsidRPr="008B15E7">
          <w:rPr>
            <w:rStyle w:val="Hyperlink"/>
            <w:rFonts w:ascii="Aptos" w:hAnsi="Aptos"/>
            <w:i/>
            <w:iCs/>
            <w:sz w:val="20"/>
            <w:szCs w:val="20"/>
          </w:rPr>
          <w:t>c</w:t>
        </w:r>
        <w:r w:rsidR="00007E98" w:rsidRPr="008B15E7">
          <w:rPr>
            <w:rStyle w:val="Hyperlink"/>
            <w:rFonts w:ascii="Aptos" w:hAnsi="Aptos"/>
            <w:i/>
            <w:iCs/>
            <w:sz w:val="20"/>
            <w:szCs w:val="20"/>
          </w:rPr>
          <w:t>le/RPT_10273300</w:t>
        </w:r>
      </w:hyperlink>
    </w:p>
    <w:p w14:paraId="2F133985" w14:textId="411B58F1" w:rsidR="00007E98" w:rsidRPr="008B15E7" w:rsidRDefault="0041089C" w:rsidP="00BA7813">
      <w:pPr>
        <w:jc w:val="both"/>
        <w:rPr>
          <w:rFonts w:ascii="Aptos" w:hAnsi="Aptos"/>
          <w:i/>
          <w:iCs/>
          <w:sz w:val="20"/>
          <w:szCs w:val="20"/>
        </w:rPr>
      </w:pPr>
      <w:hyperlink r:id="rId10" w:anchor=":~:text=Avec%20un%20PIB%20d%C3%A9passant%20225,exportations%20en%20valeur%20en%202023" w:history="1">
        <w:r w:rsidR="00007E98" w:rsidRPr="008B15E7">
          <w:rPr>
            <w:rStyle w:val="Hyperlink"/>
            <w:rFonts w:ascii="Aptos" w:hAnsi="Aptos"/>
            <w:i/>
            <w:iCs/>
            <w:sz w:val="20"/>
            <w:szCs w:val="20"/>
          </w:rPr>
          <w:t>https://www.tresor.economie.gouv.fr/Pays/KZ/la-situation-economique-et-financiere-du-kazakhstan-2#:~:text=Avec%20un%20PIB%20d%C3%A9passant%20225,exportations%20en%20valeur%20en%202023</w:t>
        </w:r>
      </w:hyperlink>
      <w:r w:rsidR="00007E98" w:rsidRPr="008B15E7">
        <w:rPr>
          <w:rFonts w:ascii="Aptos" w:hAnsi="Aptos"/>
          <w:i/>
          <w:iCs/>
          <w:sz w:val="20"/>
          <w:szCs w:val="20"/>
        </w:rPr>
        <w:t>.</w:t>
      </w:r>
    </w:p>
    <w:p w14:paraId="65AD94AD" w14:textId="0EA2372A" w:rsidR="00007E98" w:rsidRPr="008B15E7" w:rsidRDefault="0041089C" w:rsidP="00BA7813">
      <w:pPr>
        <w:jc w:val="both"/>
        <w:rPr>
          <w:rFonts w:ascii="Aptos" w:hAnsi="Aptos"/>
          <w:i/>
          <w:iCs/>
          <w:sz w:val="20"/>
          <w:szCs w:val="20"/>
        </w:rPr>
      </w:pPr>
      <w:hyperlink r:id="rId11" w:history="1">
        <w:r w:rsidR="00007E98" w:rsidRPr="008B15E7">
          <w:rPr>
            <w:rStyle w:val="Hyperlink"/>
            <w:rFonts w:ascii="Aptos" w:hAnsi="Aptos"/>
            <w:i/>
            <w:iCs/>
            <w:sz w:val="20"/>
            <w:szCs w:val="20"/>
          </w:rPr>
          <w:t>https://www.coface.co</w:t>
        </w:r>
        <w:r w:rsidR="00007E98" w:rsidRPr="008B15E7">
          <w:rPr>
            <w:rStyle w:val="Hyperlink"/>
            <w:rFonts w:ascii="Aptos" w:hAnsi="Aptos"/>
            <w:i/>
            <w:iCs/>
            <w:sz w:val="20"/>
            <w:szCs w:val="20"/>
          </w:rPr>
          <w:t>m</w:t>
        </w:r>
        <w:r w:rsidR="00007E98" w:rsidRPr="008B15E7">
          <w:rPr>
            <w:rStyle w:val="Hyperlink"/>
            <w:rFonts w:ascii="Aptos" w:hAnsi="Aptos"/>
            <w:i/>
            <w:iCs/>
            <w:sz w:val="20"/>
            <w:szCs w:val="20"/>
          </w:rPr>
          <w:t>/fr/actualites-economie-conseils-d-experts/tableau-de-bord-des-risques-economiques/fiches-risques-pays/kazakhstan</w:t>
        </w:r>
      </w:hyperlink>
    </w:p>
    <w:p w14:paraId="7BB62BC6" w14:textId="050CE629" w:rsidR="00007E98" w:rsidRPr="008B15E7" w:rsidRDefault="0041089C" w:rsidP="00BA7813">
      <w:pPr>
        <w:jc w:val="both"/>
        <w:rPr>
          <w:rFonts w:ascii="Aptos" w:hAnsi="Aptos"/>
          <w:i/>
          <w:iCs/>
          <w:sz w:val="20"/>
          <w:szCs w:val="20"/>
        </w:rPr>
      </w:pPr>
      <w:hyperlink r:id="rId12" w:history="1">
        <w:r w:rsidR="00007E98" w:rsidRPr="008B15E7">
          <w:rPr>
            <w:rStyle w:val="Hyperlink"/>
            <w:rFonts w:ascii="Aptos" w:hAnsi="Aptos"/>
            <w:i/>
            <w:iCs/>
            <w:sz w:val="20"/>
            <w:szCs w:val="20"/>
          </w:rPr>
          <w:t>https://www.allianz-trade.fr/etudes-economiques/risque-pays/kazakhstan.html</w:t>
        </w:r>
      </w:hyperlink>
    </w:p>
    <w:p w14:paraId="795A4CCF" w14:textId="1C3CC2FA" w:rsidR="00007E98" w:rsidRPr="008B15E7" w:rsidRDefault="00007E98" w:rsidP="00BA7813">
      <w:pPr>
        <w:jc w:val="both"/>
        <w:rPr>
          <w:rFonts w:ascii="Aptos" w:hAnsi="Aptos"/>
          <w:i/>
          <w:iCs/>
          <w:sz w:val="20"/>
          <w:szCs w:val="20"/>
        </w:rPr>
      </w:pPr>
      <w:r w:rsidRPr="008B15E7">
        <w:rPr>
          <w:rFonts w:ascii="Aptos" w:hAnsi="Aptos"/>
          <w:i/>
          <w:iCs/>
          <w:sz w:val="20"/>
          <w:szCs w:val="20"/>
        </w:rPr>
        <w:t>https://perspective.usherbrooke.ca/bilan/servlet/BMAnalyse/1086</w:t>
      </w:r>
    </w:p>
    <w:bookmarkEnd w:id="0"/>
    <w:p w14:paraId="3BB9EFA8" w14:textId="77777777" w:rsidR="00C71EC2" w:rsidRPr="008B15E7" w:rsidRDefault="00C71EC2">
      <w:pPr>
        <w:rPr>
          <w:rFonts w:ascii="Aptos" w:hAnsi="Aptos"/>
        </w:rPr>
      </w:pPr>
    </w:p>
    <w:sectPr w:rsidR="00C71EC2" w:rsidRPr="008B15E7" w:rsidSect="00BA781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8ED4" w14:textId="77777777" w:rsidR="00BA7813" w:rsidRDefault="00BA7813" w:rsidP="00BA7813">
      <w:pPr>
        <w:spacing w:after="0" w:line="240" w:lineRule="auto"/>
      </w:pPr>
      <w:r>
        <w:separator/>
      </w:r>
    </w:p>
  </w:endnote>
  <w:endnote w:type="continuationSeparator" w:id="0">
    <w:p w14:paraId="656B0E16" w14:textId="77777777" w:rsidR="00BA7813" w:rsidRDefault="00BA7813" w:rsidP="00BA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B13E5" w14:textId="77777777" w:rsidR="00BA7813" w:rsidRDefault="00BA7813" w:rsidP="00BA7813">
      <w:pPr>
        <w:spacing w:after="0" w:line="240" w:lineRule="auto"/>
      </w:pPr>
      <w:r>
        <w:separator/>
      </w:r>
    </w:p>
  </w:footnote>
  <w:footnote w:type="continuationSeparator" w:id="0">
    <w:p w14:paraId="5892F95E" w14:textId="77777777" w:rsidR="00BA7813" w:rsidRDefault="00BA7813" w:rsidP="00BA7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F652" w14:textId="168ABAD9" w:rsidR="00EE0859" w:rsidRDefault="00BA7813">
    <w:pPr>
      <w:pStyle w:val="Header"/>
    </w:pPr>
    <w:r>
      <w:rPr>
        <w:noProof/>
      </w:rPr>
      <w:drawing>
        <wp:inline distT="0" distB="0" distL="0" distR="0" wp14:anchorId="16739EBF" wp14:editId="06451A04">
          <wp:extent cx="558018" cy="2790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172" cy="28358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21"/>
    <w:rsid w:val="00007E98"/>
    <w:rsid w:val="00077199"/>
    <w:rsid w:val="000B6A31"/>
    <w:rsid w:val="000B7871"/>
    <w:rsid w:val="00265FAC"/>
    <w:rsid w:val="0028097D"/>
    <w:rsid w:val="002A1521"/>
    <w:rsid w:val="002B477B"/>
    <w:rsid w:val="002C52F1"/>
    <w:rsid w:val="003070B0"/>
    <w:rsid w:val="003106CE"/>
    <w:rsid w:val="003676BF"/>
    <w:rsid w:val="00375CD9"/>
    <w:rsid w:val="003829EC"/>
    <w:rsid w:val="003B5237"/>
    <w:rsid w:val="003D7041"/>
    <w:rsid w:val="0041089C"/>
    <w:rsid w:val="00417412"/>
    <w:rsid w:val="004A65A5"/>
    <w:rsid w:val="004D267A"/>
    <w:rsid w:val="00571C85"/>
    <w:rsid w:val="006E37DE"/>
    <w:rsid w:val="006F3365"/>
    <w:rsid w:val="00762C2F"/>
    <w:rsid w:val="00786320"/>
    <w:rsid w:val="007A68C4"/>
    <w:rsid w:val="007B1D5D"/>
    <w:rsid w:val="007C4083"/>
    <w:rsid w:val="007C7AD4"/>
    <w:rsid w:val="008B15E7"/>
    <w:rsid w:val="008B4B01"/>
    <w:rsid w:val="008F7D1C"/>
    <w:rsid w:val="009E4AE6"/>
    <w:rsid w:val="00A61768"/>
    <w:rsid w:val="00A87014"/>
    <w:rsid w:val="00A96482"/>
    <w:rsid w:val="00AE3852"/>
    <w:rsid w:val="00AF0451"/>
    <w:rsid w:val="00BA3A47"/>
    <w:rsid w:val="00BA7813"/>
    <w:rsid w:val="00BC7950"/>
    <w:rsid w:val="00C33B15"/>
    <w:rsid w:val="00C45571"/>
    <w:rsid w:val="00C71EC2"/>
    <w:rsid w:val="00C75DFE"/>
    <w:rsid w:val="00CE603E"/>
    <w:rsid w:val="00D044AE"/>
    <w:rsid w:val="00D5465E"/>
    <w:rsid w:val="00D95658"/>
    <w:rsid w:val="00E01036"/>
    <w:rsid w:val="00E703A3"/>
    <w:rsid w:val="00ED7EC0"/>
    <w:rsid w:val="00EE0859"/>
    <w:rsid w:val="00F56D7C"/>
    <w:rsid w:val="00F74AD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7D3FEB"/>
  <w15:chartTrackingRefBased/>
  <w15:docId w15:val="{888D9995-B5DC-465E-96A3-97AB861E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13"/>
  </w:style>
  <w:style w:type="character" w:styleId="Hyperlink">
    <w:name w:val="Hyperlink"/>
    <w:basedOn w:val="DefaultParagraphFont"/>
    <w:uiPriority w:val="99"/>
    <w:unhideWhenUsed/>
    <w:rsid w:val="00BA7813"/>
    <w:rPr>
      <w:color w:val="0563C1" w:themeColor="hyperlink"/>
      <w:u w:val="single"/>
    </w:rPr>
  </w:style>
  <w:style w:type="paragraph" w:styleId="ListParagraph">
    <w:name w:val="List Paragraph"/>
    <w:basedOn w:val="Normal"/>
    <w:uiPriority w:val="34"/>
    <w:qFormat/>
    <w:rsid w:val="00BA7813"/>
    <w:pPr>
      <w:ind w:left="720"/>
      <w:contextualSpacing/>
    </w:pPr>
  </w:style>
  <w:style w:type="paragraph" w:styleId="Caption">
    <w:name w:val="caption"/>
    <w:basedOn w:val="Normal"/>
    <w:next w:val="Normal"/>
    <w:uiPriority w:val="35"/>
    <w:unhideWhenUsed/>
    <w:qFormat/>
    <w:rsid w:val="00BA7813"/>
    <w:pPr>
      <w:spacing w:after="200" w:line="240" w:lineRule="auto"/>
    </w:pPr>
    <w:rPr>
      <w:i/>
      <w:iCs/>
      <w:color w:val="44546A" w:themeColor="text2"/>
      <w:sz w:val="18"/>
      <w:szCs w:val="18"/>
    </w:rPr>
  </w:style>
  <w:style w:type="paragraph" w:styleId="Footer">
    <w:name w:val="footer"/>
    <w:basedOn w:val="Normal"/>
    <w:link w:val="FooterChar"/>
    <w:uiPriority w:val="99"/>
    <w:unhideWhenUsed/>
    <w:rsid w:val="00BA7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13"/>
  </w:style>
  <w:style w:type="character" w:styleId="UnresolvedMention">
    <w:name w:val="Unresolved Mention"/>
    <w:basedOn w:val="DefaultParagraphFont"/>
    <w:uiPriority w:val="99"/>
    <w:semiHidden/>
    <w:unhideWhenUsed/>
    <w:rsid w:val="00D95658"/>
    <w:rPr>
      <w:color w:val="605E5C"/>
      <w:shd w:val="clear" w:color="auto" w:fill="E1DFDD"/>
    </w:rPr>
  </w:style>
  <w:style w:type="character" w:styleId="FollowedHyperlink">
    <w:name w:val="FollowedHyperlink"/>
    <w:basedOn w:val="DefaultParagraphFont"/>
    <w:uiPriority w:val="99"/>
    <w:semiHidden/>
    <w:unhideWhenUsed/>
    <w:rsid w:val="00007E98"/>
    <w:rPr>
      <w:color w:val="954F72" w:themeColor="followedHyperlink"/>
      <w:u w:val="single"/>
    </w:rPr>
  </w:style>
  <w:style w:type="character" w:styleId="Emphasis">
    <w:name w:val="Emphasis"/>
    <w:basedOn w:val="DefaultParagraphFont"/>
    <w:uiPriority w:val="20"/>
    <w:qFormat/>
    <w:rsid w:val="00D04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dys.com/research/Government-of-Kazakhstan-Baa2-positive-Regular-update-Credit-Opinion--PBC_140646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llianz-trade.fr/etudes-economiques/risque-pays/kazakhst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face.com/fr/actualites-economie-conseils-d-experts/tableau-de-bord-des-risques-economiques/fiches-risques-pays/kazakhst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resor.economie.gouv.fr/Pays/KZ/la-situation-economique-et-financiere-du-kazakhstan-2" TargetMode="External"/><Relationship Id="rId4" Type="http://schemas.openxmlformats.org/officeDocument/2006/relationships/webSettings" Target="webSettings.xml"/><Relationship Id="rId9" Type="http://schemas.openxmlformats.org/officeDocument/2006/relationships/hyperlink" Target="https://app.fitchconnect.com/article/RPT_1027330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5</Pages>
  <Words>1630</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7</cp:revision>
  <dcterms:created xsi:type="dcterms:W3CDTF">2024-07-24T07:34:00Z</dcterms:created>
  <dcterms:modified xsi:type="dcterms:W3CDTF">2024-07-26T10:52:00Z</dcterms:modified>
</cp:coreProperties>
</file>