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85" w:type="dxa"/>
        <w:tblLook w:val="04A0" w:firstRow="1" w:lastRow="0" w:firstColumn="1" w:lastColumn="0" w:noHBand="0" w:noVBand="1"/>
      </w:tblPr>
      <w:tblGrid>
        <w:gridCol w:w="9085"/>
      </w:tblGrid>
      <w:tr w:rsidR="00662A00" w:rsidRPr="00190472" w14:paraId="67D957D7" w14:textId="77777777" w:rsidTr="00B3122B">
        <w:tc>
          <w:tcPr>
            <w:tcW w:w="9085" w:type="dxa"/>
            <w:shd w:val="clear" w:color="auto" w:fill="E7E6E6" w:themeFill="background2"/>
          </w:tcPr>
          <w:p w14:paraId="14EAFB0C" w14:textId="77777777" w:rsidR="00662A00" w:rsidRDefault="00662A00" w:rsidP="00151CF6">
            <w:pPr>
              <w:jc w:val="center"/>
              <w:rPr>
                <w:b/>
                <w:bCs/>
                <w:lang w:val="en-US"/>
              </w:rPr>
            </w:pPr>
          </w:p>
          <w:p w14:paraId="15ADBA87" w14:textId="201E0B67" w:rsidR="00662A00" w:rsidRPr="00763FC2" w:rsidRDefault="00662A00" w:rsidP="00151CF6">
            <w:pPr>
              <w:jc w:val="center"/>
              <w:rPr>
                <w:b/>
                <w:bCs/>
                <w:sz w:val="24"/>
                <w:szCs w:val="24"/>
                <w:lang w:val="en-US"/>
              </w:rPr>
            </w:pPr>
            <w:r w:rsidRPr="00763FC2">
              <w:rPr>
                <w:b/>
                <w:bCs/>
                <w:sz w:val="24"/>
                <w:szCs w:val="24"/>
                <w:lang w:val="en-US"/>
              </w:rPr>
              <w:t xml:space="preserve">Moody’s : </w:t>
            </w:r>
            <w:r w:rsidR="004E4078">
              <w:rPr>
                <w:b/>
                <w:bCs/>
                <w:sz w:val="24"/>
                <w:szCs w:val="24"/>
                <w:lang w:val="en-US"/>
              </w:rPr>
              <w:t>A2</w:t>
            </w:r>
            <w:r w:rsidR="00FB1B23">
              <w:rPr>
                <w:b/>
                <w:bCs/>
                <w:sz w:val="24"/>
                <w:szCs w:val="24"/>
                <w:lang w:val="en-US"/>
              </w:rPr>
              <w:t xml:space="preserve">, </w:t>
            </w:r>
            <w:r w:rsidR="004E4078">
              <w:rPr>
                <w:b/>
                <w:bCs/>
                <w:sz w:val="20"/>
                <w:szCs w:val="20"/>
                <w:lang w:val="en-US"/>
              </w:rPr>
              <w:t>Stable</w:t>
            </w:r>
            <w:r w:rsidR="00FB1B23">
              <w:rPr>
                <w:b/>
                <w:bCs/>
                <w:sz w:val="24"/>
                <w:szCs w:val="24"/>
                <w:lang w:val="en-US"/>
              </w:rPr>
              <w:t xml:space="preserve"> |</w:t>
            </w:r>
            <w:r w:rsidRPr="00763FC2">
              <w:rPr>
                <w:b/>
                <w:bCs/>
                <w:sz w:val="24"/>
                <w:szCs w:val="24"/>
                <w:lang w:val="en-US"/>
              </w:rPr>
              <w:t xml:space="preserve"> Fitch : </w:t>
            </w:r>
            <w:r w:rsidR="008F7262">
              <w:rPr>
                <w:b/>
                <w:bCs/>
                <w:sz w:val="24"/>
                <w:szCs w:val="24"/>
                <w:lang w:val="en-US"/>
              </w:rPr>
              <w:t>A</w:t>
            </w:r>
            <w:r>
              <w:rPr>
                <w:b/>
                <w:bCs/>
                <w:sz w:val="24"/>
                <w:szCs w:val="24"/>
                <w:lang w:val="en-US"/>
              </w:rPr>
              <w:t>-</w:t>
            </w:r>
            <w:r w:rsidR="00FB1B23">
              <w:rPr>
                <w:b/>
                <w:bCs/>
                <w:sz w:val="24"/>
                <w:szCs w:val="24"/>
                <w:lang w:val="en-US"/>
              </w:rPr>
              <w:t xml:space="preserve">, </w:t>
            </w:r>
            <w:r w:rsidR="00FB1B23" w:rsidRPr="000E5546">
              <w:rPr>
                <w:b/>
                <w:bCs/>
                <w:sz w:val="20"/>
                <w:szCs w:val="20"/>
                <w:lang w:val="en-US"/>
              </w:rPr>
              <w:t>Stable</w:t>
            </w:r>
            <w:r>
              <w:rPr>
                <w:b/>
                <w:bCs/>
                <w:sz w:val="24"/>
                <w:szCs w:val="24"/>
                <w:lang w:val="en-US"/>
              </w:rPr>
              <w:t xml:space="preserve"> | S&amp;P : </w:t>
            </w:r>
            <w:r w:rsidR="008F7262">
              <w:rPr>
                <w:b/>
                <w:bCs/>
                <w:sz w:val="24"/>
                <w:szCs w:val="24"/>
                <w:lang w:val="en-US"/>
              </w:rPr>
              <w:t>A</w:t>
            </w:r>
            <w:r w:rsidR="002A37D3">
              <w:rPr>
                <w:b/>
                <w:bCs/>
                <w:sz w:val="24"/>
                <w:szCs w:val="24"/>
                <w:lang w:val="en-US"/>
              </w:rPr>
              <w:t>-</w:t>
            </w:r>
            <w:r w:rsidR="008F7262">
              <w:rPr>
                <w:b/>
                <w:bCs/>
                <w:sz w:val="24"/>
                <w:szCs w:val="24"/>
                <w:lang w:val="en-US"/>
              </w:rPr>
              <w:t xml:space="preserve">, </w:t>
            </w:r>
            <w:r w:rsidR="008F7262" w:rsidRPr="000E5546">
              <w:rPr>
                <w:b/>
                <w:bCs/>
                <w:sz w:val="20"/>
                <w:szCs w:val="20"/>
                <w:lang w:val="en-US"/>
              </w:rPr>
              <w:t>Stable</w:t>
            </w:r>
          </w:p>
          <w:p w14:paraId="44D9853D" w14:textId="77777777" w:rsidR="00662A00" w:rsidRDefault="00662A00" w:rsidP="00151CF6">
            <w:pPr>
              <w:jc w:val="both"/>
              <w:rPr>
                <w:lang w:val="en-US"/>
              </w:rPr>
            </w:pPr>
          </w:p>
        </w:tc>
      </w:tr>
    </w:tbl>
    <w:p w14:paraId="6496C5C3" w14:textId="77777777" w:rsidR="00C71EC2" w:rsidRDefault="00C71EC2">
      <w:pPr>
        <w:rPr>
          <w:lang w:val="en-US"/>
        </w:rPr>
      </w:pPr>
    </w:p>
    <w:tbl>
      <w:tblPr>
        <w:tblStyle w:val="TableGrid"/>
        <w:tblW w:w="9085" w:type="dxa"/>
        <w:tblLook w:val="04A0" w:firstRow="1" w:lastRow="0" w:firstColumn="1" w:lastColumn="0" w:noHBand="0" w:noVBand="1"/>
      </w:tblPr>
      <w:tblGrid>
        <w:gridCol w:w="4495"/>
        <w:gridCol w:w="4590"/>
      </w:tblGrid>
      <w:tr w:rsidR="00A31D7D" w:rsidRPr="00F00A95" w14:paraId="3D961700" w14:textId="77777777" w:rsidTr="00B3122B">
        <w:trPr>
          <w:trHeight w:val="2942"/>
        </w:trPr>
        <w:tc>
          <w:tcPr>
            <w:tcW w:w="4495" w:type="dxa"/>
          </w:tcPr>
          <w:p w14:paraId="384EDFB6" w14:textId="73065055" w:rsidR="00A31D7D" w:rsidRPr="006F0C21" w:rsidRDefault="00E8213C" w:rsidP="00BF1044">
            <w:pPr>
              <w:jc w:val="center"/>
              <w:rPr>
                <w:b/>
                <w:bCs/>
                <w:color w:val="70AD47" w:themeColor="accent6"/>
                <w:u w:val="single"/>
                <w:lang w:val="fr-BE"/>
              </w:rPr>
            </w:pPr>
            <w:r>
              <w:rPr>
                <w:b/>
                <w:bCs/>
                <w:color w:val="70AD47" w:themeColor="accent6"/>
                <w:u w:val="single"/>
                <w:lang w:val="fr-BE"/>
              </w:rPr>
              <w:t>Strengths</w:t>
            </w:r>
          </w:p>
          <w:p w14:paraId="44E912C6" w14:textId="77777777" w:rsidR="00A31D7D" w:rsidRDefault="00A31D7D" w:rsidP="00BF1044">
            <w:pPr>
              <w:jc w:val="both"/>
              <w:rPr>
                <w:b/>
                <w:bCs/>
                <w:lang w:val="fr-BE"/>
              </w:rPr>
            </w:pPr>
          </w:p>
          <w:p w14:paraId="0157990F" w14:textId="77777777" w:rsidR="00F00A95" w:rsidRPr="00F00A95" w:rsidRDefault="00F00A95" w:rsidP="00115362">
            <w:pPr>
              <w:pStyle w:val="ListParagraph"/>
              <w:numPr>
                <w:ilvl w:val="0"/>
                <w:numId w:val="1"/>
              </w:numPr>
              <w:jc w:val="both"/>
              <w:rPr>
                <w:b/>
                <w:bCs/>
                <w:lang w:val="en-US"/>
              </w:rPr>
            </w:pPr>
            <w:r w:rsidRPr="00F00A95">
              <w:rPr>
                <w:b/>
                <w:bCs/>
                <w:lang w:val="en-US"/>
              </w:rPr>
              <w:t>Member of NATO and growing weight within the European Union</w:t>
            </w:r>
          </w:p>
          <w:p w14:paraId="0BBC6FE5" w14:textId="6676E2C5" w:rsidR="005C1CF1" w:rsidRDefault="00F00A95" w:rsidP="00115362">
            <w:pPr>
              <w:pStyle w:val="ListParagraph"/>
              <w:numPr>
                <w:ilvl w:val="0"/>
                <w:numId w:val="1"/>
              </w:numPr>
              <w:jc w:val="both"/>
              <w:rPr>
                <w:b/>
                <w:bCs/>
                <w:lang w:val="fr-BE"/>
              </w:rPr>
            </w:pPr>
            <w:r w:rsidRPr="00F00A95">
              <w:rPr>
                <w:b/>
                <w:bCs/>
                <w:lang w:val="fr-BE"/>
              </w:rPr>
              <w:t>Fairly robust domestic demand</w:t>
            </w:r>
          </w:p>
          <w:p w14:paraId="6924B403" w14:textId="631D8B53" w:rsidR="005C1CF1" w:rsidRPr="00F00A95" w:rsidRDefault="00F00A95" w:rsidP="00115362">
            <w:pPr>
              <w:pStyle w:val="ListParagraph"/>
              <w:numPr>
                <w:ilvl w:val="0"/>
                <w:numId w:val="1"/>
              </w:numPr>
              <w:jc w:val="both"/>
              <w:rPr>
                <w:b/>
                <w:bCs/>
                <w:lang w:val="en-US"/>
              </w:rPr>
            </w:pPr>
            <w:r w:rsidRPr="00F00A95">
              <w:rPr>
                <w:b/>
                <w:bCs/>
                <w:lang w:val="en-US"/>
              </w:rPr>
              <w:t>Public debt will remain at a sustainable level for at least the medium term</w:t>
            </w:r>
          </w:p>
        </w:tc>
        <w:tc>
          <w:tcPr>
            <w:tcW w:w="4590" w:type="dxa"/>
          </w:tcPr>
          <w:p w14:paraId="401ACA08" w14:textId="52DBF224" w:rsidR="00A31D7D" w:rsidRPr="006F0C21" w:rsidRDefault="00E8213C" w:rsidP="00BF1044">
            <w:pPr>
              <w:jc w:val="center"/>
              <w:rPr>
                <w:b/>
                <w:bCs/>
                <w:color w:val="FF0000"/>
                <w:u w:val="single"/>
                <w:lang w:val="fr-BE"/>
              </w:rPr>
            </w:pPr>
            <w:r>
              <w:rPr>
                <w:b/>
                <w:bCs/>
                <w:color w:val="FF0000"/>
                <w:u w:val="single"/>
                <w:lang w:val="fr-BE"/>
              </w:rPr>
              <w:t>Weaknesses</w:t>
            </w:r>
          </w:p>
          <w:p w14:paraId="5EC560CF" w14:textId="77777777" w:rsidR="00A31D7D" w:rsidRDefault="00A31D7D" w:rsidP="00BF1044">
            <w:pPr>
              <w:jc w:val="both"/>
              <w:rPr>
                <w:b/>
                <w:bCs/>
                <w:lang w:val="fr-BE"/>
              </w:rPr>
            </w:pPr>
          </w:p>
          <w:p w14:paraId="1DA628D0" w14:textId="77777777" w:rsidR="00F00A95" w:rsidRDefault="00F00A95" w:rsidP="00214285">
            <w:pPr>
              <w:pStyle w:val="ListParagraph"/>
              <w:numPr>
                <w:ilvl w:val="0"/>
                <w:numId w:val="1"/>
              </w:numPr>
              <w:jc w:val="both"/>
              <w:rPr>
                <w:b/>
                <w:bCs/>
                <w:lang w:val="fr-BE"/>
              </w:rPr>
            </w:pPr>
            <w:r w:rsidRPr="00F00A95">
              <w:rPr>
                <w:b/>
                <w:bCs/>
                <w:lang w:val="fr-BE"/>
              </w:rPr>
              <w:t>Tensions between President and Prime Minister may hinder implementation of reforms</w:t>
            </w:r>
            <w:r w:rsidRPr="00F00A95">
              <w:rPr>
                <w:b/>
                <w:bCs/>
                <w:lang w:val="fr-BE"/>
              </w:rPr>
              <w:t xml:space="preserve"> </w:t>
            </w:r>
          </w:p>
          <w:p w14:paraId="455438D1" w14:textId="77777777" w:rsidR="00F00A95" w:rsidRPr="00F00A95" w:rsidRDefault="00F00A95" w:rsidP="00214285">
            <w:pPr>
              <w:pStyle w:val="ListParagraph"/>
              <w:numPr>
                <w:ilvl w:val="0"/>
                <w:numId w:val="1"/>
              </w:numPr>
              <w:jc w:val="both"/>
              <w:rPr>
                <w:b/>
                <w:bCs/>
                <w:lang w:val="en-US"/>
              </w:rPr>
            </w:pPr>
            <w:r w:rsidRPr="00F00A95">
              <w:rPr>
                <w:b/>
                <w:bCs/>
                <w:lang w:val="en-US"/>
              </w:rPr>
              <w:t>Heavy dependence on the German economy</w:t>
            </w:r>
            <w:r w:rsidRPr="00F00A95">
              <w:rPr>
                <w:b/>
                <w:bCs/>
                <w:lang w:val="en-US"/>
              </w:rPr>
              <w:t xml:space="preserve"> </w:t>
            </w:r>
          </w:p>
          <w:p w14:paraId="4488579E" w14:textId="77974485" w:rsidR="00214285" w:rsidRPr="00F00A95" w:rsidRDefault="00F00A95" w:rsidP="00214285">
            <w:pPr>
              <w:pStyle w:val="ListParagraph"/>
              <w:numPr>
                <w:ilvl w:val="0"/>
                <w:numId w:val="1"/>
              </w:numPr>
              <w:jc w:val="both"/>
              <w:rPr>
                <w:b/>
                <w:bCs/>
                <w:lang w:val="en-US"/>
              </w:rPr>
            </w:pPr>
            <w:r w:rsidRPr="00F00A95">
              <w:rPr>
                <w:b/>
                <w:bCs/>
                <w:lang w:val="en-US"/>
              </w:rPr>
              <w:t>Geographical and economic proximity to the Russian-Ukrainian war</w:t>
            </w:r>
          </w:p>
        </w:tc>
      </w:tr>
    </w:tbl>
    <w:p w14:paraId="7C648BA9" w14:textId="77777777" w:rsidR="00A31D7D" w:rsidRPr="00F00A95" w:rsidRDefault="00A31D7D">
      <w:pPr>
        <w:rPr>
          <w:lang w:val="en-US"/>
        </w:rPr>
      </w:pPr>
    </w:p>
    <w:p w14:paraId="48991E4E" w14:textId="772C4238" w:rsidR="009E0582" w:rsidRDefault="005C1CF1" w:rsidP="00C41A97">
      <w:pPr>
        <w:jc w:val="both"/>
        <w:rPr>
          <w:b/>
          <w:bCs/>
          <w:lang w:val="en-US"/>
        </w:rPr>
      </w:pPr>
      <w:r w:rsidRPr="005C1CF1">
        <w:rPr>
          <w:b/>
          <w:bCs/>
          <w:highlight w:val="lightGray"/>
          <w:lang w:val="en-US"/>
        </w:rPr>
        <w:t>Abstract: The outlook for the Polish economy has deteriorated due to the war in Ukraine. After a strong post-Covid-19 rebound, with real GDP growth of +6.9% in 2021 and +8.8% year-on-year in Q1 2022, economic activity has slowed markedly since Q2 2022, as production has been hit by supply chain disruptions and rising input costs, including soaring energy prices. The tug-of-war between President Duda (conservative, eurosceptic) and Donald Tusk (liberal, pro-European Union) is creating uncertainty about the country's direction in the years ahead. The presidential elections in May 2025 should give us a clearer picture.</w:t>
      </w:r>
    </w:p>
    <w:p w14:paraId="190B4BB3" w14:textId="77777777" w:rsidR="005C1CF1" w:rsidRPr="005C1CF1" w:rsidRDefault="005C1CF1">
      <w:pPr>
        <w:rPr>
          <w:b/>
          <w:bCs/>
          <w:lang w:val="en-US"/>
        </w:rPr>
      </w:pPr>
    </w:p>
    <w:p w14:paraId="47E09F62" w14:textId="51DE264F" w:rsidR="00C561AD" w:rsidRPr="009E0582" w:rsidRDefault="009E0582">
      <w:pPr>
        <w:rPr>
          <w:b/>
          <w:bCs/>
        </w:rPr>
      </w:pPr>
      <w:r>
        <w:rPr>
          <w:noProof/>
        </w:rPr>
        <w:drawing>
          <wp:inline distT="0" distB="0" distL="0" distR="0" wp14:anchorId="527073E6" wp14:editId="0D4FD526">
            <wp:extent cx="5731510" cy="3144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44520"/>
                    </a:xfrm>
                    <a:prstGeom prst="rect">
                      <a:avLst/>
                    </a:prstGeom>
                  </pic:spPr>
                </pic:pic>
              </a:graphicData>
            </a:graphic>
          </wp:inline>
        </w:drawing>
      </w:r>
      <w:r w:rsidR="00C561AD" w:rsidRPr="009E0582">
        <w:rPr>
          <w:b/>
          <w:bCs/>
        </w:rPr>
        <w:br w:type="page"/>
      </w:r>
    </w:p>
    <w:p w14:paraId="0B4F4BC6" w14:textId="37A28575" w:rsidR="00662A00" w:rsidRPr="00396BFD" w:rsidRDefault="00396BFD" w:rsidP="00B3122B">
      <w:pPr>
        <w:jc w:val="both"/>
        <w:rPr>
          <w:u w:val="single"/>
          <w:lang w:val="en-US"/>
        </w:rPr>
      </w:pPr>
      <w:r w:rsidRPr="00396BFD">
        <w:rPr>
          <w:u w:val="single"/>
          <w:lang w:val="en-US"/>
        </w:rPr>
        <w:lastRenderedPageBreak/>
        <w:t>Important reminders</w:t>
      </w:r>
    </w:p>
    <w:p w14:paraId="5FF67E05" w14:textId="77777777" w:rsidR="00396BFD" w:rsidRDefault="00396BFD" w:rsidP="00396BFD">
      <w:pPr>
        <w:jc w:val="both"/>
        <w:rPr>
          <w:lang w:val="en-US"/>
        </w:rPr>
      </w:pPr>
      <w:r w:rsidRPr="00396BFD">
        <w:rPr>
          <w:lang w:val="en-US"/>
        </w:rPr>
        <w:t xml:space="preserve">Poland is a country of </w:t>
      </w:r>
      <w:r w:rsidRPr="00F00A95">
        <w:rPr>
          <w:b/>
          <w:bCs/>
          <w:lang w:val="en-US"/>
        </w:rPr>
        <w:t>38 million inhabitants</w:t>
      </w:r>
      <w:r w:rsidRPr="00396BFD">
        <w:rPr>
          <w:lang w:val="en-US"/>
        </w:rPr>
        <w:t xml:space="preserve">, the sixth largest in Europe in terms of surface area, with a GDP per capita of </w:t>
      </w:r>
      <w:r w:rsidRPr="00F00A95">
        <w:rPr>
          <w:b/>
          <w:bCs/>
          <w:lang w:val="en-US"/>
        </w:rPr>
        <w:t>19,920 euros</w:t>
      </w:r>
      <w:r w:rsidRPr="00396BFD">
        <w:rPr>
          <w:lang w:val="en-US"/>
        </w:rPr>
        <w:t xml:space="preserve">, and the </w:t>
      </w:r>
      <w:r w:rsidRPr="00F00A95">
        <w:rPr>
          <w:b/>
          <w:bCs/>
          <w:lang w:val="en-US"/>
        </w:rPr>
        <w:t>largest economy among the Central and Eastern European Countries</w:t>
      </w:r>
      <w:r w:rsidRPr="00396BFD">
        <w:rPr>
          <w:lang w:val="en-US"/>
        </w:rPr>
        <w:t xml:space="preserve"> (CEEC). </w:t>
      </w:r>
    </w:p>
    <w:p w14:paraId="4C091D19" w14:textId="26BA71A5" w:rsidR="00396BFD" w:rsidRPr="00396BFD" w:rsidRDefault="00396BFD" w:rsidP="00396BFD">
      <w:pPr>
        <w:jc w:val="both"/>
        <w:rPr>
          <w:lang w:val="en-US"/>
        </w:rPr>
      </w:pPr>
      <w:r w:rsidRPr="00396BFD">
        <w:rPr>
          <w:lang w:val="en-US"/>
        </w:rPr>
        <w:t xml:space="preserve">In 2023, the country's </w:t>
      </w:r>
      <w:r w:rsidRPr="00F00A95">
        <w:rPr>
          <w:b/>
          <w:bCs/>
          <w:lang w:val="en-US"/>
        </w:rPr>
        <w:t>unemployment rate stood at 2.8%</w:t>
      </w:r>
      <w:r w:rsidRPr="00396BFD">
        <w:rPr>
          <w:lang w:val="en-US"/>
        </w:rPr>
        <w:t xml:space="preserve">, one of the best figures among </w:t>
      </w:r>
      <w:r>
        <w:rPr>
          <w:lang w:val="en-US"/>
        </w:rPr>
        <w:t xml:space="preserve">European union </w:t>
      </w:r>
      <w:r w:rsidRPr="00396BFD">
        <w:rPr>
          <w:lang w:val="en-US"/>
        </w:rPr>
        <w:t xml:space="preserve">member states, and its </w:t>
      </w:r>
      <w:r w:rsidRPr="00F00A95">
        <w:rPr>
          <w:b/>
          <w:bCs/>
          <w:lang w:val="en-US"/>
        </w:rPr>
        <w:t>HDI was 0.876 in 2021</w:t>
      </w:r>
      <w:r w:rsidRPr="00396BFD">
        <w:rPr>
          <w:lang w:val="en-US"/>
        </w:rPr>
        <w:t xml:space="preserve"> (34th worldwide). </w:t>
      </w:r>
    </w:p>
    <w:p w14:paraId="1C2B51FC" w14:textId="06B653FD" w:rsidR="00D62C4A" w:rsidRDefault="00D62C4A" w:rsidP="00396BFD">
      <w:pPr>
        <w:jc w:val="both"/>
        <w:rPr>
          <w:lang w:val="en-US"/>
        </w:rPr>
      </w:pPr>
      <w:r w:rsidRPr="00D62C4A">
        <w:rPr>
          <w:lang w:val="en-US"/>
        </w:rPr>
        <w:t xml:space="preserve">Poland is a </w:t>
      </w:r>
      <w:r w:rsidRPr="00F00A95">
        <w:rPr>
          <w:b/>
          <w:bCs/>
          <w:lang w:val="en-US"/>
        </w:rPr>
        <w:t>semi-presidential republic</w:t>
      </w:r>
      <w:r w:rsidRPr="00D62C4A">
        <w:rPr>
          <w:lang w:val="en-US"/>
        </w:rPr>
        <w:t>, in which the President, elected for a five-year term by universal suffrage, enjoys extensive powers. However, the Prime Minister is accountable to the two chambers of Parliament, the Sejm and the Senate, both of which are elected by direct universal suffrage.</w:t>
      </w:r>
    </w:p>
    <w:p w14:paraId="14AE2B11" w14:textId="7326377B" w:rsidR="00396BFD" w:rsidRPr="00F00A95" w:rsidRDefault="00396BFD" w:rsidP="00396BFD">
      <w:pPr>
        <w:jc w:val="both"/>
        <w:rPr>
          <w:b/>
          <w:bCs/>
          <w:lang w:val="en-US"/>
        </w:rPr>
      </w:pPr>
      <w:r w:rsidRPr="00F00A95">
        <w:rPr>
          <w:b/>
          <w:bCs/>
          <w:lang w:val="en-US"/>
        </w:rPr>
        <w:t xml:space="preserve">Poland joined NATO in 1999 and the European Union in 2004. </w:t>
      </w:r>
    </w:p>
    <w:p w14:paraId="1D1F0DDF" w14:textId="07ACC13F" w:rsidR="00E85760" w:rsidRPr="00F00A95" w:rsidRDefault="00396BFD" w:rsidP="00396BFD">
      <w:pPr>
        <w:jc w:val="both"/>
        <w:rPr>
          <w:b/>
          <w:bCs/>
          <w:lang w:val="en-US"/>
        </w:rPr>
      </w:pPr>
      <w:r w:rsidRPr="00F00A95">
        <w:rPr>
          <w:b/>
          <w:bCs/>
          <w:lang w:val="en-US"/>
        </w:rPr>
        <w:t>Poland's currency is the złoty</w:t>
      </w:r>
      <w:r w:rsidR="00F00A95">
        <w:rPr>
          <w:b/>
          <w:bCs/>
          <w:lang w:val="en-US"/>
        </w:rPr>
        <w:t xml:space="preserve"> (or PLN)</w:t>
      </w:r>
      <w:r w:rsidRPr="00F00A95">
        <w:rPr>
          <w:b/>
          <w:bCs/>
          <w:lang w:val="en-US"/>
        </w:rPr>
        <w:t>, and the country is still not eligible for entry into the euro zone, as it does not meet all the convergence criteria imposed by the European Union.</w:t>
      </w:r>
    </w:p>
    <w:p w14:paraId="522612DF" w14:textId="77777777" w:rsidR="00E85760" w:rsidRPr="00F00A95" w:rsidRDefault="00E85760" w:rsidP="00B3122B">
      <w:pPr>
        <w:jc w:val="both"/>
        <w:rPr>
          <w:lang w:val="en-US"/>
        </w:rPr>
      </w:pPr>
    </w:p>
    <w:p w14:paraId="762BAB8D" w14:textId="5E2EAA10" w:rsidR="00593C5A" w:rsidRPr="00051C8D" w:rsidRDefault="00396BFD" w:rsidP="00B3122B">
      <w:pPr>
        <w:jc w:val="both"/>
        <w:rPr>
          <w:u w:val="single"/>
          <w:lang w:val="en-US"/>
        </w:rPr>
      </w:pPr>
      <w:r w:rsidRPr="00051C8D">
        <w:rPr>
          <w:u w:val="single"/>
          <w:lang w:val="en-US"/>
        </w:rPr>
        <w:t>Context</w:t>
      </w:r>
    </w:p>
    <w:p w14:paraId="0FFFFA9E" w14:textId="77777777" w:rsidR="00DD1CF7" w:rsidRDefault="00DD1CF7" w:rsidP="00B3122B">
      <w:pPr>
        <w:jc w:val="both"/>
        <w:rPr>
          <w:lang w:val="en-US"/>
        </w:rPr>
      </w:pPr>
      <w:r w:rsidRPr="00DD1CF7">
        <w:rPr>
          <w:lang w:val="en-US"/>
        </w:rPr>
        <w:t xml:space="preserve">The last parliamentary elections held in October 2023 once again </w:t>
      </w:r>
      <w:r w:rsidRPr="00F00A95">
        <w:rPr>
          <w:b/>
          <w:bCs/>
          <w:lang w:val="en-US"/>
        </w:rPr>
        <w:t>gave the highest number of votes to the Law and Justice party (right-wing conservative, PiS)</w:t>
      </w:r>
      <w:r w:rsidRPr="00DD1CF7">
        <w:rPr>
          <w:lang w:val="en-US"/>
        </w:rPr>
        <w:t xml:space="preserve">. President Duda reappointed Mateusz Morawiecki, from the party with the most votes, as candidate for Prime Minister. </w:t>
      </w:r>
    </w:p>
    <w:p w14:paraId="149EB616" w14:textId="668178B1" w:rsidR="00051C8D" w:rsidRDefault="00DD1CF7" w:rsidP="00B3122B">
      <w:pPr>
        <w:jc w:val="both"/>
        <w:rPr>
          <w:lang w:val="en-US"/>
        </w:rPr>
      </w:pPr>
      <w:r w:rsidRPr="00DD1CF7">
        <w:rPr>
          <w:lang w:val="en-US"/>
        </w:rPr>
        <w:t xml:space="preserve">However, </w:t>
      </w:r>
      <w:r w:rsidRPr="00F00A95">
        <w:rPr>
          <w:b/>
          <w:bCs/>
          <w:lang w:val="en-US"/>
        </w:rPr>
        <w:t>he did not survive the vote of confidence in the Sejm</w:t>
      </w:r>
      <w:r w:rsidRPr="00DD1CF7">
        <w:rPr>
          <w:lang w:val="en-US"/>
        </w:rPr>
        <w:t xml:space="preserve">, as the opposition coalition of Civic Coalition (KO, liberals), Third Way (center-right) and Left (left) has 248 seats out of 460 in the party's lower house. Parliament. </w:t>
      </w:r>
      <w:r w:rsidRPr="00F00A95">
        <w:rPr>
          <w:b/>
          <w:bCs/>
          <w:lang w:val="en-US"/>
        </w:rPr>
        <w:t>Donald Tusk, already twice Prime Minister, former President of the European Council (2014-2019) and KO leader, has been appointed Prime Minister.</w:t>
      </w:r>
    </w:p>
    <w:p w14:paraId="309BDD31" w14:textId="22F01D24" w:rsidR="00DD1CF7" w:rsidRDefault="00DD1CF7" w:rsidP="00B3122B">
      <w:pPr>
        <w:jc w:val="both"/>
        <w:rPr>
          <w:lang w:val="en-US"/>
        </w:rPr>
      </w:pPr>
      <w:r w:rsidRPr="00DD1CF7">
        <w:rPr>
          <w:lang w:val="en-US"/>
        </w:rPr>
        <w:t xml:space="preserve">So far, </w:t>
      </w:r>
      <w:r w:rsidRPr="00F00A95">
        <w:rPr>
          <w:b/>
          <w:bCs/>
          <w:lang w:val="en-US"/>
        </w:rPr>
        <w:t>the government is gradually implementing its reform program because of clashes with President Andrzej Duda</w:t>
      </w:r>
      <w:r w:rsidRPr="00DD1CF7">
        <w:rPr>
          <w:lang w:val="en-US"/>
        </w:rPr>
        <w:t xml:space="preserve">, theoretically unaffiliated but originally from the PiS. </w:t>
      </w:r>
      <w:r w:rsidRPr="00F00A95">
        <w:rPr>
          <w:b/>
          <w:bCs/>
          <w:lang w:val="en-US"/>
        </w:rPr>
        <w:t>The President has veto power and refers legal acts to the Constitutional Council with a number of PiS-appointed judges, hampering the new government's political effectiveness, especially as the coalition does not have the required number of votes to defeat him.</w:t>
      </w:r>
      <w:r w:rsidRPr="00DD1CF7">
        <w:rPr>
          <w:lang w:val="en-US"/>
        </w:rPr>
        <w:t xml:space="preserve"> These quarrels could last until the next presidential election in mid-2025, when a liberal candidate could well become president.</w:t>
      </w:r>
    </w:p>
    <w:p w14:paraId="3C9AEC5A" w14:textId="77777777" w:rsidR="005C1CF1" w:rsidRPr="00DD1CF7" w:rsidRDefault="005C1CF1" w:rsidP="00B3122B">
      <w:pPr>
        <w:jc w:val="both"/>
        <w:rPr>
          <w:u w:val="single"/>
          <w:lang w:val="en-US"/>
        </w:rPr>
      </w:pPr>
    </w:p>
    <w:p w14:paraId="616EA3BE" w14:textId="3DD3F77E" w:rsidR="005A5631" w:rsidRPr="00546107" w:rsidRDefault="00396BFD" w:rsidP="00B3122B">
      <w:pPr>
        <w:jc w:val="both"/>
        <w:rPr>
          <w:u w:val="single"/>
          <w:lang w:val="en-US"/>
        </w:rPr>
      </w:pPr>
      <w:r w:rsidRPr="00546107">
        <w:rPr>
          <w:u w:val="single"/>
          <w:lang w:val="en-US"/>
        </w:rPr>
        <w:t>Economic facts</w:t>
      </w:r>
    </w:p>
    <w:p w14:paraId="2E2AB5B8" w14:textId="77777777" w:rsidR="00546107" w:rsidRPr="00546107" w:rsidRDefault="00546107" w:rsidP="00546107">
      <w:pPr>
        <w:jc w:val="both"/>
        <w:rPr>
          <w:lang w:val="en-US"/>
        </w:rPr>
      </w:pPr>
      <w:r w:rsidRPr="00F00A95">
        <w:rPr>
          <w:b/>
          <w:bCs/>
          <w:lang w:val="en-US"/>
        </w:rPr>
        <w:t>Since joining the EU in 2004, Poland has consistently outperformed the European average</w:t>
      </w:r>
      <w:r w:rsidRPr="00546107">
        <w:rPr>
          <w:lang w:val="en-US"/>
        </w:rPr>
        <w:t xml:space="preserve">. Despite this, Poland's GDP has still not caught up with the European average, although the gap is narrowing over the years. </w:t>
      </w:r>
    </w:p>
    <w:p w14:paraId="378A188E" w14:textId="77777777" w:rsidR="00546107" w:rsidRPr="00546107" w:rsidRDefault="00546107" w:rsidP="00546107">
      <w:pPr>
        <w:jc w:val="both"/>
        <w:rPr>
          <w:lang w:val="en-US"/>
        </w:rPr>
      </w:pPr>
      <w:r w:rsidRPr="00546107">
        <w:rPr>
          <w:lang w:val="en-US"/>
        </w:rPr>
        <w:t xml:space="preserve">Poland is one of the EU economies to </w:t>
      </w:r>
      <w:r w:rsidRPr="00F00A95">
        <w:rPr>
          <w:b/>
          <w:bCs/>
          <w:lang w:val="en-US"/>
        </w:rPr>
        <w:t>have best withstood the Covid-19 pandemic</w:t>
      </w:r>
      <w:r w:rsidRPr="00546107">
        <w:rPr>
          <w:lang w:val="en-US"/>
        </w:rPr>
        <w:t xml:space="preserve">, experiencing only a </w:t>
      </w:r>
      <w:r w:rsidRPr="00F00A95">
        <w:rPr>
          <w:b/>
          <w:bCs/>
          <w:lang w:val="en-US"/>
        </w:rPr>
        <w:t>-2% GDP recession</w:t>
      </w:r>
      <w:r w:rsidRPr="00546107">
        <w:rPr>
          <w:lang w:val="en-US"/>
        </w:rPr>
        <w:t xml:space="preserve"> (EU average: -5.6%). This is the result of an improved trade balance: from -€4.4 billion in 2019 to +€6.7 billion in 2020. At that time, Polish imports fell by 4.3%, while exports remained stable (+0.12%).</w:t>
      </w:r>
    </w:p>
    <w:p w14:paraId="47DCDFB8" w14:textId="400ADABF" w:rsidR="00546107" w:rsidRDefault="00546107" w:rsidP="00546107">
      <w:pPr>
        <w:jc w:val="both"/>
        <w:rPr>
          <w:lang w:val="en-US"/>
        </w:rPr>
      </w:pPr>
      <w:r w:rsidRPr="00546107">
        <w:rPr>
          <w:lang w:val="en-US"/>
        </w:rPr>
        <w:t xml:space="preserve">For the year 2022, Poland recorded growth of 5.1%, well ahead of other European countries. </w:t>
      </w:r>
      <w:r w:rsidRPr="00F00A95">
        <w:rPr>
          <w:b/>
          <w:bCs/>
          <w:lang w:val="en-US"/>
        </w:rPr>
        <w:t>Then the effects of the Russian-Ukrainian war began to take their toll on the Polish economy</w:t>
      </w:r>
      <w:r w:rsidRPr="00546107">
        <w:rPr>
          <w:lang w:val="en-US"/>
        </w:rPr>
        <w:t xml:space="preserve">, fuelling high </w:t>
      </w:r>
      <w:r w:rsidRPr="00546107">
        <w:rPr>
          <w:lang w:val="en-US"/>
        </w:rPr>
        <w:lastRenderedPageBreak/>
        <w:t xml:space="preserve">inflation, and causing an overall slowdown in the economy (growth fell from 10.7% in Q1 2022 to 0.6% Q4 2022). </w:t>
      </w:r>
    </w:p>
    <w:p w14:paraId="4BE59598" w14:textId="020CCC6B" w:rsidR="00C41A97" w:rsidRPr="00C41A97" w:rsidRDefault="00C41A97" w:rsidP="00546107">
      <w:pPr>
        <w:jc w:val="both"/>
        <w:rPr>
          <w:b/>
          <w:bCs/>
          <w:lang w:val="en-US"/>
        </w:rPr>
      </w:pPr>
      <w:r w:rsidRPr="00F00A95">
        <w:rPr>
          <w:b/>
          <w:bCs/>
          <w:lang w:val="en-US"/>
        </w:rPr>
        <w:t>Consumer price inflation peaked at 18.4% year-on-year in February 2023. Since then, inflationary pressures have gradually eased</w:t>
      </w:r>
      <w:r w:rsidRPr="00DD1CF7">
        <w:rPr>
          <w:lang w:val="en-US"/>
        </w:rPr>
        <w:t xml:space="preserve">, but will remain high in 2023-2024, necessitating the maintenance of a cautious monetary policy. </w:t>
      </w:r>
      <w:r w:rsidRPr="00F00A95">
        <w:rPr>
          <w:b/>
          <w:bCs/>
          <w:lang w:val="en-US"/>
        </w:rPr>
        <w:t>We expect inflation to average around 12% in 2023 and 6% in 2024.</w:t>
      </w:r>
    </w:p>
    <w:p w14:paraId="2D3BF3D6" w14:textId="77777777" w:rsidR="00546107" w:rsidRPr="00F00A95" w:rsidRDefault="00546107" w:rsidP="00546107">
      <w:pPr>
        <w:jc w:val="both"/>
        <w:rPr>
          <w:b/>
          <w:bCs/>
          <w:lang w:val="en-US"/>
        </w:rPr>
      </w:pPr>
      <w:r w:rsidRPr="00546107">
        <w:rPr>
          <w:lang w:val="en-US"/>
        </w:rPr>
        <w:t xml:space="preserve">Also in 2022, Poland saw a </w:t>
      </w:r>
      <w:r w:rsidRPr="00F00A95">
        <w:rPr>
          <w:b/>
          <w:bCs/>
          <w:lang w:val="en-US"/>
        </w:rPr>
        <w:t>sharp deterioration in its trade balance</w:t>
      </w:r>
      <w:r w:rsidRPr="00546107">
        <w:rPr>
          <w:lang w:val="en-US"/>
        </w:rPr>
        <w:t xml:space="preserve"> (-24.3 billion) and balance of payments (-19.5 billion), against a backdrop of rising import prices, particularly for energy products. </w:t>
      </w:r>
      <w:r w:rsidRPr="00F00A95">
        <w:rPr>
          <w:b/>
          <w:bCs/>
          <w:lang w:val="en-US"/>
        </w:rPr>
        <w:t xml:space="preserve">Until the invasion of Ukraine, Poland imported 57% of its gas and 60% of its oil from Russia. </w:t>
      </w:r>
    </w:p>
    <w:p w14:paraId="321E53D3" w14:textId="71391C99" w:rsidR="00546107" w:rsidRDefault="00546107" w:rsidP="00546107">
      <w:pPr>
        <w:jc w:val="both"/>
        <w:rPr>
          <w:lang w:val="en-US"/>
        </w:rPr>
      </w:pPr>
      <w:r w:rsidRPr="00546107">
        <w:rPr>
          <w:lang w:val="en-US"/>
        </w:rPr>
        <w:t xml:space="preserve">This </w:t>
      </w:r>
      <w:r w:rsidRPr="00F00A95">
        <w:rPr>
          <w:b/>
          <w:bCs/>
          <w:lang w:val="en-US"/>
        </w:rPr>
        <w:t>deterioration in the macroeconomic climate forced the Polish government to take measures to restore confidence and support the purchasing power of the Polish people</w:t>
      </w:r>
      <w:r w:rsidRPr="00546107">
        <w:rPr>
          <w:lang w:val="en-US"/>
        </w:rPr>
        <w:t xml:space="preserve"> (introduction of an anti-inflation shield), which contributed to a </w:t>
      </w:r>
      <w:r w:rsidRPr="00F00A95">
        <w:rPr>
          <w:b/>
          <w:bCs/>
          <w:lang w:val="en-US"/>
        </w:rPr>
        <w:t>widening of the public deficit which reached -3.7% of GDP</w:t>
      </w:r>
      <w:r w:rsidRPr="00F00A95">
        <w:rPr>
          <w:b/>
          <w:bCs/>
          <w:lang w:val="en-US"/>
        </w:rPr>
        <w:t xml:space="preserve"> in </w:t>
      </w:r>
      <w:r w:rsidR="00051C8D" w:rsidRPr="00F00A95">
        <w:rPr>
          <w:b/>
          <w:bCs/>
          <w:lang w:val="en-US"/>
        </w:rPr>
        <w:t>2022, -5.1% in 2023</w:t>
      </w:r>
      <w:r w:rsidRPr="00F00A95">
        <w:rPr>
          <w:b/>
          <w:bCs/>
          <w:lang w:val="en-US"/>
        </w:rPr>
        <w:t>.</w:t>
      </w:r>
      <w:r w:rsidRPr="00546107">
        <w:rPr>
          <w:lang w:val="en-US"/>
        </w:rPr>
        <w:t xml:space="preserve"> Public debt continues to fall to 49.1% of GDP. </w:t>
      </w:r>
    </w:p>
    <w:p w14:paraId="5852729A" w14:textId="77777777" w:rsidR="00DD1CF7" w:rsidRDefault="00DD1CF7" w:rsidP="00546107">
      <w:pPr>
        <w:jc w:val="both"/>
        <w:rPr>
          <w:lang w:val="en-US"/>
        </w:rPr>
      </w:pPr>
      <w:r w:rsidRPr="00DD1CF7">
        <w:rPr>
          <w:lang w:val="en-US"/>
        </w:rPr>
        <w:t xml:space="preserve">After three years of relative stability between 2017 and 2019, the PLN has shown volatility and vulnerability to external shocks since 2020. It lost an average of -3% of its value against the euro in each of the years 2020-2022 and -15% against the USD in 2022. </w:t>
      </w:r>
      <w:r w:rsidRPr="00F00A95">
        <w:rPr>
          <w:b/>
          <w:bCs/>
          <w:lang w:val="en-US"/>
        </w:rPr>
        <w:t>The darkening economic outlook in the wake of the war in Ukraine and the tightening of global financial conditions, notably the Fed's interest rate hikes, have contributed to the weakening of the PLN.</w:t>
      </w:r>
    </w:p>
    <w:p w14:paraId="6DF39635" w14:textId="5AF28BF4" w:rsidR="00546107" w:rsidRDefault="00546107" w:rsidP="00546107">
      <w:pPr>
        <w:jc w:val="both"/>
        <w:rPr>
          <w:lang w:val="en-US"/>
        </w:rPr>
      </w:pPr>
      <w:r w:rsidRPr="00F00A95">
        <w:rPr>
          <w:b/>
          <w:bCs/>
          <w:lang w:val="en-US"/>
        </w:rPr>
        <w:t>The government anticipates a budget deficit of 4.5% in 2024, well above the 3% target set by the Maastricht criteria.</w:t>
      </w:r>
      <w:r w:rsidRPr="00546107">
        <w:rPr>
          <w:lang w:val="en-US"/>
        </w:rPr>
        <w:t xml:space="preserve"> Several factors will </w:t>
      </w:r>
      <w:r w:rsidRPr="00F00A95">
        <w:rPr>
          <w:b/>
          <w:bCs/>
          <w:lang w:val="en-US"/>
        </w:rPr>
        <w:t>weigh on public accounts in the short term.</w:t>
      </w:r>
      <w:r w:rsidRPr="00546107">
        <w:rPr>
          <w:lang w:val="en-US"/>
        </w:rPr>
        <w:t xml:space="preserve"> </w:t>
      </w:r>
      <w:r w:rsidR="00F00A95">
        <w:rPr>
          <w:lang w:val="en-US"/>
        </w:rPr>
        <w:t>For example</w:t>
      </w:r>
      <w:r w:rsidRPr="00F00A95">
        <w:rPr>
          <w:lang w:val="en-US"/>
        </w:rPr>
        <w:t>,</w:t>
      </w:r>
      <w:r w:rsidRPr="00F00A95">
        <w:rPr>
          <w:b/>
          <w:bCs/>
          <w:lang w:val="en-US"/>
        </w:rPr>
        <w:t xml:space="preserve"> military spending</w:t>
      </w:r>
      <w:r w:rsidRPr="00546107">
        <w:rPr>
          <w:lang w:val="en-US"/>
        </w:rPr>
        <w:t xml:space="preserve"> is set to rise sharply in the coming years, due to the army modernization plan. This item of expenditure is likely to reach 4% of GDP in 2024, a record among European Union countries, and will remain at around 2-3% in subsequent years. </w:t>
      </w:r>
    </w:p>
    <w:p w14:paraId="05954178" w14:textId="774262E5" w:rsidR="00546107" w:rsidRPr="00F00A95" w:rsidRDefault="00F00A95" w:rsidP="00546107">
      <w:pPr>
        <w:jc w:val="both"/>
        <w:rPr>
          <w:b/>
          <w:bCs/>
          <w:lang w:val="en-US"/>
        </w:rPr>
      </w:pPr>
      <w:r>
        <w:rPr>
          <w:b/>
          <w:bCs/>
          <w:lang w:val="en-US"/>
        </w:rPr>
        <w:t>I</w:t>
      </w:r>
      <w:r w:rsidR="00546107" w:rsidRPr="00F00A95">
        <w:rPr>
          <w:b/>
          <w:bCs/>
          <w:lang w:val="en-US"/>
        </w:rPr>
        <w:t>nterest expense has increased with the rise in government bond yields since 2022. As a result, interest charges on the debt as a proportion of government revenues will rise to 4.1% in H1 2023 (after 3.6% in 2022 and 2.8% in 2021).</w:t>
      </w:r>
    </w:p>
    <w:p w14:paraId="4827840C" w14:textId="1B5FFD6F" w:rsidR="00EF40B3" w:rsidRDefault="00F00A95" w:rsidP="00546107">
      <w:pPr>
        <w:jc w:val="both"/>
        <w:rPr>
          <w:lang w:val="en-US"/>
        </w:rPr>
      </w:pPr>
      <w:r w:rsidRPr="00F00A95">
        <w:rPr>
          <w:b/>
          <w:bCs/>
          <w:lang w:val="en-US"/>
        </w:rPr>
        <w:t>However</w:t>
      </w:r>
      <w:r w:rsidR="00546107" w:rsidRPr="00F00A95">
        <w:rPr>
          <w:b/>
          <w:bCs/>
          <w:lang w:val="en-US"/>
        </w:rPr>
        <w:t>, public finances are not a cause for concern. The debt profile is solid, as most of it has been contracted at fixed rates, and above all has an average maturity of 5 years</w:t>
      </w:r>
      <w:r w:rsidR="00546107" w:rsidRPr="00546107">
        <w:rPr>
          <w:lang w:val="en-US"/>
        </w:rPr>
        <w:t xml:space="preserve">. </w:t>
      </w:r>
      <w:r w:rsidR="00FD643E">
        <w:rPr>
          <w:lang w:val="en-US"/>
        </w:rPr>
        <w:t>Moody</w:t>
      </w:r>
      <w:r w:rsidR="00D62C4A">
        <w:rPr>
          <w:lang w:val="en-US"/>
        </w:rPr>
        <w:t>’</w:t>
      </w:r>
      <w:r w:rsidR="00FD643E">
        <w:rPr>
          <w:lang w:val="en-US"/>
        </w:rPr>
        <w:t xml:space="preserve">s forecast </w:t>
      </w:r>
      <w:r w:rsidR="00FD643E" w:rsidRPr="00FD643E">
        <w:rPr>
          <w:lang w:val="en-US"/>
        </w:rPr>
        <w:t>he government debt burden to rise to close to 59% of GDP by 2027</w:t>
      </w:r>
      <w:r w:rsidR="00FD643E">
        <w:rPr>
          <w:lang w:val="en-US"/>
        </w:rPr>
        <w:t xml:space="preserve">. </w:t>
      </w:r>
      <w:r w:rsidR="00546107" w:rsidRPr="00546107">
        <w:rPr>
          <w:lang w:val="en-US"/>
        </w:rPr>
        <w:t>Similarly, fiscal discipline is enshrined in the country's constitution, which stipulates that public debt must not exceed 60% of GDP.</w:t>
      </w:r>
    </w:p>
    <w:p w14:paraId="519040C4" w14:textId="417D019C" w:rsidR="00546107" w:rsidRDefault="00F00A95" w:rsidP="00546107">
      <w:pPr>
        <w:jc w:val="both"/>
        <w:rPr>
          <w:lang w:val="en-US"/>
        </w:rPr>
      </w:pPr>
      <w:r>
        <w:rPr>
          <w:lang w:val="en-US"/>
        </w:rPr>
        <w:t xml:space="preserve">Also, </w:t>
      </w:r>
      <w:r w:rsidRPr="00F00A95">
        <w:rPr>
          <w:b/>
          <w:bCs/>
          <w:lang w:val="en-US"/>
        </w:rPr>
        <w:t>t</w:t>
      </w:r>
      <w:r w:rsidR="00FD643E" w:rsidRPr="00F00A95">
        <w:rPr>
          <w:b/>
          <w:bCs/>
          <w:lang w:val="en-US"/>
        </w:rPr>
        <w:t>he EC unlocked RRF and MFF funds of up to €137 bn in February</w:t>
      </w:r>
      <w:r w:rsidR="00FD643E" w:rsidRPr="00FD643E">
        <w:rPr>
          <w:lang w:val="en-US"/>
        </w:rPr>
        <w:t>, announcing that Poland had met three so-called 'super milestones', including two related to the independence of the judicial system. The first RRF payment of €6.3bn (after €5 bn of pre-financing flowed in December) is expected in April once the Council of the EU endorses the EC's decision, with total disbursements expected to reach around € 17bn in 2024 and further increase to around €20bn in 2025 and 2026, respectively. Furthermore, Poland is set to obtain EU funds under the Cohesion Policy of €5 bn and €8 bn in 2024 and 2025, respectively, with a jump to €14-16 billion annually expected over 2026-29</w:t>
      </w:r>
      <w:r w:rsidR="00FD643E" w:rsidRPr="00F00A95">
        <w:rPr>
          <w:lang w:val="en-US"/>
        </w:rPr>
        <w:t>.</w:t>
      </w:r>
      <w:r w:rsidR="00FD643E" w:rsidRPr="00F00A95">
        <w:rPr>
          <w:b/>
          <w:bCs/>
          <w:lang w:val="en-US"/>
        </w:rPr>
        <w:t xml:space="preserve"> Altogether these correspond to inflows of around 3% of GDP until 2026.</w:t>
      </w:r>
    </w:p>
    <w:p w14:paraId="4CB5C169" w14:textId="77777777" w:rsidR="00FD643E" w:rsidRDefault="00FD643E" w:rsidP="00546107">
      <w:pPr>
        <w:jc w:val="both"/>
        <w:rPr>
          <w:b/>
          <w:bCs/>
          <w:highlight w:val="lightGray"/>
          <w:lang w:val="en-US"/>
        </w:rPr>
      </w:pPr>
    </w:p>
    <w:p w14:paraId="0570B5C1" w14:textId="77777777" w:rsidR="00C41A97" w:rsidRPr="00546107" w:rsidRDefault="00C41A97" w:rsidP="00546107">
      <w:pPr>
        <w:jc w:val="both"/>
        <w:rPr>
          <w:b/>
          <w:bCs/>
          <w:highlight w:val="lightGray"/>
          <w:lang w:val="en-US"/>
        </w:rPr>
      </w:pPr>
    </w:p>
    <w:p w14:paraId="6F25B3AD" w14:textId="2A635FA8" w:rsidR="00115362" w:rsidRPr="00546107" w:rsidRDefault="00546107" w:rsidP="00115362">
      <w:pPr>
        <w:jc w:val="right"/>
        <w:rPr>
          <w:i/>
          <w:iCs/>
          <w:lang w:val="en-US"/>
        </w:rPr>
      </w:pPr>
      <w:r w:rsidRPr="00546107">
        <w:rPr>
          <w:i/>
          <w:iCs/>
          <w:lang w:val="en-US"/>
        </w:rPr>
        <w:t>Written on J</w:t>
      </w:r>
      <w:r w:rsidR="00115362" w:rsidRPr="00546107">
        <w:rPr>
          <w:i/>
          <w:iCs/>
          <w:lang w:val="en-US"/>
        </w:rPr>
        <w:t>u</w:t>
      </w:r>
      <w:r w:rsidRPr="00546107">
        <w:rPr>
          <w:i/>
          <w:iCs/>
          <w:lang w:val="en-US"/>
        </w:rPr>
        <w:t>ne 27,</w:t>
      </w:r>
      <w:r w:rsidR="00115362" w:rsidRPr="00546107">
        <w:rPr>
          <w:i/>
          <w:iCs/>
          <w:lang w:val="en-US"/>
        </w:rPr>
        <w:t xml:space="preserve"> 2024</w:t>
      </w:r>
    </w:p>
    <w:p w14:paraId="69A6425A" w14:textId="77777777" w:rsidR="00396BFD" w:rsidRPr="00546107" w:rsidRDefault="00396BFD">
      <w:pPr>
        <w:rPr>
          <w:i/>
          <w:iCs/>
          <w:lang w:val="en-US"/>
        </w:rPr>
      </w:pPr>
      <w:r w:rsidRPr="00546107">
        <w:rPr>
          <w:i/>
          <w:iCs/>
          <w:lang w:val="en-US"/>
        </w:rPr>
        <w:br w:type="page"/>
      </w:r>
    </w:p>
    <w:p w14:paraId="23DD08F1" w14:textId="05C174B0" w:rsidR="008F7262" w:rsidRPr="00546107" w:rsidRDefault="008F7262" w:rsidP="00FE4A47">
      <w:pPr>
        <w:jc w:val="both"/>
        <w:rPr>
          <w:i/>
          <w:iCs/>
          <w:lang w:val="en-US"/>
        </w:rPr>
      </w:pPr>
      <w:r w:rsidRPr="00546107">
        <w:rPr>
          <w:i/>
          <w:iCs/>
          <w:lang w:val="en-US"/>
        </w:rPr>
        <w:lastRenderedPageBreak/>
        <w:t xml:space="preserve">Source : </w:t>
      </w:r>
    </w:p>
    <w:p w14:paraId="065A59B2" w14:textId="17548523" w:rsidR="00115362" w:rsidRDefault="00E8213C" w:rsidP="00115362">
      <w:pPr>
        <w:jc w:val="both"/>
        <w:rPr>
          <w:i/>
          <w:iCs/>
        </w:rPr>
      </w:pPr>
      <w:hyperlink r:id="rId8" w:history="1">
        <w:r w:rsidR="002A37D3" w:rsidRPr="000E1F1F">
          <w:rPr>
            <w:rStyle w:val="Hyperlink"/>
            <w:i/>
            <w:iCs/>
          </w:rPr>
          <w:t>https://app.fitchconne</w:t>
        </w:r>
        <w:r w:rsidR="002A37D3" w:rsidRPr="000E1F1F">
          <w:rPr>
            <w:rStyle w:val="Hyperlink"/>
            <w:i/>
            <w:iCs/>
          </w:rPr>
          <w:t>c</w:t>
        </w:r>
        <w:r w:rsidR="002A37D3" w:rsidRPr="000E1F1F">
          <w:rPr>
            <w:rStyle w:val="Hyperlink"/>
            <w:i/>
            <w:iCs/>
          </w:rPr>
          <w:t>t.com/article/PR_10270633</w:t>
        </w:r>
      </w:hyperlink>
    </w:p>
    <w:p w14:paraId="52B79A39" w14:textId="0AE6D24A" w:rsidR="002A37D3" w:rsidRDefault="00E8213C" w:rsidP="00115362">
      <w:pPr>
        <w:jc w:val="both"/>
        <w:rPr>
          <w:i/>
          <w:iCs/>
        </w:rPr>
      </w:pPr>
      <w:hyperlink r:id="rId9" w:history="1">
        <w:r w:rsidR="002A37D3" w:rsidRPr="000E1F1F">
          <w:rPr>
            <w:rStyle w:val="Hyperlink"/>
            <w:i/>
            <w:iCs/>
          </w:rPr>
          <w:t>https://disclosure.spglo</w:t>
        </w:r>
        <w:r w:rsidR="002A37D3" w:rsidRPr="000E1F1F">
          <w:rPr>
            <w:rStyle w:val="Hyperlink"/>
            <w:i/>
            <w:iCs/>
          </w:rPr>
          <w:t>b</w:t>
        </w:r>
        <w:r w:rsidR="002A37D3" w:rsidRPr="000E1F1F">
          <w:rPr>
            <w:rStyle w:val="Hyperlink"/>
            <w:i/>
            <w:iCs/>
          </w:rPr>
          <w:t>al.com/ratings/en/regulatory/article/-/view/type/HTML/id/3169184</w:t>
        </w:r>
      </w:hyperlink>
    </w:p>
    <w:p w14:paraId="722E1007" w14:textId="69299F85" w:rsidR="002A37D3" w:rsidRDefault="00E8213C" w:rsidP="00115362">
      <w:pPr>
        <w:jc w:val="both"/>
        <w:rPr>
          <w:i/>
          <w:iCs/>
        </w:rPr>
      </w:pPr>
      <w:hyperlink r:id="rId10" w:history="1">
        <w:r w:rsidR="002A37D3" w:rsidRPr="000E1F1F">
          <w:rPr>
            <w:rStyle w:val="Hyperlink"/>
            <w:i/>
            <w:iCs/>
          </w:rPr>
          <w:t>https://www.mood</w:t>
        </w:r>
        <w:r w:rsidR="002A37D3" w:rsidRPr="000E1F1F">
          <w:rPr>
            <w:rStyle w:val="Hyperlink"/>
            <w:i/>
            <w:iCs/>
          </w:rPr>
          <w:t>y</w:t>
        </w:r>
        <w:r w:rsidR="002A37D3" w:rsidRPr="000E1F1F">
          <w:rPr>
            <w:rStyle w:val="Hyperlink"/>
            <w:i/>
            <w:iCs/>
          </w:rPr>
          <w:t>s.com/research/Government-of-Poland-A2-stable-Update-following-rating-affirmation-outlook-Credit-Opinion--PBC_1401546</w:t>
        </w:r>
      </w:hyperlink>
    </w:p>
    <w:p w14:paraId="5CEA7B68" w14:textId="43F472F3" w:rsidR="0044340D" w:rsidRDefault="00E8213C" w:rsidP="00115362">
      <w:pPr>
        <w:jc w:val="both"/>
        <w:rPr>
          <w:i/>
          <w:iCs/>
        </w:rPr>
      </w:pPr>
      <w:hyperlink r:id="rId11" w:history="1">
        <w:r w:rsidR="0044340D" w:rsidRPr="000E1F1F">
          <w:rPr>
            <w:rStyle w:val="Hyperlink"/>
            <w:i/>
            <w:iCs/>
          </w:rPr>
          <w:t>https://www.tresor.economie.gouv.fr/Pays/PL/situation-economique-et-financiere-de-la-pologne-a-l-automne-</w:t>
        </w:r>
        <w:r w:rsidR="0044340D" w:rsidRPr="000E1F1F">
          <w:rPr>
            <w:rStyle w:val="Hyperlink"/>
            <w:i/>
            <w:iCs/>
          </w:rPr>
          <w:t>2</w:t>
        </w:r>
        <w:r w:rsidR="0044340D" w:rsidRPr="000E1F1F">
          <w:rPr>
            <w:rStyle w:val="Hyperlink"/>
            <w:i/>
            <w:iCs/>
          </w:rPr>
          <w:t>021</w:t>
        </w:r>
      </w:hyperlink>
    </w:p>
    <w:p w14:paraId="63683734" w14:textId="1CF586B3" w:rsidR="0044340D" w:rsidRDefault="00E8213C" w:rsidP="00115362">
      <w:pPr>
        <w:jc w:val="both"/>
        <w:rPr>
          <w:i/>
          <w:iCs/>
        </w:rPr>
      </w:pPr>
      <w:hyperlink r:id="rId12" w:history="1">
        <w:r w:rsidR="00F02C2D" w:rsidRPr="000E1F1F">
          <w:rPr>
            <w:rStyle w:val="Hyperlink"/>
            <w:i/>
            <w:iCs/>
          </w:rPr>
          <w:t>https://www.coface.com/fr/actualites-economie-conseils-d-experts/tableau-de-bord-des-risques-economiques/fiches</w:t>
        </w:r>
        <w:r w:rsidR="00F02C2D" w:rsidRPr="000E1F1F">
          <w:rPr>
            <w:rStyle w:val="Hyperlink"/>
            <w:i/>
            <w:iCs/>
          </w:rPr>
          <w:t>-</w:t>
        </w:r>
        <w:r w:rsidR="00F02C2D" w:rsidRPr="000E1F1F">
          <w:rPr>
            <w:rStyle w:val="Hyperlink"/>
            <w:i/>
            <w:iCs/>
          </w:rPr>
          <w:t>risques-pays/pologne</w:t>
        </w:r>
      </w:hyperlink>
    </w:p>
    <w:p w14:paraId="44F20196" w14:textId="49774C90" w:rsidR="00EB0838" w:rsidRDefault="00E8213C" w:rsidP="00115362">
      <w:pPr>
        <w:jc w:val="both"/>
        <w:rPr>
          <w:i/>
          <w:iCs/>
        </w:rPr>
      </w:pPr>
      <w:hyperlink r:id="rId13" w:history="1">
        <w:r w:rsidR="00EB0838" w:rsidRPr="000E1F1F">
          <w:rPr>
            <w:rStyle w:val="Hyperlink"/>
            <w:i/>
            <w:iCs/>
          </w:rPr>
          <w:t>https://www.imf.org/ex</w:t>
        </w:r>
        <w:r w:rsidR="00EB0838" w:rsidRPr="000E1F1F">
          <w:rPr>
            <w:rStyle w:val="Hyperlink"/>
            <w:i/>
            <w:iCs/>
          </w:rPr>
          <w:t>t</w:t>
        </w:r>
        <w:r w:rsidR="00EB0838" w:rsidRPr="000E1F1F">
          <w:rPr>
            <w:rStyle w:val="Hyperlink"/>
            <w:i/>
            <w:iCs/>
          </w:rPr>
          <w:t>ernal/pubs/ft/fandd/fre/2000/09/pdf/balcerow.pdf</w:t>
        </w:r>
      </w:hyperlink>
    </w:p>
    <w:p w14:paraId="733D2B7E" w14:textId="2242E4D7" w:rsidR="00F02C2D" w:rsidRDefault="00D62C4A" w:rsidP="00115362">
      <w:pPr>
        <w:jc w:val="both"/>
        <w:rPr>
          <w:i/>
          <w:iCs/>
        </w:rPr>
      </w:pPr>
      <w:hyperlink r:id="rId14" w:history="1">
        <w:r w:rsidRPr="002B6D26">
          <w:rPr>
            <w:rStyle w:val="Hyperlink"/>
            <w:i/>
            <w:iCs/>
          </w:rPr>
          <w:t>https://economic-research.bnpparibas.com/html/fr-FR/Pologne-Quelques-defis-futur-gouvernement-16/10/2023,48974</w:t>
        </w:r>
      </w:hyperlink>
    </w:p>
    <w:p w14:paraId="4AD3B750" w14:textId="77777777" w:rsidR="00D62C4A" w:rsidRDefault="00D62C4A" w:rsidP="00115362">
      <w:pPr>
        <w:jc w:val="both"/>
        <w:rPr>
          <w:i/>
          <w:iCs/>
        </w:rPr>
      </w:pPr>
    </w:p>
    <w:p w14:paraId="4C941E9E" w14:textId="77777777" w:rsidR="00D62C4A" w:rsidRDefault="00D62C4A" w:rsidP="00115362">
      <w:pPr>
        <w:jc w:val="both"/>
        <w:rPr>
          <w:i/>
          <w:iCs/>
        </w:rPr>
      </w:pPr>
    </w:p>
    <w:sectPr w:rsidR="00D62C4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79BDE" w14:textId="77777777" w:rsidR="00AB30FE" w:rsidRDefault="00AB30FE" w:rsidP="00AB30FE">
      <w:pPr>
        <w:spacing w:after="0" w:line="240" w:lineRule="auto"/>
      </w:pPr>
      <w:r>
        <w:separator/>
      </w:r>
    </w:p>
  </w:endnote>
  <w:endnote w:type="continuationSeparator" w:id="0">
    <w:p w14:paraId="7AB9456F" w14:textId="77777777" w:rsidR="00AB30FE" w:rsidRDefault="00AB30FE" w:rsidP="00AB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23278" w14:textId="77777777" w:rsidR="00AB30FE" w:rsidRDefault="00AB30FE" w:rsidP="00AB30FE">
      <w:pPr>
        <w:spacing w:after="0" w:line="240" w:lineRule="auto"/>
      </w:pPr>
      <w:r>
        <w:separator/>
      </w:r>
    </w:p>
  </w:footnote>
  <w:footnote w:type="continuationSeparator" w:id="0">
    <w:p w14:paraId="0B4F7871" w14:textId="77777777" w:rsidR="00AB30FE" w:rsidRDefault="00AB30FE" w:rsidP="00AB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8522" w14:textId="6FB80D55" w:rsidR="00AB30FE" w:rsidRDefault="00E85760">
    <w:pPr>
      <w:pStyle w:val="Header"/>
    </w:pPr>
    <w:r>
      <w:rPr>
        <w:noProof/>
      </w:rPr>
      <w:drawing>
        <wp:inline distT="0" distB="0" distL="0" distR="0" wp14:anchorId="0E07B6B0" wp14:editId="03FBF1C3">
          <wp:extent cx="571500" cy="35623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452" cy="369296"/>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72E5"/>
    <w:multiLevelType w:val="hybridMultilevel"/>
    <w:tmpl w:val="EBF46F72"/>
    <w:lvl w:ilvl="0" w:tplc="580ACA56">
      <w:numFmt w:val="bullet"/>
      <w:lvlText w:val=""/>
      <w:lvlJc w:val="left"/>
      <w:pPr>
        <w:ind w:left="720" w:hanging="360"/>
      </w:pPr>
      <w:rPr>
        <w:rFonts w:ascii="Symbol" w:eastAsiaTheme="minorHAnsi" w:hAnsi="Symbol" w:cstheme="minorBidi"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num w:numId="1" w16cid:durableId="162669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90"/>
    <w:rsid w:val="00003110"/>
    <w:rsid w:val="0001164B"/>
    <w:rsid w:val="00030E56"/>
    <w:rsid w:val="00036630"/>
    <w:rsid w:val="00043EA6"/>
    <w:rsid w:val="00051C8D"/>
    <w:rsid w:val="00057EA4"/>
    <w:rsid w:val="0006525C"/>
    <w:rsid w:val="000A167C"/>
    <w:rsid w:val="000B04B1"/>
    <w:rsid w:val="000C60F6"/>
    <w:rsid w:val="000E5546"/>
    <w:rsid w:val="00115362"/>
    <w:rsid w:val="00124387"/>
    <w:rsid w:val="001325A8"/>
    <w:rsid w:val="00133C9F"/>
    <w:rsid w:val="00142F2F"/>
    <w:rsid w:val="00153BEE"/>
    <w:rsid w:val="00190472"/>
    <w:rsid w:val="001D6458"/>
    <w:rsid w:val="001E3459"/>
    <w:rsid w:val="00213D88"/>
    <w:rsid w:val="00214285"/>
    <w:rsid w:val="002233AD"/>
    <w:rsid w:val="0022382D"/>
    <w:rsid w:val="00223B36"/>
    <w:rsid w:val="00240913"/>
    <w:rsid w:val="002813B4"/>
    <w:rsid w:val="002A37D3"/>
    <w:rsid w:val="002A47EE"/>
    <w:rsid w:val="002A481D"/>
    <w:rsid w:val="002A4DF6"/>
    <w:rsid w:val="002D0290"/>
    <w:rsid w:val="00314D2E"/>
    <w:rsid w:val="003322FD"/>
    <w:rsid w:val="0033600F"/>
    <w:rsid w:val="0036509C"/>
    <w:rsid w:val="00396BFD"/>
    <w:rsid w:val="00396C99"/>
    <w:rsid w:val="003A0347"/>
    <w:rsid w:val="004131EF"/>
    <w:rsid w:val="0042152F"/>
    <w:rsid w:val="0044340D"/>
    <w:rsid w:val="00445C12"/>
    <w:rsid w:val="00461EA0"/>
    <w:rsid w:val="00467C70"/>
    <w:rsid w:val="004805A6"/>
    <w:rsid w:val="004C51C2"/>
    <w:rsid w:val="004E4078"/>
    <w:rsid w:val="00506F85"/>
    <w:rsid w:val="00511878"/>
    <w:rsid w:val="00523447"/>
    <w:rsid w:val="00537CD8"/>
    <w:rsid w:val="00546107"/>
    <w:rsid w:val="005635FB"/>
    <w:rsid w:val="00590644"/>
    <w:rsid w:val="00593C5A"/>
    <w:rsid w:val="005A4DA9"/>
    <w:rsid w:val="005A5631"/>
    <w:rsid w:val="005B27AF"/>
    <w:rsid w:val="005C1CF1"/>
    <w:rsid w:val="005C1DC6"/>
    <w:rsid w:val="005D1EB4"/>
    <w:rsid w:val="005F4AEA"/>
    <w:rsid w:val="0060735C"/>
    <w:rsid w:val="00607BD4"/>
    <w:rsid w:val="00621D0C"/>
    <w:rsid w:val="00640E2A"/>
    <w:rsid w:val="00662A00"/>
    <w:rsid w:val="00677E24"/>
    <w:rsid w:val="0069574D"/>
    <w:rsid w:val="006C0B85"/>
    <w:rsid w:val="006C2ED1"/>
    <w:rsid w:val="006F2D32"/>
    <w:rsid w:val="006F3365"/>
    <w:rsid w:val="00747BC8"/>
    <w:rsid w:val="0076587B"/>
    <w:rsid w:val="007B4D9F"/>
    <w:rsid w:val="007E75A5"/>
    <w:rsid w:val="00802699"/>
    <w:rsid w:val="0081788C"/>
    <w:rsid w:val="00824697"/>
    <w:rsid w:val="00825AEC"/>
    <w:rsid w:val="0086661E"/>
    <w:rsid w:val="008926D7"/>
    <w:rsid w:val="008A770D"/>
    <w:rsid w:val="008B2348"/>
    <w:rsid w:val="008C76C2"/>
    <w:rsid w:val="008D4304"/>
    <w:rsid w:val="008F7262"/>
    <w:rsid w:val="009049A9"/>
    <w:rsid w:val="00966C40"/>
    <w:rsid w:val="009673CE"/>
    <w:rsid w:val="00977CB2"/>
    <w:rsid w:val="009827F8"/>
    <w:rsid w:val="00992809"/>
    <w:rsid w:val="009B5EF7"/>
    <w:rsid w:val="009D3A3F"/>
    <w:rsid w:val="009E0582"/>
    <w:rsid w:val="009E63C0"/>
    <w:rsid w:val="00A15026"/>
    <w:rsid w:val="00A27165"/>
    <w:rsid w:val="00A31D7D"/>
    <w:rsid w:val="00A4369A"/>
    <w:rsid w:val="00A60CA2"/>
    <w:rsid w:val="00A6733E"/>
    <w:rsid w:val="00A963D3"/>
    <w:rsid w:val="00A973C3"/>
    <w:rsid w:val="00AA37BB"/>
    <w:rsid w:val="00AA7FC2"/>
    <w:rsid w:val="00AB30FE"/>
    <w:rsid w:val="00AE337F"/>
    <w:rsid w:val="00AE5321"/>
    <w:rsid w:val="00B01E7E"/>
    <w:rsid w:val="00B157A4"/>
    <w:rsid w:val="00B23108"/>
    <w:rsid w:val="00B23986"/>
    <w:rsid w:val="00B26765"/>
    <w:rsid w:val="00B3122B"/>
    <w:rsid w:val="00B4037E"/>
    <w:rsid w:val="00B424E7"/>
    <w:rsid w:val="00B43B01"/>
    <w:rsid w:val="00B45CEC"/>
    <w:rsid w:val="00B46731"/>
    <w:rsid w:val="00B81B03"/>
    <w:rsid w:val="00BB2D32"/>
    <w:rsid w:val="00BD7EC9"/>
    <w:rsid w:val="00BE6467"/>
    <w:rsid w:val="00BF6768"/>
    <w:rsid w:val="00C136F1"/>
    <w:rsid w:val="00C37949"/>
    <w:rsid w:val="00C41A97"/>
    <w:rsid w:val="00C561AD"/>
    <w:rsid w:val="00C71EC2"/>
    <w:rsid w:val="00C81BBF"/>
    <w:rsid w:val="00C82883"/>
    <w:rsid w:val="00C900A1"/>
    <w:rsid w:val="00C9110D"/>
    <w:rsid w:val="00C936E0"/>
    <w:rsid w:val="00C94FA3"/>
    <w:rsid w:val="00CB5064"/>
    <w:rsid w:val="00CB6A35"/>
    <w:rsid w:val="00CD0561"/>
    <w:rsid w:val="00D20C7E"/>
    <w:rsid w:val="00D62C4A"/>
    <w:rsid w:val="00D81DB1"/>
    <w:rsid w:val="00DA1B7B"/>
    <w:rsid w:val="00DB504D"/>
    <w:rsid w:val="00DD1CF7"/>
    <w:rsid w:val="00DD26CE"/>
    <w:rsid w:val="00DE0A74"/>
    <w:rsid w:val="00E3792E"/>
    <w:rsid w:val="00E461CE"/>
    <w:rsid w:val="00E53144"/>
    <w:rsid w:val="00E53A4A"/>
    <w:rsid w:val="00E575C6"/>
    <w:rsid w:val="00E6335F"/>
    <w:rsid w:val="00E80D31"/>
    <w:rsid w:val="00E8213C"/>
    <w:rsid w:val="00E85760"/>
    <w:rsid w:val="00EB0838"/>
    <w:rsid w:val="00EC1560"/>
    <w:rsid w:val="00EC51C4"/>
    <w:rsid w:val="00EC5D36"/>
    <w:rsid w:val="00ED6BB5"/>
    <w:rsid w:val="00EE137B"/>
    <w:rsid w:val="00EE3AAD"/>
    <w:rsid w:val="00EE67A7"/>
    <w:rsid w:val="00EF40B3"/>
    <w:rsid w:val="00F00A95"/>
    <w:rsid w:val="00F02C2D"/>
    <w:rsid w:val="00F064BB"/>
    <w:rsid w:val="00F14014"/>
    <w:rsid w:val="00F513F4"/>
    <w:rsid w:val="00F51F1A"/>
    <w:rsid w:val="00F65993"/>
    <w:rsid w:val="00F81436"/>
    <w:rsid w:val="00F9337A"/>
    <w:rsid w:val="00FB1B23"/>
    <w:rsid w:val="00FB7CC7"/>
    <w:rsid w:val="00FC57CD"/>
    <w:rsid w:val="00FD643E"/>
    <w:rsid w:val="00FE4A47"/>
    <w:rsid w:val="00FF2336"/>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550BE87"/>
  <w15:chartTrackingRefBased/>
  <w15:docId w15:val="{0E330544-65AB-4618-A8D6-D93D1EDC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A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3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0FE"/>
  </w:style>
  <w:style w:type="paragraph" w:styleId="Footer">
    <w:name w:val="footer"/>
    <w:basedOn w:val="Normal"/>
    <w:link w:val="FooterChar"/>
    <w:uiPriority w:val="99"/>
    <w:unhideWhenUsed/>
    <w:rsid w:val="00AB3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0FE"/>
  </w:style>
  <w:style w:type="character" w:styleId="Hyperlink">
    <w:name w:val="Hyperlink"/>
    <w:basedOn w:val="DefaultParagraphFont"/>
    <w:uiPriority w:val="99"/>
    <w:unhideWhenUsed/>
    <w:rsid w:val="00AB30FE"/>
    <w:rPr>
      <w:color w:val="0563C1" w:themeColor="hyperlink"/>
      <w:u w:val="single"/>
    </w:rPr>
  </w:style>
  <w:style w:type="character" w:styleId="UnresolvedMention">
    <w:name w:val="Unresolved Mention"/>
    <w:basedOn w:val="DefaultParagraphFont"/>
    <w:uiPriority w:val="99"/>
    <w:semiHidden/>
    <w:unhideWhenUsed/>
    <w:rsid w:val="00AB30FE"/>
    <w:rPr>
      <w:color w:val="605E5C"/>
      <w:shd w:val="clear" w:color="auto" w:fill="E1DFDD"/>
    </w:rPr>
  </w:style>
  <w:style w:type="character" w:styleId="FollowedHyperlink">
    <w:name w:val="FollowedHyperlink"/>
    <w:basedOn w:val="DefaultParagraphFont"/>
    <w:uiPriority w:val="99"/>
    <w:semiHidden/>
    <w:unhideWhenUsed/>
    <w:rsid w:val="00124387"/>
    <w:rPr>
      <w:color w:val="954F72" w:themeColor="followedHyperlink"/>
      <w:u w:val="single"/>
    </w:rPr>
  </w:style>
  <w:style w:type="paragraph" w:styleId="ListParagraph">
    <w:name w:val="List Paragraph"/>
    <w:basedOn w:val="Normal"/>
    <w:uiPriority w:val="34"/>
    <w:qFormat/>
    <w:rsid w:val="00C91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fitchconnect.com/article/PR_10270633" TargetMode="External"/><Relationship Id="rId13" Type="http://schemas.openxmlformats.org/officeDocument/2006/relationships/hyperlink" Target="https://www.imf.org/external/pubs/ft/fandd/fre/2000/09/pdf/balcerow.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face.com/fr/actualites-economie-conseils-d-experts/tableau-de-bord-des-risques-economiques/fiches-risques-pays/polog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resor.economie.gouv.fr/Pays/PL/situation-economique-et-financiere-de-la-pologne-a-l-automne-202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moodys.com/research/Government-of-Poland-A2-stable-Update-following-rating-affirmation-outlook-Credit-Opinion--PBC_1401546" TargetMode="External"/><Relationship Id="rId4" Type="http://schemas.openxmlformats.org/officeDocument/2006/relationships/webSettings" Target="webSettings.xml"/><Relationship Id="rId9" Type="http://schemas.openxmlformats.org/officeDocument/2006/relationships/hyperlink" Target="https://disclosure.spglobal.com/ratings/en/regulatory/article/-/view/type/HTML/id/3169184" TargetMode="External"/><Relationship Id="rId14" Type="http://schemas.openxmlformats.org/officeDocument/2006/relationships/hyperlink" Target="https://economic-research.bnpparibas.com/html/fr-FR/Pologne-Quelques-defis-futur-gouvernement-16/10/2023,4897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2752</TotalTime>
  <Pages>4</Pages>
  <Words>1372</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 Massinissa (BIL Banque Intl à Lxbg SA)</dc:creator>
  <cp:keywords/>
  <dc:description/>
  <cp:lastModifiedBy>Smail Massinissa (BIL Banque Intl à Lxbg SA)</cp:lastModifiedBy>
  <cp:revision>38</cp:revision>
  <cp:lastPrinted>2024-06-28T15:13:00Z</cp:lastPrinted>
  <dcterms:created xsi:type="dcterms:W3CDTF">2024-05-27T07:45:00Z</dcterms:created>
  <dcterms:modified xsi:type="dcterms:W3CDTF">2024-06-28T15:14:00Z</dcterms:modified>
</cp:coreProperties>
</file>