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662A00" w:rsidRPr="008B2348" w14:paraId="67D957D7" w14:textId="77777777" w:rsidTr="00151CF6">
        <w:tc>
          <w:tcPr>
            <w:tcW w:w="9016" w:type="dxa"/>
            <w:shd w:val="clear" w:color="auto" w:fill="E7E6E6" w:themeFill="background2"/>
          </w:tcPr>
          <w:p w14:paraId="14EAFB0C" w14:textId="77777777" w:rsidR="00662A00" w:rsidRDefault="00662A00" w:rsidP="00151CF6">
            <w:pPr>
              <w:jc w:val="center"/>
              <w:rPr>
                <w:b/>
                <w:bCs/>
                <w:lang w:val="en-US"/>
              </w:rPr>
            </w:pPr>
          </w:p>
          <w:p w14:paraId="15ADBA87" w14:textId="51C44124" w:rsidR="00662A00" w:rsidRPr="00763FC2" w:rsidRDefault="00662A00" w:rsidP="00151CF6">
            <w:pPr>
              <w:jc w:val="center"/>
              <w:rPr>
                <w:b/>
                <w:bCs/>
                <w:sz w:val="24"/>
                <w:szCs w:val="24"/>
                <w:lang w:val="en-US"/>
              </w:rPr>
            </w:pPr>
            <w:r w:rsidRPr="00763FC2">
              <w:rPr>
                <w:b/>
                <w:bCs/>
                <w:sz w:val="24"/>
                <w:szCs w:val="24"/>
                <w:lang w:val="en-US"/>
              </w:rPr>
              <w:t xml:space="preserve">Moody’s : </w:t>
            </w:r>
            <w:r>
              <w:rPr>
                <w:b/>
                <w:bCs/>
                <w:sz w:val="24"/>
                <w:szCs w:val="24"/>
                <w:lang w:val="en-US"/>
              </w:rPr>
              <w:t>Baa3</w:t>
            </w:r>
            <w:r w:rsidR="00FB1B23">
              <w:rPr>
                <w:b/>
                <w:bCs/>
                <w:sz w:val="24"/>
                <w:szCs w:val="24"/>
                <w:lang w:val="en-US"/>
              </w:rPr>
              <w:t>, Stable |</w:t>
            </w:r>
            <w:r w:rsidRPr="00763FC2">
              <w:rPr>
                <w:b/>
                <w:bCs/>
                <w:sz w:val="24"/>
                <w:szCs w:val="24"/>
                <w:lang w:val="en-US"/>
              </w:rPr>
              <w:t xml:space="preserve"> Fitch : </w:t>
            </w:r>
            <w:r>
              <w:rPr>
                <w:b/>
                <w:bCs/>
                <w:sz w:val="24"/>
                <w:szCs w:val="24"/>
                <w:lang w:val="en-US"/>
              </w:rPr>
              <w:t>BBB-</w:t>
            </w:r>
            <w:r w:rsidR="00FB1B23">
              <w:rPr>
                <w:b/>
                <w:bCs/>
                <w:sz w:val="24"/>
                <w:szCs w:val="24"/>
                <w:lang w:val="en-US"/>
              </w:rPr>
              <w:t>, Stable</w:t>
            </w:r>
            <w:r>
              <w:rPr>
                <w:b/>
                <w:bCs/>
                <w:sz w:val="24"/>
                <w:szCs w:val="24"/>
                <w:lang w:val="en-US"/>
              </w:rPr>
              <w:t xml:space="preserve"> | S&amp;P : BBB- </w:t>
            </w:r>
          </w:p>
          <w:p w14:paraId="44D9853D" w14:textId="77777777" w:rsidR="00662A00" w:rsidRDefault="00662A00" w:rsidP="00151CF6">
            <w:pPr>
              <w:jc w:val="both"/>
              <w:rPr>
                <w:lang w:val="en-US"/>
              </w:rPr>
            </w:pPr>
          </w:p>
        </w:tc>
      </w:tr>
    </w:tbl>
    <w:p w14:paraId="6496C5C3" w14:textId="77777777" w:rsidR="00C71EC2" w:rsidRDefault="00C71EC2">
      <w:pPr>
        <w:rPr>
          <w:lang w:val="en-US"/>
        </w:rPr>
      </w:pPr>
    </w:p>
    <w:tbl>
      <w:tblPr>
        <w:tblStyle w:val="TableGrid"/>
        <w:tblW w:w="9355" w:type="dxa"/>
        <w:tblLook w:val="04A0" w:firstRow="1" w:lastRow="0" w:firstColumn="1" w:lastColumn="0" w:noHBand="0" w:noVBand="1"/>
      </w:tblPr>
      <w:tblGrid>
        <w:gridCol w:w="4495"/>
        <w:gridCol w:w="4860"/>
      </w:tblGrid>
      <w:tr w:rsidR="00A31D7D" w14:paraId="3D961700" w14:textId="77777777" w:rsidTr="00BF1044">
        <w:trPr>
          <w:trHeight w:val="2942"/>
        </w:trPr>
        <w:tc>
          <w:tcPr>
            <w:tcW w:w="4495" w:type="dxa"/>
          </w:tcPr>
          <w:p w14:paraId="384EDFB6" w14:textId="77777777" w:rsidR="00A31D7D" w:rsidRPr="006F0C21" w:rsidRDefault="00A31D7D" w:rsidP="00BF1044">
            <w:pPr>
              <w:jc w:val="center"/>
              <w:rPr>
                <w:b/>
                <w:bCs/>
                <w:color w:val="70AD47" w:themeColor="accent6"/>
                <w:u w:val="single"/>
                <w:lang w:val="fr-BE"/>
              </w:rPr>
            </w:pPr>
            <w:r w:rsidRPr="006F0C21">
              <w:rPr>
                <w:b/>
                <w:bCs/>
                <w:color w:val="70AD47" w:themeColor="accent6"/>
                <w:u w:val="single"/>
                <w:lang w:val="fr-BE"/>
              </w:rPr>
              <w:t>Points forts</w:t>
            </w:r>
          </w:p>
          <w:p w14:paraId="44E912C6" w14:textId="77777777" w:rsidR="00A31D7D" w:rsidRDefault="00A31D7D" w:rsidP="00BF1044">
            <w:pPr>
              <w:jc w:val="both"/>
              <w:rPr>
                <w:b/>
                <w:bCs/>
                <w:lang w:val="fr-BE"/>
              </w:rPr>
            </w:pPr>
          </w:p>
          <w:p w14:paraId="3C81FE9C" w14:textId="77777777" w:rsidR="00A31D7D" w:rsidRDefault="00A31D7D" w:rsidP="00BF1044">
            <w:pPr>
              <w:pStyle w:val="ListParagraph"/>
              <w:numPr>
                <w:ilvl w:val="0"/>
                <w:numId w:val="1"/>
              </w:numPr>
              <w:jc w:val="both"/>
              <w:rPr>
                <w:b/>
                <w:bCs/>
                <w:lang w:val="fr-BE"/>
              </w:rPr>
            </w:pPr>
            <w:r>
              <w:rPr>
                <w:b/>
                <w:bCs/>
                <w:lang w:val="fr-BE"/>
              </w:rPr>
              <w:t>Liens étroits avec les pays membres de la zone euro</w:t>
            </w:r>
          </w:p>
          <w:p w14:paraId="621187DA" w14:textId="77777777" w:rsidR="00A31D7D" w:rsidRDefault="00A31D7D" w:rsidP="00BF1044">
            <w:pPr>
              <w:pStyle w:val="ListParagraph"/>
              <w:numPr>
                <w:ilvl w:val="0"/>
                <w:numId w:val="1"/>
              </w:numPr>
              <w:jc w:val="both"/>
              <w:rPr>
                <w:b/>
                <w:bCs/>
                <w:lang w:val="fr-BE"/>
              </w:rPr>
            </w:pPr>
            <w:r>
              <w:rPr>
                <w:b/>
                <w:bCs/>
                <w:lang w:val="fr-BE"/>
              </w:rPr>
              <w:t xml:space="preserve">Secteur industriel diversifié </w:t>
            </w:r>
          </w:p>
          <w:p w14:paraId="5595A696" w14:textId="77777777" w:rsidR="00A31D7D" w:rsidRDefault="00A31D7D" w:rsidP="00BF1044">
            <w:pPr>
              <w:pStyle w:val="ListParagraph"/>
              <w:numPr>
                <w:ilvl w:val="0"/>
                <w:numId w:val="1"/>
              </w:numPr>
              <w:jc w:val="both"/>
              <w:rPr>
                <w:b/>
                <w:bCs/>
                <w:lang w:val="fr-BE"/>
              </w:rPr>
            </w:pPr>
            <w:r>
              <w:rPr>
                <w:b/>
                <w:bCs/>
                <w:lang w:val="fr-BE"/>
              </w:rPr>
              <w:t>Dette publique soutenable</w:t>
            </w:r>
          </w:p>
          <w:p w14:paraId="6924B403" w14:textId="77777777" w:rsidR="00A31D7D" w:rsidRDefault="00A31D7D" w:rsidP="00BF1044">
            <w:pPr>
              <w:pStyle w:val="ListParagraph"/>
              <w:numPr>
                <w:ilvl w:val="0"/>
                <w:numId w:val="1"/>
              </w:numPr>
              <w:jc w:val="both"/>
              <w:rPr>
                <w:b/>
                <w:bCs/>
                <w:lang w:val="fr-BE"/>
              </w:rPr>
            </w:pPr>
            <w:r>
              <w:rPr>
                <w:b/>
                <w:bCs/>
                <w:lang w:val="fr-BE"/>
              </w:rPr>
              <w:t>L’intégration récente à l’espace Schengen pourrait créer de nouvelles opportunités de commerce</w:t>
            </w:r>
          </w:p>
        </w:tc>
        <w:tc>
          <w:tcPr>
            <w:tcW w:w="4860" w:type="dxa"/>
          </w:tcPr>
          <w:p w14:paraId="401ACA08" w14:textId="77777777" w:rsidR="00A31D7D" w:rsidRPr="006F0C21" w:rsidRDefault="00A31D7D" w:rsidP="00BF1044">
            <w:pPr>
              <w:jc w:val="center"/>
              <w:rPr>
                <w:b/>
                <w:bCs/>
                <w:color w:val="FF0000"/>
                <w:u w:val="single"/>
                <w:lang w:val="fr-BE"/>
              </w:rPr>
            </w:pPr>
            <w:r w:rsidRPr="006F0C21">
              <w:rPr>
                <w:b/>
                <w:bCs/>
                <w:color w:val="FF0000"/>
                <w:u w:val="single"/>
                <w:lang w:val="fr-BE"/>
              </w:rPr>
              <w:t>Points faibles</w:t>
            </w:r>
          </w:p>
          <w:p w14:paraId="5EC560CF" w14:textId="77777777" w:rsidR="00A31D7D" w:rsidRDefault="00A31D7D" w:rsidP="00BF1044">
            <w:pPr>
              <w:jc w:val="both"/>
              <w:rPr>
                <w:b/>
                <w:bCs/>
                <w:lang w:val="fr-BE"/>
              </w:rPr>
            </w:pPr>
          </w:p>
          <w:p w14:paraId="551FBF1D" w14:textId="77777777" w:rsidR="00A31D7D" w:rsidRDefault="00A31D7D" w:rsidP="00BF1044">
            <w:pPr>
              <w:pStyle w:val="ListParagraph"/>
              <w:numPr>
                <w:ilvl w:val="0"/>
                <w:numId w:val="1"/>
              </w:numPr>
              <w:jc w:val="both"/>
              <w:rPr>
                <w:b/>
                <w:bCs/>
                <w:lang w:val="fr-BE"/>
              </w:rPr>
            </w:pPr>
            <w:r>
              <w:rPr>
                <w:b/>
                <w:bCs/>
                <w:lang w:val="fr-BE"/>
              </w:rPr>
              <w:t>Le déclin démographique : population vieillissante, émigration importante (en particulier des jeunes diplômés)</w:t>
            </w:r>
          </w:p>
          <w:p w14:paraId="3DF3942D" w14:textId="77777777" w:rsidR="00A31D7D" w:rsidRDefault="00A31D7D" w:rsidP="00BF1044">
            <w:pPr>
              <w:pStyle w:val="ListParagraph"/>
              <w:numPr>
                <w:ilvl w:val="0"/>
                <w:numId w:val="1"/>
              </w:numPr>
              <w:jc w:val="both"/>
              <w:rPr>
                <w:b/>
                <w:bCs/>
                <w:lang w:val="fr-BE"/>
              </w:rPr>
            </w:pPr>
            <w:r>
              <w:rPr>
                <w:b/>
                <w:bCs/>
                <w:lang w:val="fr-BE"/>
              </w:rPr>
              <w:t>La proximité géographique avec la guerre russo-ukrainienne</w:t>
            </w:r>
          </w:p>
          <w:p w14:paraId="4488579E" w14:textId="77777777" w:rsidR="00A31D7D" w:rsidRPr="006F0C21" w:rsidRDefault="00A31D7D" w:rsidP="00BF1044">
            <w:pPr>
              <w:pStyle w:val="ListParagraph"/>
              <w:numPr>
                <w:ilvl w:val="0"/>
                <w:numId w:val="1"/>
              </w:numPr>
              <w:jc w:val="both"/>
              <w:rPr>
                <w:b/>
                <w:bCs/>
                <w:lang w:val="fr-BE"/>
              </w:rPr>
            </w:pPr>
            <w:r>
              <w:rPr>
                <w:b/>
                <w:bCs/>
                <w:lang w:val="fr-BE"/>
              </w:rPr>
              <w:t>Corruption endémique qui mine les institutions, alimente la défiance de la population et nuit au climat des affaires</w:t>
            </w:r>
          </w:p>
        </w:tc>
      </w:tr>
    </w:tbl>
    <w:p w14:paraId="7C648BA9" w14:textId="77777777" w:rsidR="00A31D7D" w:rsidRPr="00A31D7D" w:rsidRDefault="00A31D7D"/>
    <w:p w14:paraId="0B4F4BC6" w14:textId="0AAF6618" w:rsidR="00662A00" w:rsidRPr="00F65993" w:rsidRDefault="00662A00" w:rsidP="00FE4A47">
      <w:pPr>
        <w:jc w:val="both"/>
        <w:rPr>
          <w:u w:val="single"/>
        </w:rPr>
      </w:pPr>
      <w:r w:rsidRPr="00F65993">
        <w:rPr>
          <w:u w:val="single"/>
        </w:rPr>
        <w:t>Rappels importants</w:t>
      </w:r>
    </w:p>
    <w:p w14:paraId="32A419ED" w14:textId="77777777" w:rsidR="003322FD" w:rsidRDefault="003322FD" w:rsidP="00FE4A47">
      <w:pPr>
        <w:jc w:val="both"/>
      </w:pPr>
      <w:r>
        <w:t xml:space="preserve">Peu après la chute du mur de Berlin, le 9 novembre 1989, la révolution </w:t>
      </w:r>
      <w:r w:rsidRPr="003322FD">
        <w:t xml:space="preserve">roumaine </w:t>
      </w:r>
      <w:r>
        <w:t xml:space="preserve">éclate le </w:t>
      </w:r>
      <w:r w:rsidRPr="00EC51C4">
        <w:rPr>
          <w:b/>
          <w:bCs/>
        </w:rPr>
        <w:t>16 décembre de la même année et aboutit au renversement du régime communiste</w:t>
      </w:r>
      <w:r>
        <w:t xml:space="preserve">, à l’exécution du </w:t>
      </w:r>
      <w:r w:rsidRPr="003322FD">
        <w:t>dictateur Nicolae Ceaușescu</w:t>
      </w:r>
      <w:r>
        <w:t>.</w:t>
      </w:r>
    </w:p>
    <w:p w14:paraId="5735B188" w14:textId="6ED7DADF" w:rsidR="00593C5A" w:rsidRDefault="003322FD" w:rsidP="00FE4A47">
      <w:pPr>
        <w:jc w:val="both"/>
      </w:pPr>
      <w:r w:rsidRPr="003322FD">
        <w:t>Cet événement inaugure le début de la métamorphose du régime communiste en</w:t>
      </w:r>
      <w:r w:rsidR="00593C5A">
        <w:t xml:space="preserve"> une</w:t>
      </w:r>
      <w:r w:rsidRPr="003322FD">
        <w:t xml:space="preserve"> </w:t>
      </w:r>
      <w:r w:rsidRPr="00EC51C4">
        <w:rPr>
          <w:b/>
          <w:bCs/>
        </w:rPr>
        <w:t>démocratie parlementaire</w:t>
      </w:r>
      <w:r w:rsidR="00593C5A">
        <w:t xml:space="preserve"> et d’une économie planifiée d’Etat en une </w:t>
      </w:r>
      <w:r w:rsidR="00593C5A" w:rsidRPr="00EC51C4">
        <w:rPr>
          <w:b/>
          <w:bCs/>
        </w:rPr>
        <w:t>économie de marché</w:t>
      </w:r>
      <w:r w:rsidR="00593C5A">
        <w:t xml:space="preserve">. </w:t>
      </w:r>
    </w:p>
    <w:p w14:paraId="30A8CBF7" w14:textId="17D3B6FB" w:rsidR="00FB1B23" w:rsidRPr="00B81B03" w:rsidRDefault="00FB1B23" w:rsidP="00FE4A47">
      <w:pPr>
        <w:jc w:val="both"/>
        <w:rPr>
          <w:b/>
          <w:bCs/>
        </w:rPr>
      </w:pPr>
      <w:r w:rsidRPr="00EC51C4">
        <w:rPr>
          <w:b/>
          <w:bCs/>
        </w:rPr>
        <w:t>Pays de taille moyenne (240 000 km</w:t>
      </w:r>
      <w:r w:rsidRPr="00EC51C4">
        <w:rPr>
          <w:b/>
          <w:bCs/>
          <w:lang w:val="fr-BE"/>
        </w:rPr>
        <w:t>²) de 19 millions d’habitants</w:t>
      </w:r>
      <w:r w:rsidR="00FE4A47">
        <w:rPr>
          <w:lang w:val="fr-BE"/>
        </w:rPr>
        <w:t>, entre l’Ukraine, la Hongrie et la Bulgarie (entre autres) et possède un littoral de la mer Noire.</w:t>
      </w:r>
      <w:r w:rsidR="00B81B03">
        <w:rPr>
          <w:lang w:val="fr-BE"/>
        </w:rPr>
        <w:t xml:space="preserve"> </w:t>
      </w:r>
      <w:r w:rsidR="00B81B03" w:rsidRPr="005B27AF">
        <w:rPr>
          <w:b/>
          <w:bCs/>
        </w:rPr>
        <w:t>Le pays possède un PIB réel par habitant de 10 250 euros</w:t>
      </w:r>
      <w:r w:rsidR="00B81B03">
        <w:rPr>
          <w:b/>
          <w:bCs/>
        </w:rPr>
        <w:t>.</w:t>
      </w:r>
    </w:p>
    <w:p w14:paraId="65769801" w14:textId="774FAC61" w:rsidR="00506F85" w:rsidRDefault="00593C5A" w:rsidP="00FE4A47">
      <w:pPr>
        <w:jc w:val="both"/>
      </w:pPr>
      <w:r w:rsidRPr="00EC51C4">
        <w:rPr>
          <w:b/>
          <w:bCs/>
        </w:rPr>
        <w:t xml:space="preserve">Membre de l’OTAN depuis 2004, membre de l’Union Européenne depuis </w:t>
      </w:r>
      <w:r w:rsidR="00506F85" w:rsidRPr="00EC51C4">
        <w:rPr>
          <w:b/>
          <w:bCs/>
        </w:rPr>
        <w:t>2007</w:t>
      </w:r>
      <w:r w:rsidR="0060735C">
        <w:t xml:space="preserve"> sans avoir intégré la zone euro.</w:t>
      </w:r>
    </w:p>
    <w:p w14:paraId="79A6B2CF" w14:textId="08FE25C2" w:rsidR="00B23986" w:rsidRDefault="0060735C" w:rsidP="00FE4A47">
      <w:pPr>
        <w:jc w:val="both"/>
        <w:rPr>
          <w:b/>
          <w:bCs/>
        </w:rPr>
      </w:pPr>
      <w:r>
        <w:t xml:space="preserve">Le pays possède des </w:t>
      </w:r>
      <w:r w:rsidRPr="00EC51C4">
        <w:rPr>
          <w:b/>
          <w:bCs/>
        </w:rPr>
        <w:t>liens étroits avec la Moldavie voisine</w:t>
      </w:r>
      <w:r>
        <w:t>, avec qui elle partage une langue et une culture commune.</w:t>
      </w:r>
      <w:r w:rsidR="005A4DA9">
        <w:t xml:space="preserve"> La </w:t>
      </w:r>
      <w:r w:rsidR="005A4DA9" w:rsidRPr="005A4DA9">
        <w:rPr>
          <w:b/>
          <w:bCs/>
        </w:rPr>
        <w:t xml:space="preserve">Constitution moldave prévoit la convocation d’un référendum afin de trancher sur la question d’une réunification avec la Roumanie. </w:t>
      </w:r>
      <w:r w:rsidR="00B81B03">
        <w:rPr>
          <w:b/>
          <w:bCs/>
        </w:rPr>
        <w:t xml:space="preserve">Toutefois, les tensions liées à la région pro-russe de Transnistrie, rendent cette possibilité peu probable dans l’immédiat. </w:t>
      </w:r>
    </w:p>
    <w:p w14:paraId="4F0117AE" w14:textId="77777777" w:rsidR="00593C5A" w:rsidRDefault="00593C5A" w:rsidP="00FE4A47">
      <w:pPr>
        <w:jc w:val="both"/>
      </w:pPr>
    </w:p>
    <w:p w14:paraId="24E71839" w14:textId="3327140C" w:rsidR="00593C5A" w:rsidRDefault="00593C5A" w:rsidP="00FE4A47">
      <w:pPr>
        <w:jc w:val="both"/>
        <w:rPr>
          <w:u w:val="single"/>
          <w:lang w:val="fr-BE"/>
        </w:rPr>
      </w:pPr>
      <w:r w:rsidRPr="005E16EF">
        <w:rPr>
          <w:u w:val="single"/>
          <w:lang w:val="fr-BE"/>
        </w:rPr>
        <w:t>Actualité</w:t>
      </w:r>
    </w:p>
    <w:p w14:paraId="082F9814" w14:textId="3F68EF78" w:rsidR="00124387" w:rsidRPr="00124387" w:rsidRDefault="00124387" w:rsidP="00FE4A47">
      <w:pPr>
        <w:jc w:val="both"/>
        <w:rPr>
          <w:b/>
          <w:bCs/>
          <w:lang w:val="fr-BE"/>
        </w:rPr>
      </w:pPr>
      <w:r w:rsidRPr="00EC51C4">
        <w:rPr>
          <w:b/>
          <w:bCs/>
          <w:lang w:val="fr-BE"/>
        </w:rPr>
        <w:t>La Roumanie a officiellement fait son entrée dans l’espace Schengen le 31 mars 2024, dans le cadre d’une adhésion partielle limitée aux aéroports et aux ports maritimes.</w:t>
      </w:r>
    </w:p>
    <w:p w14:paraId="6868C28A" w14:textId="0388C956" w:rsidR="00124387" w:rsidRDefault="00EE137B" w:rsidP="00FE4A47">
      <w:pPr>
        <w:jc w:val="both"/>
        <w:rPr>
          <w:lang w:val="fr-BE"/>
        </w:rPr>
      </w:pPr>
      <w:r>
        <w:rPr>
          <w:lang w:val="fr-BE"/>
        </w:rPr>
        <w:t xml:space="preserve">La Roumanie connaît </w:t>
      </w:r>
      <w:r w:rsidRPr="00EC51C4">
        <w:rPr>
          <w:b/>
          <w:bCs/>
          <w:lang w:val="fr-BE"/>
        </w:rPr>
        <w:t>une « super-année électorale »</w:t>
      </w:r>
      <w:r>
        <w:rPr>
          <w:lang w:val="fr-BE"/>
        </w:rPr>
        <w:t xml:space="preserve">, qui commence le 9 juin avec les </w:t>
      </w:r>
      <w:r w:rsidRPr="00EC51C4">
        <w:rPr>
          <w:b/>
          <w:bCs/>
          <w:lang w:val="fr-BE"/>
        </w:rPr>
        <w:t xml:space="preserve">municipales </w:t>
      </w:r>
      <w:r>
        <w:rPr>
          <w:lang w:val="fr-BE"/>
        </w:rPr>
        <w:t xml:space="preserve">et les </w:t>
      </w:r>
      <w:r w:rsidRPr="00EC51C4">
        <w:rPr>
          <w:b/>
          <w:bCs/>
          <w:lang w:val="fr-BE"/>
        </w:rPr>
        <w:t>européennes</w:t>
      </w:r>
      <w:r>
        <w:rPr>
          <w:lang w:val="fr-BE"/>
        </w:rPr>
        <w:t>, l’</w:t>
      </w:r>
      <w:r w:rsidR="00C81BBF">
        <w:rPr>
          <w:lang w:val="fr-BE"/>
        </w:rPr>
        <w:t xml:space="preserve">élection </w:t>
      </w:r>
      <w:r w:rsidR="00B23986" w:rsidRPr="00EC51C4">
        <w:rPr>
          <w:b/>
          <w:bCs/>
          <w:lang w:val="fr-BE"/>
        </w:rPr>
        <w:t>présidentielle</w:t>
      </w:r>
      <w:r w:rsidR="00B23986">
        <w:rPr>
          <w:lang w:val="fr-BE"/>
        </w:rPr>
        <w:t xml:space="preserve"> se tiend</w:t>
      </w:r>
      <w:r>
        <w:rPr>
          <w:lang w:val="fr-BE"/>
        </w:rPr>
        <w:t>ra</w:t>
      </w:r>
      <w:r w:rsidR="00B23986">
        <w:rPr>
          <w:lang w:val="fr-BE"/>
        </w:rPr>
        <w:t xml:space="preserve"> en septembre prochain et des élections </w:t>
      </w:r>
      <w:r w:rsidR="00B23986" w:rsidRPr="00EC51C4">
        <w:rPr>
          <w:b/>
          <w:bCs/>
          <w:lang w:val="fr-BE"/>
        </w:rPr>
        <w:t>législatives</w:t>
      </w:r>
      <w:r w:rsidR="00B23986">
        <w:rPr>
          <w:lang w:val="fr-BE"/>
        </w:rPr>
        <w:t xml:space="preserve"> suivront en décembre.</w:t>
      </w:r>
      <w:r w:rsidR="00C81BBF">
        <w:rPr>
          <w:lang w:val="fr-BE"/>
        </w:rPr>
        <w:t xml:space="preserve"> </w:t>
      </w:r>
    </w:p>
    <w:p w14:paraId="6418FC3A" w14:textId="496AA39B" w:rsidR="00B23986" w:rsidRDefault="00B23986" w:rsidP="00FE4A47">
      <w:pPr>
        <w:jc w:val="both"/>
        <w:rPr>
          <w:lang w:val="fr-BE"/>
        </w:rPr>
      </w:pPr>
      <w:r>
        <w:rPr>
          <w:lang w:val="fr-BE"/>
        </w:rPr>
        <w:t xml:space="preserve">D’après les sondages, le </w:t>
      </w:r>
      <w:r w:rsidRPr="00EC51C4">
        <w:rPr>
          <w:b/>
          <w:bCs/>
          <w:lang w:val="fr-BE"/>
        </w:rPr>
        <w:t>parti AUR d’extrême droite, eurosceptique, est attendu entre 20 et 30%</w:t>
      </w:r>
      <w:r>
        <w:rPr>
          <w:lang w:val="fr-BE"/>
        </w:rPr>
        <w:t xml:space="preserve"> lors des prochaines élections européennes.</w:t>
      </w:r>
    </w:p>
    <w:p w14:paraId="45CDC95C" w14:textId="77777777" w:rsidR="00F65993" w:rsidRDefault="00F65993" w:rsidP="00FE4A47">
      <w:pPr>
        <w:jc w:val="both"/>
        <w:rPr>
          <w:u w:val="single"/>
          <w:lang w:val="fr-BE"/>
        </w:rPr>
      </w:pPr>
    </w:p>
    <w:p w14:paraId="762BAB8D" w14:textId="77777777" w:rsidR="00593C5A" w:rsidRDefault="00593C5A" w:rsidP="00FE4A47">
      <w:pPr>
        <w:jc w:val="both"/>
        <w:rPr>
          <w:u w:val="single"/>
          <w:lang w:val="fr-BE"/>
        </w:rPr>
      </w:pPr>
      <w:r>
        <w:rPr>
          <w:u w:val="single"/>
          <w:lang w:val="fr-BE"/>
        </w:rPr>
        <w:lastRenderedPageBreak/>
        <w:t>Contexte</w:t>
      </w:r>
    </w:p>
    <w:p w14:paraId="0C447CBE" w14:textId="7CB38F05" w:rsidR="009827F8" w:rsidRDefault="009827F8" w:rsidP="00FE4A47">
      <w:pPr>
        <w:jc w:val="both"/>
        <w:rPr>
          <w:lang w:val="fr-BE"/>
        </w:rPr>
      </w:pPr>
      <w:r>
        <w:rPr>
          <w:lang w:val="fr-BE"/>
        </w:rPr>
        <w:t xml:space="preserve">Depuis 2021, </w:t>
      </w:r>
      <w:r w:rsidRPr="00EC51C4">
        <w:rPr>
          <w:b/>
          <w:bCs/>
          <w:lang w:val="fr-BE"/>
        </w:rPr>
        <w:t xml:space="preserve">le pays est dirigé par une coalition et </w:t>
      </w:r>
      <w:r w:rsidR="00F65993" w:rsidRPr="00EC51C4">
        <w:rPr>
          <w:b/>
          <w:bCs/>
          <w:lang w:val="fr-BE"/>
        </w:rPr>
        <w:t xml:space="preserve">prévoit une </w:t>
      </w:r>
      <w:r w:rsidRPr="00EC51C4">
        <w:rPr>
          <w:b/>
          <w:bCs/>
          <w:lang w:val="fr-BE"/>
        </w:rPr>
        <w:t>rotation</w:t>
      </w:r>
      <w:r w:rsidR="00F65993" w:rsidRPr="00EC51C4">
        <w:rPr>
          <w:b/>
          <w:bCs/>
          <w:lang w:val="fr-BE"/>
        </w:rPr>
        <w:t xml:space="preserve"> tous les 18 mois</w:t>
      </w:r>
      <w:r w:rsidRPr="00EC51C4">
        <w:rPr>
          <w:b/>
          <w:bCs/>
          <w:lang w:val="fr-BE"/>
        </w:rPr>
        <w:t xml:space="preserve"> à la tête du gouvernement</w:t>
      </w:r>
      <w:r>
        <w:rPr>
          <w:lang w:val="fr-BE"/>
        </w:rPr>
        <w:t xml:space="preserve"> entre le </w:t>
      </w:r>
      <w:r w:rsidRPr="00EC51C4">
        <w:rPr>
          <w:b/>
          <w:bCs/>
          <w:lang w:val="fr-BE"/>
        </w:rPr>
        <w:t>Parti National Libéral</w:t>
      </w:r>
      <w:r>
        <w:rPr>
          <w:lang w:val="fr-BE"/>
        </w:rPr>
        <w:t xml:space="preserve"> (centre-droit) et le </w:t>
      </w:r>
      <w:r w:rsidRPr="00EC51C4">
        <w:rPr>
          <w:b/>
          <w:bCs/>
          <w:lang w:val="fr-BE"/>
        </w:rPr>
        <w:t>Parti Social-Démocrate</w:t>
      </w:r>
      <w:r>
        <w:rPr>
          <w:lang w:val="fr-BE"/>
        </w:rPr>
        <w:t xml:space="preserve"> (centre gauche) dont est issu le Premier Ministre, </w:t>
      </w:r>
      <w:r w:rsidRPr="00EC51C4">
        <w:rPr>
          <w:b/>
          <w:bCs/>
          <w:lang w:val="fr-BE"/>
        </w:rPr>
        <w:t>Marcel Ciolacu depuis le 15 juin 2023</w:t>
      </w:r>
      <w:r w:rsidRPr="00EC51C4">
        <w:rPr>
          <w:lang w:val="fr-BE"/>
        </w:rPr>
        <w:t>.</w:t>
      </w:r>
      <w:r>
        <w:rPr>
          <w:lang w:val="fr-BE"/>
        </w:rPr>
        <w:t xml:space="preserve"> </w:t>
      </w:r>
    </w:p>
    <w:p w14:paraId="743066E3" w14:textId="7FE801CE" w:rsidR="00F9337A" w:rsidRDefault="00124387" w:rsidP="00FE4A47">
      <w:pPr>
        <w:jc w:val="both"/>
        <w:rPr>
          <w:lang w:val="fr-BE"/>
        </w:rPr>
      </w:pPr>
      <w:r>
        <w:rPr>
          <w:lang w:val="fr-BE"/>
        </w:rPr>
        <w:t xml:space="preserve">Le </w:t>
      </w:r>
      <w:r w:rsidRPr="005A4DA9">
        <w:rPr>
          <w:b/>
          <w:bCs/>
          <w:lang w:val="fr-BE"/>
        </w:rPr>
        <w:t>gouvernement en place dispose d’une majorité confortable</w:t>
      </w:r>
      <w:r>
        <w:rPr>
          <w:lang w:val="fr-BE"/>
        </w:rPr>
        <w:t xml:space="preserve"> à la Chambre des députés </w:t>
      </w:r>
      <w:r w:rsidRPr="005A4DA9">
        <w:rPr>
          <w:b/>
          <w:bCs/>
          <w:lang w:val="fr-BE"/>
        </w:rPr>
        <w:t>avec 183 sièges</w:t>
      </w:r>
      <w:r>
        <w:rPr>
          <w:lang w:val="fr-BE"/>
        </w:rPr>
        <w:t xml:space="preserve"> dont 104 issus du PSD et 79 provenant du PNL, </w:t>
      </w:r>
      <w:r w:rsidR="00F9337A">
        <w:rPr>
          <w:lang w:val="fr-BE"/>
        </w:rPr>
        <w:t>pour une</w:t>
      </w:r>
      <w:r>
        <w:rPr>
          <w:lang w:val="fr-BE"/>
        </w:rPr>
        <w:t xml:space="preserve"> majorité</w:t>
      </w:r>
      <w:r w:rsidR="00F9337A">
        <w:rPr>
          <w:lang w:val="fr-BE"/>
        </w:rPr>
        <w:t xml:space="preserve"> fixée</w:t>
      </w:r>
      <w:r>
        <w:rPr>
          <w:lang w:val="fr-BE"/>
        </w:rPr>
        <w:t xml:space="preserve"> à </w:t>
      </w:r>
      <w:r w:rsidRPr="005A4DA9">
        <w:rPr>
          <w:b/>
          <w:bCs/>
          <w:lang w:val="fr-BE"/>
        </w:rPr>
        <w:t>166</w:t>
      </w:r>
      <w:r w:rsidR="00F9337A" w:rsidRPr="005A4DA9">
        <w:rPr>
          <w:b/>
          <w:bCs/>
          <w:lang w:val="fr-BE"/>
        </w:rPr>
        <w:t xml:space="preserve"> sièges</w:t>
      </w:r>
      <w:r w:rsidR="00F9337A">
        <w:rPr>
          <w:lang w:val="fr-BE"/>
        </w:rPr>
        <w:t>.</w:t>
      </w:r>
    </w:p>
    <w:p w14:paraId="0BD44C28" w14:textId="6A7A52BA" w:rsidR="00BB2D32" w:rsidRDefault="008D4304" w:rsidP="00FE4A47">
      <w:pPr>
        <w:jc w:val="both"/>
        <w:rPr>
          <w:lang w:val="fr-BE"/>
        </w:rPr>
      </w:pPr>
      <w:r w:rsidRPr="005A4DA9">
        <w:rPr>
          <w:b/>
          <w:bCs/>
          <w:lang w:val="fr-BE"/>
        </w:rPr>
        <w:t>L’économie roumaine fait face à un double-défi</w:t>
      </w:r>
      <w:r w:rsidR="00043EA6">
        <w:rPr>
          <w:lang w:val="fr-BE"/>
        </w:rPr>
        <w:t xml:space="preserve"> </w:t>
      </w:r>
      <w:r>
        <w:rPr>
          <w:lang w:val="fr-BE"/>
        </w:rPr>
        <w:t xml:space="preserve">: la </w:t>
      </w:r>
      <w:r w:rsidRPr="005A4DA9">
        <w:rPr>
          <w:b/>
          <w:bCs/>
          <w:lang w:val="fr-BE"/>
        </w:rPr>
        <w:t>population est vieillissante</w:t>
      </w:r>
      <w:r>
        <w:rPr>
          <w:lang w:val="fr-BE"/>
        </w:rPr>
        <w:t xml:space="preserve"> (</w:t>
      </w:r>
      <w:r w:rsidR="00BD7EC9">
        <w:rPr>
          <w:lang w:val="fr-BE"/>
        </w:rPr>
        <w:t>l</w:t>
      </w:r>
      <w:r w:rsidR="00BD7EC9" w:rsidRPr="00BD7EC9">
        <w:rPr>
          <w:lang w:val="fr-BE"/>
        </w:rPr>
        <w:t>a part de la population âgée de plus de 64 a atteint 29,1 % en 2020 et passerait à 53,9 % en 2050 selon les projections de</w:t>
      </w:r>
      <w:r w:rsidR="00BD7EC9">
        <w:rPr>
          <w:lang w:val="fr-BE"/>
        </w:rPr>
        <w:t xml:space="preserve"> l’ONU</w:t>
      </w:r>
      <w:r>
        <w:rPr>
          <w:lang w:val="fr-BE"/>
        </w:rPr>
        <w:t xml:space="preserve">) </w:t>
      </w:r>
      <w:r w:rsidR="00043EA6">
        <w:rPr>
          <w:lang w:val="fr-BE"/>
        </w:rPr>
        <w:t xml:space="preserve">et il existe </w:t>
      </w:r>
      <w:r>
        <w:rPr>
          <w:lang w:val="fr-BE"/>
        </w:rPr>
        <w:t xml:space="preserve">une </w:t>
      </w:r>
      <w:r w:rsidRPr="005A4DA9">
        <w:rPr>
          <w:b/>
          <w:bCs/>
          <w:lang w:val="fr-BE"/>
        </w:rPr>
        <w:t>forte émigration</w:t>
      </w:r>
      <w:r w:rsidR="00BD7EC9">
        <w:rPr>
          <w:lang w:val="fr-BE"/>
        </w:rPr>
        <w:t xml:space="preserve"> (</w:t>
      </w:r>
      <w:r w:rsidR="00537CD8">
        <w:rPr>
          <w:lang w:val="fr-BE"/>
        </w:rPr>
        <w:t xml:space="preserve">plus de 5 millions de Roumains ont quitté leur pays pour </w:t>
      </w:r>
      <w:r w:rsidR="00043EA6">
        <w:rPr>
          <w:lang w:val="fr-BE"/>
        </w:rPr>
        <w:t xml:space="preserve">aller vers </w:t>
      </w:r>
      <w:r w:rsidR="00537CD8">
        <w:rPr>
          <w:lang w:val="fr-BE"/>
        </w:rPr>
        <w:t>l’Europe de l’Ouest</w:t>
      </w:r>
      <w:r w:rsidR="00BD7EC9">
        <w:rPr>
          <w:lang w:val="fr-BE"/>
        </w:rPr>
        <w:t>).</w:t>
      </w:r>
    </w:p>
    <w:p w14:paraId="78D469D1" w14:textId="77777777" w:rsidR="005A5631" w:rsidRDefault="005A5631" w:rsidP="00FE4A47">
      <w:pPr>
        <w:jc w:val="both"/>
        <w:rPr>
          <w:u w:val="single"/>
          <w:lang w:val="fr-BE"/>
        </w:rPr>
      </w:pPr>
    </w:p>
    <w:p w14:paraId="616EA3BE" w14:textId="6C8CA4E9" w:rsidR="005A5631" w:rsidRDefault="00593C5A" w:rsidP="00FE4A47">
      <w:pPr>
        <w:jc w:val="both"/>
        <w:rPr>
          <w:u w:val="single"/>
          <w:lang w:val="fr-BE"/>
        </w:rPr>
      </w:pPr>
      <w:r w:rsidRPr="003646ED">
        <w:rPr>
          <w:u w:val="single"/>
          <w:lang w:val="fr-BE"/>
        </w:rPr>
        <w:t>Faits économiques</w:t>
      </w:r>
    </w:p>
    <w:p w14:paraId="26905BF3" w14:textId="0B8E9C27" w:rsidR="006C2ED1" w:rsidRDefault="006C2ED1" w:rsidP="00FE4A47">
      <w:pPr>
        <w:jc w:val="both"/>
        <w:rPr>
          <w:lang w:val="fr-BE"/>
        </w:rPr>
      </w:pPr>
      <w:r w:rsidRPr="00043EA6">
        <w:rPr>
          <w:b/>
          <w:bCs/>
          <w:lang w:val="fr-BE"/>
        </w:rPr>
        <w:t>Depuis son adhésion à l’UE en 2007, la Roumanie a fortement progressé en termes de convergence économique</w:t>
      </w:r>
      <w:r>
        <w:rPr>
          <w:lang w:val="fr-BE"/>
        </w:rPr>
        <w:t xml:space="preserve">. En effet, </w:t>
      </w:r>
      <w:r w:rsidRPr="006C2ED1">
        <w:rPr>
          <w:lang w:val="fr-BE"/>
        </w:rPr>
        <w:t xml:space="preserve">le PIB/habitant est passé de 39 % de la moyenne de l’UE en 2006 à </w:t>
      </w:r>
      <w:r>
        <w:rPr>
          <w:lang w:val="fr-BE"/>
        </w:rPr>
        <w:t>77</w:t>
      </w:r>
      <w:r w:rsidRPr="006C2ED1">
        <w:rPr>
          <w:lang w:val="fr-BE"/>
        </w:rPr>
        <w:t>% en 20</w:t>
      </w:r>
      <w:r>
        <w:rPr>
          <w:lang w:val="fr-BE"/>
        </w:rPr>
        <w:t xml:space="preserve">22, cela a été permis par un afflux de capitaux étrangers et un </w:t>
      </w:r>
      <w:r w:rsidRPr="00043EA6">
        <w:rPr>
          <w:b/>
          <w:bCs/>
          <w:lang w:val="fr-BE"/>
        </w:rPr>
        <w:t>tissu productif de plus en plus efficace et diversifié</w:t>
      </w:r>
      <w:r>
        <w:rPr>
          <w:lang w:val="fr-BE"/>
        </w:rPr>
        <w:t xml:space="preserve">. </w:t>
      </w:r>
    </w:p>
    <w:p w14:paraId="1E104F3F" w14:textId="5D9FED50" w:rsidR="00CD0561" w:rsidRDefault="006C2ED1" w:rsidP="00FE4A47">
      <w:pPr>
        <w:jc w:val="both"/>
        <w:rPr>
          <w:lang w:val="fr-BE"/>
        </w:rPr>
      </w:pPr>
      <w:r w:rsidRPr="00043EA6">
        <w:rPr>
          <w:b/>
          <w:bCs/>
          <w:lang w:val="fr-BE"/>
        </w:rPr>
        <w:t>Après une année 2022 marquée par une</w:t>
      </w:r>
      <w:r w:rsidR="00E461CE" w:rsidRPr="00043EA6">
        <w:rPr>
          <w:b/>
          <w:bCs/>
          <w:lang w:val="fr-BE"/>
        </w:rPr>
        <w:t xml:space="preserve"> forte</w:t>
      </w:r>
      <w:r w:rsidRPr="00043EA6">
        <w:rPr>
          <w:b/>
          <w:bCs/>
          <w:lang w:val="fr-BE"/>
        </w:rPr>
        <w:t xml:space="preserve"> croissance</w:t>
      </w:r>
      <w:r w:rsidR="00E461CE" w:rsidRPr="00043EA6">
        <w:rPr>
          <w:b/>
          <w:bCs/>
          <w:lang w:val="fr-BE"/>
        </w:rPr>
        <w:t xml:space="preserve"> à </w:t>
      </w:r>
      <w:r w:rsidRPr="00043EA6">
        <w:rPr>
          <w:b/>
          <w:bCs/>
          <w:lang w:val="fr-BE"/>
        </w:rPr>
        <w:t>+</w:t>
      </w:r>
      <w:r w:rsidR="0081788C">
        <w:rPr>
          <w:b/>
          <w:bCs/>
          <w:lang w:val="fr-BE"/>
        </w:rPr>
        <w:t xml:space="preserve"> </w:t>
      </w:r>
      <w:r w:rsidRPr="00043EA6">
        <w:rPr>
          <w:b/>
          <w:bCs/>
          <w:lang w:val="fr-BE"/>
        </w:rPr>
        <w:t>4,7%</w:t>
      </w:r>
      <w:r w:rsidR="00E461CE" w:rsidRPr="00043EA6">
        <w:rPr>
          <w:b/>
          <w:bCs/>
          <w:lang w:val="fr-BE"/>
        </w:rPr>
        <w:t>, l’année 2023 s’est traduite par un ralentissement de l’économie avec une croissance à +2,0%.</w:t>
      </w:r>
      <w:r w:rsidR="00E461CE">
        <w:rPr>
          <w:lang w:val="fr-BE"/>
        </w:rPr>
        <w:t xml:space="preserve"> Ce ralentissement est imputable à des chocs négatifs consécutifs à l’invasion de l’Ukraine par la Russie à</w:t>
      </w:r>
      <w:r w:rsidR="00CD0561">
        <w:rPr>
          <w:lang w:val="fr-BE"/>
        </w:rPr>
        <w:t xml:space="preserve"> savoir :</w:t>
      </w:r>
      <w:r w:rsidR="00E461CE">
        <w:rPr>
          <w:lang w:val="fr-BE"/>
        </w:rPr>
        <w:t xml:space="preserve"> </w:t>
      </w:r>
      <w:r w:rsidR="00CD0561">
        <w:rPr>
          <w:lang w:val="fr-BE"/>
        </w:rPr>
        <w:t>une</w:t>
      </w:r>
      <w:r w:rsidR="00E461CE">
        <w:rPr>
          <w:lang w:val="fr-BE"/>
        </w:rPr>
        <w:t xml:space="preserve"> crise énergétique </w:t>
      </w:r>
      <w:r w:rsidR="00CD0561">
        <w:rPr>
          <w:lang w:val="fr-BE"/>
        </w:rPr>
        <w:t>qui a dopé le taux d’inflation (</w:t>
      </w:r>
      <w:r w:rsidR="00CD0561" w:rsidRPr="00AE5321">
        <w:rPr>
          <w:b/>
          <w:bCs/>
          <w:lang w:val="fr-BE"/>
        </w:rPr>
        <w:t>16,8% en 2022, 7,4% en janvier 2024</w:t>
      </w:r>
      <w:r w:rsidR="00CD0561">
        <w:rPr>
          <w:lang w:val="fr-BE"/>
        </w:rPr>
        <w:t xml:space="preserve">), une hausse des taux d’intérêts pour tenter de la juguler, ce qui a engendré un </w:t>
      </w:r>
      <w:r w:rsidR="00CD0561" w:rsidRPr="00043EA6">
        <w:rPr>
          <w:b/>
          <w:bCs/>
          <w:lang w:val="fr-BE"/>
        </w:rPr>
        <w:t>affaiblissement de la demande extérieure et intérieure.</w:t>
      </w:r>
    </w:p>
    <w:p w14:paraId="600DF27B" w14:textId="287D9285" w:rsidR="00F14014" w:rsidRDefault="0033600F" w:rsidP="00FE4A47">
      <w:pPr>
        <w:jc w:val="both"/>
      </w:pPr>
      <w:r w:rsidRPr="0033600F">
        <w:t xml:space="preserve">La Roumanie enregistre </w:t>
      </w:r>
      <w:r w:rsidRPr="00043EA6">
        <w:rPr>
          <w:b/>
          <w:bCs/>
        </w:rPr>
        <w:t xml:space="preserve">un déficit </w:t>
      </w:r>
      <w:r w:rsidR="00B424E7" w:rsidRPr="00043EA6">
        <w:rPr>
          <w:b/>
          <w:bCs/>
        </w:rPr>
        <w:t xml:space="preserve">public </w:t>
      </w:r>
      <w:r w:rsidRPr="00043EA6">
        <w:rPr>
          <w:b/>
          <w:bCs/>
        </w:rPr>
        <w:t xml:space="preserve">de -5,3%, </w:t>
      </w:r>
      <w:r w:rsidR="00B424E7" w:rsidRPr="00043EA6">
        <w:rPr>
          <w:b/>
          <w:bCs/>
        </w:rPr>
        <w:t>un chiffre qui est plus</w:t>
      </w:r>
      <w:r w:rsidRPr="00043EA6">
        <w:rPr>
          <w:b/>
          <w:bCs/>
        </w:rPr>
        <w:t xml:space="preserve"> élevé que les autres pays de la zone</w:t>
      </w:r>
      <w:r w:rsidR="00B424E7" w:rsidRPr="00043EA6">
        <w:rPr>
          <w:b/>
          <w:bCs/>
        </w:rPr>
        <w:t xml:space="preserve">. </w:t>
      </w:r>
      <w:r w:rsidR="002A47EE">
        <w:t xml:space="preserve">Cette situation devrait </w:t>
      </w:r>
      <w:r w:rsidR="002A47EE" w:rsidRPr="00043EA6">
        <w:rPr>
          <w:b/>
          <w:bCs/>
        </w:rPr>
        <w:t>sensiblement s’améliorer prochainement</w:t>
      </w:r>
      <w:r w:rsidR="00314D2E" w:rsidRPr="00043EA6">
        <w:rPr>
          <w:b/>
          <w:bCs/>
        </w:rPr>
        <w:t>,</w:t>
      </w:r>
      <w:r w:rsidR="002A47EE" w:rsidRPr="00043EA6">
        <w:rPr>
          <w:b/>
          <w:bCs/>
        </w:rPr>
        <w:t xml:space="preserve"> </w:t>
      </w:r>
      <w:r w:rsidR="00314D2E" w:rsidRPr="00043EA6">
        <w:rPr>
          <w:b/>
          <w:bCs/>
        </w:rPr>
        <w:t>à la suite d’un ensemble de mesure</w:t>
      </w:r>
      <w:r w:rsidR="00043EA6" w:rsidRPr="00043EA6">
        <w:rPr>
          <w:b/>
          <w:bCs/>
        </w:rPr>
        <w:t>s</w:t>
      </w:r>
      <w:r w:rsidR="00314D2E" w:rsidRPr="00043EA6">
        <w:rPr>
          <w:b/>
          <w:bCs/>
        </w:rPr>
        <w:t xml:space="preserve"> fiscales promulgué en octobre dernier et qui devrait générer 4 milliards d’euros de recettes supplémentaires par an</w:t>
      </w:r>
      <w:r w:rsidR="00314D2E">
        <w:t xml:space="preserve"> (soit 20% du déficit de 2023).</w:t>
      </w:r>
      <w:r w:rsidR="00B424E7">
        <w:t xml:space="preserve"> </w:t>
      </w:r>
      <w:r w:rsidR="00314D2E">
        <w:t xml:space="preserve">Quant au </w:t>
      </w:r>
      <w:r w:rsidR="00F14014" w:rsidRPr="00043EA6">
        <w:rPr>
          <w:b/>
          <w:bCs/>
        </w:rPr>
        <w:t>contrôle des dépenses</w:t>
      </w:r>
      <w:r w:rsidR="00314D2E" w:rsidRPr="00043EA6">
        <w:rPr>
          <w:b/>
          <w:bCs/>
        </w:rPr>
        <w:t xml:space="preserve">, celui-ci est </w:t>
      </w:r>
      <w:r w:rsidR="00F14014" w:rsidRPr="00043EA6">
        <w:rPr>
          <w:b/>
          <w:bCs/>
        </w:rPr>
        <w:t>compliqué</w:t>
      </w:r>
      <w:r w:rsidR="00314D2E" w:rsidRPr="00043EA6">
        <w:rPr>
          <w:b/>
          <w:bCs/>
        </w:rPr>
        <w:t xml:space="preserve"> à effectuer</w:t>
      </w:r>
      <w:r w:rsidR="00F14014" w:rsidRPr="00043EA6">
        <w:rPr>
          <w:b/>
          <w:bCs/>
        </w:rPr>
        <w:t xml:space="preserve"> </w:t>
      </w:r>
      <w:r w:rsidR="00F14014">
        <w:t xml:space="preserve">dans un contexte d’augmentation des prix, de vieillissement de la population et d’accueil de réfugiés ukrainiens. </w:t>
      </w:r>
    </w:p>
    <w:p w14:paraId="170017DD" w14:textId="273801A8" w:rsidR="006C2ED1" w:rsidRDefault="00F14014" w:rsidP="00FE4A47">
      <w:pPr>
        <w:jc w:val="both"/>
        <w:rPr>
          <w:b/>
          <w:bCs/>
        </w:rPr>
      </w:pPr>
      <w:r w:rsidRPr="00F14014">
        <w:rPr>
          <w:b/>
          <w:bCs/>
        </w:rPr>
        <w:t xml:space="preserve">En juin 2023, la Commission Européenne a toutefois averti le pays que l'absence d’amélioration de la situation budgétaire pourrait conduire à la suspension des aides au titre du fonds de cohésion. </w:t>
      </w:r>
    </w:p>
    <w:p w14:paraId="2E2FE6D6" w14:textId="50F5C7DA" w:rsidR="00F14014" w:rsidRDefault="00F14014" w:rsidP="00FE4A47">
      <w:pPr>
        <w:jc w:val="both"/>
      </w:pPr>
      <w:r w:rsidRPr="00F14014">
        <w:t xml:space="preserve">La dette publique de la Roumanie est </w:t>
      </w:r>
      <w:r w:rsidRPr="00043EA6">
        <w:rPr>
          <w:b/>
          <w:bCs/>
        </w:rPr>
        <w:t>à nouveau orientée à la hausse depuis 2022</w:t>
      </w:r>
      <w:r w:rsidRPr="00F14014">
        <w:t xml:space="preserve"> et pourrait avoisiner </w:t>
      </w:r>
      <w:r w:rsidRPr="00043EA6">
        <w:rPr>
          <w:b/>
          <w:bCs/>
        </w:rPr>
        <w:t>50% du PIB en 2024</w:t>
      </w:r>
      <w:r w:rsidRPr="00F14014">
        <w:t xml:space="preserve">. </w:t>
      </w:r>
      <w:r>
        <w:t>Cependant, e</w:t>
      </w:r>
      <w:r w:rsidRPr="00F14014">
        <w:t xml:space="preserve">lle </w:t>
      </w:r>
      <w:r w:rsidRPr="00043EA6">
        <w:rPr>
          <w:b/>
          <w:bCs/>
        </w:rPr>
        <w:t>reste inférieure à la moyenne de l’UE</w:t>
      </w:r>
      <w:r w:rsidRPr="00F14014">
        <w:t xml:space="preserve"> (83% en 2023) et à celle de la majorité des pays de la zone.</w:t>
      </w:r>
    </w:p>
    <w:p w14:paraId="4B91EF8B" w14:textId="3C83F3F2" w:rsidR="00F064BB" w:rsidRDefault="00F14014" w:rsidP="00FE4A47">
      <w:pPr>
        <w:jc w:val="both"/>
      </w:pPr>
      <w:r>
        <w:t xml:space="preserve">Cette </w:t>
      </w:r>
      <w:r w:rsidR="00F064BB" w:rsidRPr="00043EA6">
        <w:rPr>
          <w:b/>
          <w:bCs/>
        </w:rPr>
        <w:t>dette est détenue à près de 60% par les résidents du pays</w:t>
      </w:r>
      <w:r w:rsidR="00F064BB">
        <w:t xml:space="preserve">, essentiellement à moyen-terme, et </w:t>
      </w:r>
      <w:r w:rsidR="00AE5321">
        <w:t>est libellé</w:t>
      </w:r>
      <w:r w:rsidR="00F064BB">
        <w:t xml:space="preserve"> presque exclusivement en euros. </w:t>
      </w:r>
    </w:p>
    <w:p w14:paraId="526413E9" w14:textId="02C7E832" w:rsidR="00F064BB" w:rsidRPr="00043EA6" w:rsidRDefault="00F064BB" w:rsidP="00FE4A47">
      <w:pPr>
        <w:jc w:val="both"/>
        <w:rPr>
          <w:b/>
          <w:bCs/>
        </w:rPr>
      </w:pPr>
      <w:r w:rsidRPr="00043EA6">
        <w:rPr>
          <w:b/>
          <w:bCs/>
        </w:rPr>
        <w:t>Selon la Commission Européenne, la Roumanie possède un niveau d’endettement qui présente des risques modérés à court-terme, comme à moyen-terme.</w:t>
      </w:r>
    </w:p>
    <w:p w14:paraId="1D0E881D" w14:textId="290E0297" w:rsidR="005A5631" w:rsidRDefault="00F064BB" w:rsidP="00FE4A47">
      <w:pPr>
        <w:jc w:val="both"/>
        <w:rPr>
          <w:lang w:val="fr-BE"/>
        </w:rPr>
      </w:pPr>
      <w:r>
        <w:rPr>
          <w:lang w:val="fr-BE"/>
        </w:rPr>
        <w:t>Quant à la position extérieure, </w:t>
      </w:r>
      <w:r w:rsidRPr="00043EA6">
        <w:rPr>
          <w:b/>
          <w:bCs/>
          <w:lang w:val="fr-BE"/>
        </w:rPr>
        <w:t>le solde courant s’est détérioré pour atteindre -9,3%</w:t>
      </w:r>
      <w:r>
        <w:rPr>
          <w:lang w:val="fr-BE"/>
        </w:rPr>
        <w:t xml:space="preserve"> </w:t>
      </w:r>
      <w:r w:rsidR="00FC57CD">
        <w:rPr>
          <w:lang w:val="fr-BE"/>
        </w:rPr>
        <w:t>en raison d’une hausse des</w:t>
      </w:r>
      <w:r w:rsidR="00036630">
        <w:rPr>
          <w:lang w:val="fr-BE"/>
        </w:rPr>
        <w:t xml:space="preserve"> coûts des</w:t>
      </w:r>
      <w:r w:rsidR="00FC57CD">
        <w:rPr>
          <w:lang w:val="fr-BE"/>
        </w:rPr>
        <w:t xml:space="preserve"> importations liée à la </w:t>
      </w:r>
      <w:r w:rsidR="00FC57CD" w:rsidRPr="00043EA6">
        <w:rPr>
          <w:b/>
          <w:bCs/>
          <w:lang w:val="fr-BE"/>
        </w:rPr>
        <w:t>conjoncture macroéconomique internationale</w:t>
      </w:r>
      <w:r w:rsidR="00677E24">
        <w:rPr>
          <w:b/>
          <w:bCs/>
          <w:lang w:val="fr-BE"/>
        </w:rPr>
        <w:t>, avec une inflation importée d</w:t>
      </w:r>
      <w:r w:rsidR="00A31D7D">
        <w:rPr>
          <w:b/>
          <w:bCs/>
          <w:lang w:val="fr-BE"/>
        </w:rPr>
        <w:t>’</w:t>
      </w:r>
      <w:r w:rsidR="00677E24">
        <w:rPr>
          <w:b/>
          <w:bCs/>
          <w:lang w:val="fr-BE"/>
        </w:rPr>
        <w:t>Allemagne et d’Italie avec qui la Roumanie entretient des liens importants</w:t>
      </w:r>
      <w:r w:rsidR="00043EA6" w:rsidRPr="00043EA6">
        <w:rPr>
          <w:b/>
          <w:bCs/>
          <w:lang w:val="fr-BE"/>
        </w:rPr>
        <w:t>. Cette situation devrait s’améliorer,</w:t>
      </w:r>
      <w:r w:rsidR="00043EA6">
        <w:rPr>
          <w:lang w:val="fr-BE"/>
        </w:rPr>
        <w:t xml:space="preserve"> d’abord à moyen terme grâce à la modération du prix des biens importés, et à plus long terme grâce à la baisse des importations de gaz impliqué par l’exploitation de </w:t>
      </w:r>
      <w:r w:rsidR="00043EA6">
        <w:rPr>
          <w:lang w:val="fr-BE"/>
        </w:rPr>
        <w:lastRenderedPageBreak/>
        <w:t xml:space="preserve">réserves près de la mer Noire. </w:t>
      </w:r>
      <w:r w:rsidR="00A31D7D">
        <w:rPr>
          <w:lang w:val="fr-BE"/>
        </w:rPr>
        <w:t>D’ailleurs s</w:t>
      </w:r>
      <w:r w:rsidR="00043EA6">
        <w:rPr>
          <w:lang w:val="fr-BE"/>
        </w:rPr>
        <w:t xml:space="preserve">ur ce segment, la Roumanie pourrait passer de dépendant à exportateur net.  </w:t>
      </w:r>
    </w:p>
    <w:p w14:paraId="35393411" w14:textId="05EC2A62" w:rsidR="00F81436" w:rsidRDefault="00F81436" w:rsidP="00FE4A47">
      <w:pPr>
        <w:jc w:val="both"/>
      </w:pPr>
      <w:r w:rsidRPr="00043EA6">
        <w:rPr>
          <w:b/>
          <w:bCs/>
        </w:rPr>
        <w:t>Le ratio de dette extérieure</w:t>
      </w:r>
      <w:r w:rsidR="00E6335F" w:rsidRPr="00043EA6">
        <w:rPr>
          <w:b/>
          <w:bCs/>
        </w:rPr>
        <w:t xml:space="preserve"> </w:t>
      </w:r>
      <w:r w:rsidRPr="00043EA6">
        <w:rPr>
          <w:b/>
          <w:bCs/>
        </w:rPr>
        <w:t>/ PIB devrait se stabiliser autour de 50 % du PIB.</w:t>
      </w:r>
      <w:r w:rsidRPr="00F81436">
        <w:t xml:space="preserve"> Cette dette est à 60% une dette publique, provenant notamment de fonds européens, limitant les risques de soutenabilité.</w:t>
      </w:r>
    </w:p>
    <w:p w14:paraId="5E31CA45" w14:textId="6EBB3825" w:rsidR="00E6335F" w:rsidRDefault="00E6335F" w:rsidP="00FE4A47">
      <w:pPr>
        <w:jc w:val="both"/>
        <w:rPr>
          <w:b/>
          <w:bCs/>
        </w:rPr>
      </w:pPr>
      <w:r w:rsidRPr="00043EA6">
        <w:rPr>
          <w:b/>
          <w:bCs/>
        </w:rPr>
        <w:t xml:space="preserve">Les réserves de change ont progressé d’environ 25% entre fin 2022 et octobre 2023, pour atteindre environ 60 </w:t>
      </w:r>
      <w:r w:rsidR="005A4DA9">
        <w:rPr>
          <w:b/>
          <w:bCs/>
        </w:rPr>
        <w:t>milliards de dollars</w:t>
      </w:r>
      <w:r w:rsidRPr="00043EA6">
        <w:rPr>
          <w:b/>
          <w:bCs/>
        </w:rPr>
        <w:t xml:space="preserve"> (</w:t>
      </w:r>
      <w:r w:rsidR="005A4DA9">
        <w:rPr>
          <w:b/>
          <w:bCs/>
        </w:rPr>
        <w:t xml:space="preserve">soit </w:t>
      </w:r>
      <w:r w:rsidRPr="00043EA6">
        <w:rPr>
          <w:b/>
          <w:bCs/>
        </w:rPr>
        <w:t xml:space="preserve">54,8 </w:t>
      </w:r>
      <w:r w:rsidR="005A4DA9">
        <w:rPr>
          <w:b/>
          <w:bCs/>
        </w:rPr>
        <w:t>milliards en euros</w:t>
      </w:r>
      <w:r w:rsidRPr="00043EA6">
        <w:rPr>
          <w:b/>
          <w:bCs/>
        </w:rPr>
        <w:t xml:space="preserve">), ce qui couvre environ 4 à 5 mois d’importation. </w:t>
      </w:r>
    </w:p>
    <w:p w14:paraId="7F442CB1" w14:textId="1F5C4C42" w:rsidR="00677E24" w:rsidRPr="00677E24" w:rsidRDefault="00677E24" w:rsidP="00FE4A47">
      <w:pPr>
        <w:jc w:val="both"/>
      </w:pPr>
      <w:r>
        <w:t>Quant à la politique monétaire, la</w:t>
      </w:r>
      <w:r w:rsidRPr="00677E24">
        <w:t xml:space="preserve"> NBR a progressivement relevé son taux directeur pour le porter à 7% en janvier 2023 (2% en janvier 2022) et l’a maintenu depuis cette date. L</w:t>
      </w:r>
      <w:r>
        <w:t>es décisions prochaines de la NBR seront dictées</w:t>
      </w:r>
      <w:r w:rsidRPr="00677E24">
        <w:t xml:space="preserve"> par l’évolution de la hausse des prix, de l’activité économique mais aussi par les décisions de la BCE et des autres banques centrales de la zone afin de limiter les écarts de taux qui impliqueraient des tensions sur la monnaie locale. </w:t>
      </w:r>
    </w:p>
    <w:p w14:paraId="4A0C5367" w14:textId="238A007B" w:rsidR="00AB30FE" w:rsidRPr="00043EA6" w:rsidRDefault="00E6335F" w:rsidP="00FE4A47">
      <w:pPr>
        <w:jc w:val="both"/>
        <w:rPr>
          <w:b/>
          <w:bCs/>
        </w:rPr>
      </w:pPr>
      <w:r w:rsidRPr="00043EA6">
        <w:rPr>
          <w:b/>
          <w:bCs/>
        </w:rPr>
        <w:t xml:space="preserve">Le gouvernement roumain a </w:t>
      </w:r>
      <w:r w:rsidR="00677E24">
        <w:rPr>
          <w:b/>
          <w:bCs/>
        </w:rPr>
        <w:t>o</w:t>
      </w:r>
      <w:r w:rsidRPr="00043EA6">
        <w:rPr>
          <w:b/>
          <w:bCs/>
        </w:rPr>
        <w:t>bjectif d’intégrer l</w:t>
      </w:r>
      <w:r w:rsidR="00677E24">
        <w:rPr>
          <w:b/>
          <w:bCs/>
        </w:rPr>
        <w:t xml:space="preserve">a zone </w:t>
      </w:r>
      <w:r w:rsidRPr="00043EA6">
        <w:rPr>
          <w:b/>
          <w:bCs/>
        </w:rPr>
        <w:t>euro en 2029</w:t>
      </w:r>
      <w:r w:rsidR="00677E24">
        <w:rPr>
          <w:b/>
          <w:bCs/>
        </w:rPr>
        <w:t>, ce qui semble peu probable</w:t>
      </w:r>
      <w:r w:rsidR="00B81B03">
        <w:rPr>
          <w:b/>
          <w:bCs/>
        </w:rPr>
        <w:t xml:space="preserve"> car, </w:t>
      </w:r>
      <w:r w:rsidR="00677E24">
        <w:rPr>
          <w:b/>
          <w:bCs/>
        </w:rPr>
        <w:t xml:space="preserve">en l’état </w:t>
      </w:r>
      <w:r w:rsidR="00B81B03">
        <w:rPr>
          <w:b/>
          <w:bCs/>
        </w:rPr>
        <w:t>la</w:t>
      </w:r>
      <w:r w:rsidR="00677E24" w:rsidRPr="00043EA6">
        <w:rPr>
          <w:b/>
          <w:bCs/>
        </w:rPr>
        <w:t xml:space="preserve"> Roumanie ne respecte</w:t>
      </w:r>
      <w:r w:rsidR="00677E24">
        <w:rPr>
          <w:b/>
          <w:bCs/>
        </w:rPr>
        <w:t>,</w:t>
      </w:r>
      <w:r w:rsidR="00677E24" w:rsidRPr="00043EA6">
        <w:rPr>
          <w:b/>
          <w:bCs/>
        </w:rPr>
        <w:t xml:space="preserve"> aucun des critères </w:t>
      </w:r>
      <w:r w:rsidR="00677E24">
        <w:rPr>
          <w:b/>
          <w:bCs/>
        </w:rPr>
        <w:t>fixés par le traité de Maastricht</w:t>
      </w:r>
      <w:r w:rsidR="00B81B03">
        <w:rPr>
          <w:b/>
          <w:bCs/>
        </w:rPr>
        <w:t>.</w:t>
      </w:r>
    </w:p>
    <w:p w14:paraId="65FABA9B" w14:textId="35B22A5E" w:rsidR="00314D2E" w:rsidRDefault="007B4D9F" w:rsidP="00FE4A47">
      <w:pPr>
        <w:jc w:val="both"/>
      </w:pPr>
      <w:r>
        <w:t xml:space="preserve">Dans le cadre du </w:t>
      </w:r>
      <w:r w:rsidRPr="00043EA6">
        <w:rPr>
          <w:b/>
          <w:bCs/>
        </w:rPr>
        <w:t>Plan National de Relance et de Résilience, le pays devrait percevoir jusqu’à 80 milliards d’euros de fonds européens sur la période 2021-2027, soit environ 33% de son PIB.</w:t>
      </w:r>
      <w:r>
        <w:t xml:space="preserve"> </w:t>
      </w:r>
    </w:p>
    <w:p w14:paraId="19079EE5" w14:textId="21326015" w:rsidR="00B81B03" w:rsidRDefault="00B81B03" w:rsidP="00FE4A47">
      <w:pPr>
        <w:jc w:val="both"/>
        <w:rPr>
          <w:b/>
          <w:bCs/>
        </w:rPr>
      </w:pPr>
      <w:r w:rsidRPr="00B81B03">
        <w:rPr>
          <w:b/>
          <w:bCs/>
        </w:rPr>
        <w:t>Le secteur bancaire roumain est de petite taille</w:t>
      </w:r>
      <w:r w:rsidRPr="00B81B03">
        <w:t>, comptant une trentaine d’établissements dont 19 avec un actionnariat étranger majoritaire</w:t>
      </w:r>
      <w:r w:rsidRPr="00B81B03">
        <w:rPr>
          <w:b/>
          <w:bCs/>
        </w:rPr>
        <w:t>. Près de 70% des actifs bancaires sont détenus par des institutions à capital étranger.</w:t>
      </w:r>
      <w:r w:rsidRPr="00B81B03">
        <w:t xml:space="preserve"> Le niveau </w:t>
      </w:r>
      <w:r w:rsidRPr="00B81B03">
        <w:rPr>
          <w:b/>
          <w:bCs/>
        </w:rPr>
        <w:t>de capitalisation est confortable</w:t>
      </w:r>
      <w:r w:rsidRPr="00B81B03">
        <w:t xml:space="preserve"> (plus de 23% à fin décembre) et </w:t>
      </w:r>
      <w:r w:rsidRPr="00B81B03">
        <w:rPr>
          <w:b/>
          <w:bCs/>
        </w:rPr>
        <w:t>relativement stable avec un ratio supérieur à la moyenne de l’UE</w:t>
      </w:r>
      <w:r w:rsidRPr="00B81B03">
        <w:t xml:space="preserve"> (19%). Le </w:t>
      </w:r>
      <w:r w:rsidRPr="00B81B03">
        <w:rPr>
          <w:b/>
          <w:bCs/>
        </w:rPr>
        <w:t>taux de NPL s’est fortement réduit pour atteindre moins de 3%</w:t>
      </w:r>
      <w:r w:rsidRPr="00B81B03">
        <w:t xml:space="preserve"> (plus de 20 % en 2014), mais reste plus élevé que la moyenne de l’UE (1,8%). </w:t>
      </w:r>
      <w:r w:rsidRPr="00B81B03">
        <w:rPr>
          <w:b/>
          <w:bCs/>
        </w:rPr>
        <w:t>Les banques roumaines sont exposées au risque souverain avec près de 22% de leurs actifs sous forme de titre de dette publique.</w:t>
      </w:r>
      <w:r>
        <w:rPr>
          <w:b/>
          <w:bCs/>
        </w:rPr>
        <w:t xml:space="preserve"> Aussi, les banques roumaines sont soumises aux directives de la BRRD. </w:t>
      </w:r>
    </w:p>
    <w:p w14:paraId="30A056FE" w14:textId="77777777" w:rsidR="00B81B03" w:rsidRDefault="00B81B03" w:rsidP="00FE4A47">
      <w:pPr>
        <w:jc w:val="both"/>
        <w:rPr>
          <w:b/>
          <w:bCs/>
        </w:rPr>
      </w:pPr>
    </w:p>
    <w:p w14:paraId="45EDAA0F" w14:textId="41FD233B" w:rsidR="00BB2D32" w:rsidRDefault="00AB30FE" w:rsidP="00FE4A47">
      <w:pPr>
        <w:jc w:val="both"/>
        <w:rPr>
          <w:b/>
          <w:bCs/>
        </w:rPr>
      </w:pPr>
      <w:r w:rsidRPr="0022382D">
        <w:rPr>
          <w:b/>
          <w:bCs/>
          <w:highlight w:val="lightGray"/>
          <w:lang w:val="fr-BE"/>
        </w:rPr>
        <w:t>Conclusion :</w:t>
      </w:r>
      <w:r w:rsidR="00824697" w:rsidRPr="0022382D">
        <w:rPr>
          <w:b/>
          <w:bCs/>
          <w:highlight w:val="lightGray"/>
          <w:lang w:val="fr-BE"/>
        </w:rPr>
        <w:t xml:space="preserve"> Les crises </w:t>
      </w:r>
      <w:r w:rsidR="00D81DB1" w:rsidRPr="0022382D">
        <w:rPr>
          <w:b/>
          <w:bCs/>
          <w:highlight w:val="lightGray"/>
          <w:lang w:val="fr-BE"/>
        </w:rPr>
        <w:t>successives</w:t>
      </w:r>
      <w:r w:rsidR="00FB7CC7" w:rsidRPr="0022382D">
        <w:rPr>
          <w:b/>
          <w:bCs/>
          <w:highlight w:val="lightGray"/>
          <w:lang w:val="fr-BE"/>
        </w:rPr>
        <w:t xml:space="preserve"> récentes</w:t>
      </w:r>
      <w:r w:rsidR="00D81DB1" w:rsidRPr="0022382D">
        <w:rPr>
          <w:b/>
          <w:bCs/>
          <w:highlight w:val="lightGray"/>
          <w:lang w:val="fr-BE"/>
        </w:rPr>
        <w:t xml:space="preserve"> (</w:t>
      </w:r>
      <w:r w:rsidR="00824697" w:rsidRPr="0022382D">
        <w:rPr>
          <w:b/>
          <w:bCs/>
          <w:highlight w:val="lightGray"/>
          <w:lang w:val="fr-BE"/>
        </w:rPr>
        <w:t>COVID, invasion de l’Ukraine) o</w:t>
      </w:r>
      <w:r w:rsidR="00EC1560" w:rsidRPr="0022382D">
        <w:rPr>
          <w:b/>
          <w:bCs/>
          <w:highlight w:val="lightGray"/>
          <w:lang w:val="fr-BE"/>
        </w:rPr>
        <w:t>nt fortement éprouvé</w:t>
      </w:r>
      <w:r w:rsidR="00824697" w:rsidRPr="0022382D">
        <w:rPr>
          <w:b/>
          <w:bCs/>
          <w:highlight w:val="lightGray"/>
          <w:lang w:val="fr-BE"/>
        </w:rPr>
        <w:t xml:space="preserve"> </w:t>
      </w:r>
      <w:r w:rsidR="00EC1560" w:rsidRPr="0022382D">
        <w:rPr>
          <w:b/>
          <w:bCs/>
          <w:highlight w:val="lightGray"/>
          <w:lang w:val="fr-BE"/>
        </w:rPr>
        <w:t>la R</w:t>
      </w:r>
      <w:r w:rsidR="00824697" w:rsidRPr="0022382D">
        <w:rPr>
          <w:b/>
          <w:bCs/>
          <w:highlight w:val="lightGray"/>
          <w:lang w:val="fr-BE"/>
        </w:rPr>
        <w:t>ouma</w:t>
      </w:r>
      <w:r w:rsidR="00EC1560" w:rsidRPr="0022382D">
        <w:rPr>
          <w:b/>
          <w:bCs/>
          <w:highlight w:val="lightGray"/>
          <w:lang w:val="fr-BE"/>
        </w:rPr>
        <w:t>ni</w:t>
      </w:r>
      <w:r w:rsidR="00824697" w:rsidRPr="0022382D">
        <w:rPr>
          <w:b/>
          <w:bCs/>
          <w:highlight w:val="lightGray"/>
          <w:lang w:val="fr-BE"/>
        </w:rPr>
        <w:t>e</w:t>
      </w:r>
      <w:r w:rsidR="00D81DB1" w:rsidRPr="0022382D">
        <w:rPr>
          <w:b/>
          <w:bCs/>
          <w:highlight w:val="lightGray"/>
          <w:lang w:val="fr-BE"/>
        </w:rPr>
        <w:t>. L</w:t>
      </w:r>
      <w:r w:rsidR="00EC1560" w:rsidRPr="0022382D">
        <w:rPr>
          <w:b/>
          <w:bCs/>
          <w:highlight w:val="lightGray"/>
          <w:lang w:val="fr-BE"/>
        </w:rPr>
        <w:t xml:space="preserve">es années à venir seront </w:t>
      </w:r>
      <w:r w:rsidR="00D81DB1" w:rsidRPr="0022382D">
        <w:rPr>
          <w:b/>
          <w:bCs/>
          <w:highlight w:val="lightGray"/>
          <w:lang w:val="fr-BE"/>
        </w:rPr>
        <w:t>décisives</w:t>
      </w:r>
      <w:r w:rsidR="00EC1560" w:rsidRPr="0022382D">
        <w:rPr>
          <w:b/>
          <w:bCs/>
          <w:highlight w:val="lightGray"/>
          <w:lang w:val="fr-BE"/>
        </w:rPr>
        <w:t xml:space="preserve"> pour analyser la résilience</w:t>
      </w:r>
      <w:r w:rsidR="0022382D" w:rsidRPr="0022382D">
        <w:rPr>
          <w:b/>
          <w:bCs/>
          <w:highlight w:val="lightGray"/>
          <w:lang w:val="fr-BE"/>
        </w:rPr>
        <w:t xml:space="preserve"> réelle</w:t>
      </w:r>
      <w:r w:rsidR="00EC1560" w:rsidRPr="0022382D">
        <w:rPr>
          <w:b/>
          <w:bCs/>
          <w:highlight w:val="lightGray"/>
          <w:lang w:val="fr-BE"/>
        </w:rPr>
        <w:t xml:space="preserve"> de son économie. Son intégration croissante </w:t>
      </w:r>
      <w:r w:rsidR="00FB7CC7" w:rsidRPr="0022382D">
        <w:rPr>
          <w:b/>
          <w:bCs/>
          <w:highlight w:val="lightGray"/>
          <w:lang w:val="fr-BE"/>
        </w:rPr>
        <w:t>au sein de</w:t>
      </w:r>
      <w:r w:rsidR="00EC1560" w:rsidRPr="0022382D">
        <w:rPr>
          <w:b/>
          <w:bCs/>
          <w:highlight w:val="lightGray"/>
          <w:lang w:val="fr-BE"/>
        </w:rPr>
        <w:t xml:space="preserve"> l’écosystème de l’Union Européenne, son marché intérieur </w:t>
      </w:r>
      <w:r w:rsidR="00D81DB1" w:rsidRPr="0022382D">
        <w:rPr>
          <w:b/>
          <w:bCs/>
          <w:highlight w:val="lightGray"/>
          <w:lang w:val="fr-BE"/>
        </w:rPr>
        <w:t>conséquent</w:t>
      </w:r>
      <w:r w:rsidR="00EC1560" w:rsidRPr="0022382D">
        <w:rPr>
          <w:b/>
          <w:bCs/>
          <w:highlight w:val="lightGray"/>
          <w:lang w:val="fr-BE"/>
        </w:rPr>
        <w:t xml:space="preserve"> et son indépendance énergétique sont autant d’éléments qui </w:t>
      </w:r>
      <w:r w:rsidR="00D81DB1" w:rsidRPr="0022382D">
        <w:rPr>
          <w:b/>
          <w:bCs/>
          <w:highlight w:val="lightGray"/>
          <w:lang w:val="fr-BE"/>
        </w:rPr>
        <w:t xml:space="preserve">représentent des motifs d’espoir. </w:t>
      </w:r>
      <w:r w:rsidR="00FB7CC7" w:rsidRPr="0022382D">
        <w:rPr>
          <w:b/>
          <w:bCs/>
          <w:highlight w:val="lightGray"/>
          <w:lang w:val="fr-BE"/>
        </w:rPr>
        <w:t>Cependant, des doutes subsistent</w:t>
      </w:r>
      <w:r w:rsidR="00D81DB1" w:rsidRPr="0022382D">
        <w:rPr>
          <w:b/>
          <w:bCs/>
          <w:highlight w:val="lightGray"/>
          <w:lang w:val="fr-BE"/>
        </w:rPr>
        <w:t xml:space="preserve"> </w:t>
      </w:r>
      <w:r w:rsidR="0036509C">
        <w:rPr>
          <w:b/>
          <w:bCs/>
          <w:highlight w:val="lightGray"/>
          <w:lang w:val="fr-BE"/>
        </w:rPr>
        <w:t>quant à</w:t>
      </w:r>
      <w:r w:rsidR="00D81DB1" w:rsidRPr="0022382D">
        <w:rPr>
          <w:b/>
          <w:bCs/>
          <w:highlight w:val="lightGray"/>
          <w:lang w:val="fr-BE"/>
        </w:rPr>
        <w:t xml:space="preserve"> sa capacité à relever </w:t>
      </w:r>
      <w:r w:rsidR="00FB7CC7" w:rsidRPr="0022382D">
        <w:rPr>
          <w:b/>
          <w:bCs/>
          <w:highlight w:val="lightGray"/>
          <w:lang w:val="fr-BE"/>
        </w:rPr>
        <w:t>l</w:t>
      </w:r>
      <w:r w:rsidR="00D81DB1" w:rsidRPr="0022382D">
        <w:rPr>
          <w:b/>
          <w:bCs/>
          <w:highlight w:val="lightGray"/>
          <w:lang w:val="fr-BE"/>
        </w:rPr>
        <w:t xml:space="preserve">es défis </w:t>
      </w:r>
      <w:r w:rsidR="00FB7CC7" w:rsidRPr="0022382D">
        <w:rPr>
          <w:b/>
          <w:bCs/>
          <w:highlight w:val="lightGray"/>
          <w:lang w:val="fr-BE"/>
        </w:rPr>
        <w:t xml:space="preserve">majeurs </w:t>
      </w:r>
      <w:r w:rsidR="00D81DB1" w:rsidRPr="0022382D">
        <w:rPr>
          <w:b/>
          <w:bCs/>
          <w:highlight w:val="lightGray"/>
          <w:lang w:val="fr-BE"/>
        </w:rPr>
        <w:t>qui s’annoncent</w:t>
      </w:r>
      <w:r w:rsidR="0022382D">
        <w:rPr>
          <w:b/>
          <w:bCs/>
          <w:highlight w:val="lightGray"/>
          <w:lang w:val="fr-BE"/>
        </w:rPr>
        <w:t>. Parmi ceux-là</w:t>
      </w:r>
      <w:r w:rsidR="00B81B03">
        <w:rPr>
          <w:b/>
          <w:bCs/>
          <w:highlight w:val="lightGray"/>
          <w:lang w:val="fr-BE"/>
        </w:rPr>
        <w:t xml:space="preserve">, </w:t>
      </w:r>
      <w:r w:rsidR="00D81DB1" w:rsidRPr="0022382D">
        <w:rPr>
          <w:b/>
          <w:bCs/>
          <w:highlight w:val="lightGray"/>
          <w:lang w:val="fr-BE"/>
        </w:rPr>
        <w:t xml:space="preserve">la lutte contre </w:t>
      </w:r>
      <w:r w:rsidR="00FB7CC7" w:rsidRPr="0022382D">
        <w:rPr>
          <w:b/>
          <w:bCs/>
          <w:highlight w:val="lightGray"/>
          <w:lang w:val="fr-BE"/>
        </w:rPr>
        <w:t>une</w:t>
      </w:r>
      <w:r w:rsidR="00D81DB1" w:rsidRPr="0022382D">
        <w:rPr>
          <w:b/>
          <w:bCs/>
          <w:highlight w:val="lightGray"/>
          <w:lang w:val="fr-BE"/>
        </w:rPr>
        <w:t xml:space="preserve"> corruption</w:t>
      </w:r>
      <w:r w:rsidR="00FB7CC7" w:rsidRPr="0022382D">
        <w:rPr>
          <w:b/>
          <w:bCs/>
          <w:highlight w:val="lightGray"/>
          <w:lang w:val="fr-BE"/>
        </w:rPr>
        <w:t xml:space="preserve"> qui </w:t>
      </w:r>
      <w:r w:rsidR="0036509C">
        <w:rPr>
          <w:b/>
          <w:bCs/>
          <w:highlight w:val="lightGray"/>
          <w:lang w:val="fr-BE"/>
        </w:rPr>
        <w:t xml:space="preserve">y </w:t>
      </w:r>
      <w:r w:rsidR="00FB7CC7" w:rsidRPr="0022382D">
        <w:rPr>
          <w:b/>
          <w:bCs/>
          <w:highlight w:val="lightGray"/>
          <w:lang w:val="fr-BE"/>
        </w:rPr>
        <w:t>est endémique</w:t>
      </w:r>
      <w:r w:rsidR="0036509C">
        <w:rPr>
          <w:b/>
          <w:bCs/>
          <w:highlight w:val="lightGray"/>
          <w:lang w:val="fr-BE"/>
        </w:rPr>
        <w:t xml:space="preserve">, </w:t>
      </w:r>
      <w:r w:rsidR="00B81B03">
        <w:rPr>
          <w:b/>
          <w:bCs/>
          <w:highlight w:val="lightGray"/>
          <w:lang w:val="fr-BE"/>
        </w:rPr>
        <w:t xml:space="preserve">en effet </w:t>
      </w:r>
      <w:r w:rsidR="00FB7CC7" w:rsidRPr="0022382D">
        <w:rPr>
          <w:b/>
          <w:bCs/>
          <w:highlight w:val="lightGray"/>
          <w:lang w:val="fr-BE"/>
        </w:rPr>
        <w:t>le pays est au 63</w:t>
      </w:r>
      <w:r w:rsidR="00FB7CC7" w:rsidRPr="0022382D">
        <w:rPr>
          <w:b/>
          <w:bCs/>
          <w:highlight w:val="lightGray"/>
          <w:vertAlign w:val="superscript"/>
          <w:lang w:val="fr-BE"/>
        </w:rPr>
        <w:t>ème</w:t>
      </w:r>
      <w:r w:rsidR="00FB7CC7" w:rsidRPr="0022382D">
        <w:rPr>
          <w:b/>
          <w:bCs/>
          <w:highlight w:val="lightGray"/>
          <w:lang w:val="fr-BE"/>
        </w:rPr>
        <w:t xml:space="preserve"> rang du classement de l’indice de perception de la corruption, soit la deuxième pire performance parmi les pays de l’Union</w:t>
      </w:r>
      <w:r w:rsidR="0036509C">
        <w:rPr>
          <w:b/>
          <w:bCs/>
          <w:highlight w:val="lightGray"/>
          <w:lang w:val="fr-BE"/>
        </w:rPr>
        <w:t>,</w:t>
      </w:r>
      <w:r w:rsidR="00FB7CC7" w:rsidRPr="0022382D">
        <w:rPr>
          <w:b/>
          <w:bCs/>
          <w:highlight w:val="lightGray"/>
          <w:lang w:val="fr-BE"/>
        </w:rPr>
        <w:t xml:space="preserve"> </w:t>
      </w:r>
      <w:r w:rsidR="00D81DB1" w:rsidRPr="0022382D">
        <w:rPr>
          <w:b/>
          <w:bCs/>
          <w:highlight w:val="lightGray"/>
          <w:lang w:val="fr-BE"/>
        </w:rPr>
        <w:t xml:space="preserve">et </w:t>
      </w:r>
      <w:r w:rsidR="0081788C">
        <w:rPr>
          <w:b/>
          <w:bCs/>
          <w:highlight w:val="lightGray"/>
          <w:lang w:val="fr-BE"/>
        </w:rPr>
        <w:t>le</w:t>
      </w:r>
      <w:r w:rsidR="00D81DB1" w:rsidRPr="0022382D">
        <w:rPr>
          <w:b/>
          <w:bCs/>
          <w:highlight w:val="lightGray"/>
          <w:lang w:val="fr-BE"/>
        </w:rPr>
        <w:t xml:space="preserve"> déclin démographique</w:t>
      </w:r>
      <w:r w:rsidR="0022382D">
        <w:rPr>
          <w:b/>
          <w:bCs/>
          <w:highlight w:val="lightGray"/>
          <w:lang w:val="fr-BE"/>
        </w:rPr>
        <w:t xml:space="preserve"> expliqué par un faible taux de natalité </w:t>
      </w:r>
      <w:r w:rsidR="0036509C">
        <w:rPr>
          <w:b/>
          <w:bCs/>
          <w:highlight w:val="lightGray"/>
          <w:lang w:val="fr-BE"/>
        </w:rPr>
        <w:t>et une émigration importante</w:t>
      </w:r>
      <w:r w:rsidR="00D81DB1" w:rsidRPr="0022382D">
        <w:rPr>
          <w:b/>
          <w:bCs/>
          <w:highlight w:val="lightGray"/>
          <w:lang w:val="fr-BE"/>
        </w:rPr>
        <w:t>.</w:t>
      </w:r>
      <w:r w:rsidR="00FB7CC7" w:rsidRPr="0022382D">
        <w:rPr>
          <w:b/>
          <w:bCs/>
          <w:highlight w:val="lightGray"/>
          <w:lang w:val="fr-BE"/>
        </w:rPr>
        <w:t xml:space="preserve"> </w:t>
      </w:r>
      <w:r w:rsidR="0036509C">
        <w:rPr>
          <w:b/>
          <w:bCs/>
          <w:highlight w:val="lightGray"/>
          <w:lang w:val="fr-BE"/>
        </w:rPr>
        <w:t>En cette</w:t>
      </w:r>
      <w:r w:rsidR="0022382D" w:rsidRPr="0022382D">
        <w:rPr>
          <w:b/>
          <w:bCs/>
          <w:highlight w:val="lightGray"/>
          <w:lang w:val="fr-BE"/>
        </w:rPr>
        <w:t xml:space="preserve"> « super-année électorale », il </w:t>
      </w:r>
      <w:r w:rsidR="0036509C">
        <w:rPr>
          <w:b/>
          <w:bCs/>
          <w:highlight w:val="lightGray"/>
          <w:lang w:val="fr-BE"/>
        </w:rPr>
        <w:t>serait judicieux</w:t>
      </w:r>
      <w:r w:rsidR="0022382D" w:rsidRPr="0022382D">
        <w:rPr>
          <w:b/>
          <w:bCs/>
          <w:highlight w:val="lightGray"/>
          <w:lang w:val="fr-BE"/>
        </w:rPr>
        <w:t xml:space="preserve"> de connaître les </w:t>
      </w:r>
      <w:r w:rsidR="0036509C">
        <w:rPr>
          <w:b/>
          <w:bCs/>
          <w:highlight w:val="lightGray"/>
          <w:lang w:val="fr-BE"/>
        </w:rPr>
        <w:t>propositions</w:t>
      </w:r>
      <w:r w:rsidR="0022382D">
        <w:rPr>
          <w:b/>
          <w:bCs/>
          <w:highlight w:val="lightGray"/>
          <w:lang w:val="fr-BE"/>
        </w:rPr>
        <w:t xml:space="preserve"> </w:t>
      </w:r>
      <w:r w:rsidR="0022382D" w:rsidRPr="0022382D">
        <w:rPr>
          <w:b/>
          <w:bCs/>
          <w:highlight w:val="lightGray"/>
          <w:lang w:val="fr-BE"/>
        </w:rPr>
        <w:t xml:space="preserve">de </w:t>
      </w:r>
      <w:r w:rsidR="0036509C">
        <w:rPr>
          <w:b/>
          <w:bCs/>
          <w:highlight w:val="lightGray"/>
          <w:lang w:val="fr-BE"/>
        </w:rPr>
        <w:t>chacun des acteurs politiques</w:t>
      </w:r>
      <w:r w:rsidR="0022382D" w:rsidRPr="0022382D">
        <w:rPr>
          <w:b/>
          <w:bCs/>
          <w:highlight w:val="lightGray"/>
          <w:lang w:val="fr-BE"/>
        </w:rPr>
        <w:t xml:space="preserve"> </w:t>
      </w:r>
      <w:r w:rsidR="0022382D">
        <w:rPr>
          <w:b/>
          <w:bCs/>
          <w:highlight w:val="lightGray"/>
          <w:lang w:val="fr-BE"/>
        </w:rPr>
        <w:t xml:space="preserve">pour </w:t>
      </w:r>
      <w:r w:rsidR="0036509C">
        <w:rPr>
          <w:b/>
          <w:bCs/>
          <w:highlight w:val="lightGray"/>
          <w:lang w:val="fr-BE"/>
        </w:rPr>
        <w:t xml:space="preserve">apporter des réponses </w:t>
      </w:r>
      <w:r w:rsidR="0022382D">
        <w:rPr>
          <w:b/>
          <w:bCs/>
          <w:highlight w:val="lightGray"/>
          <w:lang w:val="fr-BE"/>
        </w:rPr>
        <w:t>à</w:t>
      </w:r>
      <w:r w:rsidR="0022382D" w:rsidRPr="0022382D">
        <w:rPr>
          <w:b/>
          <w:bCs/>
          <w:highlight w:val="lightGray"/>
          <w:lang w:val="fr-BE"/>
        </w:rPr>
        <w:t xml:space="preserve"> ces deux problématiques</w:t>
      </w:r>
      <w:r w:rsidR="0022382D">
        <w:rPr>
          <w:b/>
          <w:bCs/>
          <w:highlight w:val="lightGray"/>
          <w:lang w:val="fr-BE"/>
        </w:rPr>
        <w:t xml:space="preserve"> qui semblent </w:t>
      </w:r>
      <w:r w:rsidR="0036509C">
        <w:rPr>
          <w:b/>
          <w:bCs/>
          <w:highlight w:val="lightGray"/>
          <w:lang w:val="fr-BE"/>
        </w:rPr>
        <w:t>incontournables dans l</w:t>
      </w:r>
      <w:r w:rsidR="00B81B03">
        <w:rPr>
          <w:b/>
          <w:bCs/>
          <w:highlight w:val="lightGray"/>
          <w:lang w:val="fr-BE"/>
        </w:rPr>
        <w:t xml:space="preserve">’hypothèse </w:t>
      </w:r>
      <w:r w:rsidR="0036509C">
        <w:rPr>
          <w:b/>
          <w:bCs/>
          <w:highlight w:val="lightGray"/>
          <w:lang w:val="fr-BE"/>
        </w:rPr>
        <w:t xml:space="preserve">d’un essor de l’économie roumaine. </w:t>
      </w:r>
    </w:p>
    <w:p w14:paraId="7A6B9060" w14:textId="77777777" w:rsidR="00A31D7D" w:rsidRPr="00A31D7D" w:rsidRDefault="00A31D7D" w:rsidP="00FE4A47">
      <w:pPr>
        <w:jc w:val="both"/>
        <w:rPr>
          <w:b/>
          <w:bCs/>
        </w:rPr>
      </w:pPr>
    </w:p>
    <w:p w14:paraId="5356E078" w14:textId="7B9D44B3" w:rsidR="00AB30FE" w:rsidRPr="00AB30FE" w:rsidRDefault="00AB30FE" w:rsidP="00AB30FE">
      <w:pPr>
        <w:jc w:val="right"/>
        <w:rPr>
          <w:i/>
          <w:iCs/>
        </w:rPr>
      </w:pPr>
      <w:r w:rsidRPr="00AB30FE">
        <w:rPr>
          <w:i/>
          <w:iCs/>
        </w:rPr>
        <w:t xml:space="preserve">Rédigé le </w:t>
      </w:r>
      <w:r w:rsidR="00C9110D">
        <w:rPr>
          <w:i/>
          <w:iCs/>
        </w:rPr>
        <w:t>30</w:t>
      </w:r>
      <w:r w:rsidRPr="00AB30FE">
        <w:rPr>
          <w:i/>
          <w:iCs/>
        </w:rPr>
        <w:t xml:space="preserve"> mai 2024</w:t>
      </w:r>
    </w:p>
    <w:sectPr w:rsidR="00AB30FE" w:rsidRPr="00AB30F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2D700AE6" w:rsidR="00AB30FE" w:rsidRDefault="00AB30FE">
    <w:pPr>
      <w:pStyle w:val="Header"/>
    </w:pPr>
    <w:r>
      <w:rPr>
        <w:noProof/>
      </w:rPr>
      <w:drawing>
        <wp:inline distT="0" distB="0" distL="0" distR="0" wp14:anchorId="7F5613C4" wp14:editId="4FEC785D">
          <wp:extent cx="429768" cy="283464"/>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29768" cy="28346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36630"/>
    <w:rsid w:val="00043EA6"/>
    <w:rsid w:val="00124387"/>
    <w:rsid w:val="001E3459"/>
    <w:rsid w:val="0022382D"/>
    <w:rsid w:val="00240913"/>
    <w:rsid w:val="002A47EE"/>
    <w:rsid w:val="002D0290"/>
    <w:rsid w:val="00314D2E"/>
    <w:rsid w:val="003322FD"/>
    <w:rsid w:val="0033600F"/>
    <w:rsid w:val="0036509C"/>
    <w:rsid w:val="00506F85"/>
    <w:rsid w:val="00537CD8"/>
    <w:rsid w:val="00593C5A"/>
    <w:rsid w:val="005A4DA9"/>
    <w:rsid w:val="005A5631"/>
    <w:rsid w:val="005B27AF"/>
    <w:rsid w:val="0060735C"/>
    <w:rsid w:val="00662A00"/>
    <w:rsid w:val="00677E24"/>
    <w:rsid w:val="0069574D"/>
    <w:rsid w:val="006C2ED1"/>
    <w:rsid w:val="006F3365"/>
    <w:rsid w:val="0076587B"/>
    <w:rsid w:val="007B4D9F"/>
    <w:rsid w:val="0081788C"/>
    <w:rsid w:val="00824697"/>
    <w:rsid w:val="008B2348"/>
    <w:rsid w:val="008D4304"/>
    <w:rsid w:val="009827F8"/>
    <w:rsid w:val="00A31D7D"/>
    <w:rsid w:val="00A6733E"/>
    <w:rsid w:val="00AB30FE"/>
    <w:rsid w:val="00AE5321"/>
    <w:rsid w:val="00B23986"/>
    <w:rsid w:val="00B424E7"/>
    <w:rsid w:val="00B43B01"/>
    <w:rsid w:val="00B81B03"/>
    <w:rsid w:val="00BB2D32"/>
    <w:rsid w:val="00BD7EC9"/>
    <w:rsid w:val="00C71EC2"/>
    <w:rsid w:val="00C81BBF"/>
    <w:rsid w:val="00C9110D"/>
    <w:rsid w:val="00C94FA3"/>
    <w:rsid w:val="00CB6A35"/>
    <w:rsid w:val="00CD0561"/>
    <w:rsid w:val="00D81DB1"/>
    <w:rsid w:val="00DB504D"/>
    <w:rsid w:val="00E3792E"/>
    <w:rsid w:val="00E461CE"/>
    <w:rsid w:val="00E6335F"/>
    <w:rsid w:val="00EC1560"/>
    <w:rsid w:val="00EC51C4"/>
    <w:rsid w:val="00EE137B"/>
    <w:rsid w:val="00F064BB"/>
    <w:rsid w:val="00F14014"/>
    <w:rsid w:val="00F65993"/>
    <w:rsid w:val="00F81436"/>
    <w:rsid w:val="00F9337A"/>
    <w:rsid w:val="00FB1B23"/>
    <w:rsid w:val="00FB7CC7"/>
    <w:rsid w:val="00FC57CD"/>
    <w:rsid w:val="00FE4A4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3</Pages>
  <Words>1359</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17</cp:revision>
  <dcterms:created xsi:type="dcterms:W3CDTF">2024-05-27T07:45:00Z</dcterms:created>
  <dcterms:modified xsi:type="dcterms:W3CDTF">2024-06-11T15:17:00Z</dcterms:modified>
</cp:coreProperties>
</file>