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m</w:t>
      </w:r>
      <w:r>
        <w:rPr>
          <w:b/>
          <w:color w:val="000000"/>
        </w:rPr>
        <w:t xml:space="preserve"> », </w:t>
      </w:r>
      <w:r>
        <w:rPr>
          <w:b/>
        </w:rPr>
        <w:t>demeurant(e)</w:t>
      </w:r>
      <w:r>
        <w:t xml:space="preserve"> à «p»,titulaire de la CIN N°</w:t>
      </w:r>
      <w:r>
        <w:rPr>
          <w:b/>
        </w:rPr>
        <w:t xml:space="preserve">q</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