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نعم</w:t>
      </w:r>
      <w:r>
        <w:rPr>
          <w:b/>
          <w:color w:val="000000"/>
        </w:rPr>
        <w:t xml:space="preserve"> », </w:t>
      </w:r>
      <w:r>
        <w:rPr>
          <w:b/>
        </w:rPr>
        <w:t>demeurant(e)</w:t>
      </w:r>
      <w:r>
        <w:t xml:space="preserve"> à «نعم»,titulaire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