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Youssef Bedoui </w:t>
      </w:r>
      <w:r>
        <w:rPr>
          <w:b/>
          <w:color w:val="000000"/>
        </w:rPr>
        <w:t xml:space="preserve"> », </w:t>
      </w:r>
      <w:r>
        <w:rPr>
          <w:b/>
        </w:rPr>
        <w:t>demeurant(e)</w:t>
      </w:r>
      <w:r>
        <w:t xml:space="preserve"> à «06/10/1998»,titulaire de la CIN N°</w:t>
      </w:r>
      <w:r>
        <w:rPr>
          <w:b/>
        </w:rPr>
        <w:t xml:space="preserve">undefined</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