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oui</w:t>
      </w:r>
      <w:r>
        <w:rPr>
          <w:b/>
          <w:color w:val="000000"/>
        </w:rPr>
        <w:t xml:space="preserve"> », </w:t>
      </w:r>
      <w:r>
        <w:rPr>
          <w:b/>
        </w:rPr>
        <w:t>demeurant(e)</w:t>
      </w:r>
      <w:r>
        <w:t xml:space="preserve"> à «logement»,titulaire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