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w:r>
      <w:r>
        <w:rPr>
          <w:b/>
          <w:color w:val="000000"/>
        </w:rPr>
        <w:t xml:space="preserve"> », </w:t>
      </w:r>
      <w:r>
        <w:rPr>
          <w:b/>
        </w:rPr>
        <w:t>demeurant(e)</w:t>
      </w:r>
      <w:r>
        <w:t xml:space="preserve"> à «Test »,titulaire de la CIN N°</w:t>
      </w:r>
      <w:r>
        <w:rPr>
          <w:b/>
        </w:rPr>
        <w:t xml:space="preserve">Tsemme</w:t>
      </w:r>
      <w:r w:rsidR="00D82A21">
        <w:rPr>
          <w:b/>
        </w:rPr>
        <w:t/>
      </w:r>
      <w:r>
        <w:rPr>
          <w:b/>
        </w:rPr>
        <w:t/>
      </w:r>
      <w:r>
        <w:rPr>
          <w:color w:val="000000"/>
        </w:rPr>
        <w:t xml:space="preserve">, </w:t>
      </w:r>
      <w:r>
        <w:t xml:space="preserve">délivrée le Cjtkoy</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