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إتمامه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شأنه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التصرف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بمقتضى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الشراكة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اقتضى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highlight w:val="white"/>
          <w:rtl w:val="1"/>
        </w:rPr>
        <w:t xml:space="preserve"> 4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تلتزم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المستفيدة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بدورها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ومقابل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شراكتها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المساندة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المذكورة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أعلاه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لتوفير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مقابل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مساندتها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1"/>
        </w:rPr>
        <w:t xml:space="preserve">: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40" w:line="455.99999999999994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حرر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بتاريخ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1"/>
        </w:rPr>
        <w:t xml:space="preserve"> undefined.</w:t>
      </w:r>
    </w:p>
    <w:p w:rsidR="00000000" w:rsidDel="00000000" w:rsidP="00000000" w:rsidRDefault="00000000" w:rsidRPr="00000000" w14:paraId="00000004">
      <w:pPr>
        <w:shd w:fill="ffffff" w:val="clear"/>
        <w:bidi w:val="1"/>
        <w:spacing w:line="523.6363636363636" w:lineRule="auto"/>
        <w:ind w:right="1092.9921259842524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ab/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إمضاء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المساندة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