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الفصل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 15 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يكتسب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العقد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نفاذه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القانوني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ابتداء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تاريخ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التأشير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الوكالة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الوطنية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للتشغيل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والعمل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المستقل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02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highlight w:val="white"/>
          <w:rtl w:val="1"/>
        </w:rPr>
        <w:t xml:space="preserve">حرر</w:t>
      </w: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highlight w:val="white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highlight w:val="white"/>
          <w:rtl w:val="1"/>
        </w:rPr>
        <w:t xml:space="preserve">بتاريخ</w:t>
      </w: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highlight w:val="white"/>
          <w:rtl w:val="1"/>
        </w:rPr>
        <w:t xml:space="preserve"> 29/11/2022.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إمضاء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وختم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المؤجرة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إمضاء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المنتفع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06">
      <w:pPr>
        <w:bidi w:val="1"/>
        <w:ind w:right="526.0629921259857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ind w:left="566.9291338582684" w:right="526.0629921259857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ind w:left="2726.9291338582684" w:right="526.0629921259857" w:firstLine="153.07086614173159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تأشيرة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الوكالة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الوطنية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للتشغيل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والعمل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1"/>
        </w:rPr>
        <w:t xml:space="preserve">المستقل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