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maximale de 12 mois, et ce, suite à une demande déposée par l'entreprise après du bureau de l'emploi et du travail indépendant territorialement compétent, dans un délai maximal de 30 jours à compter de la date fin du présent contrat.</w:t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ARTICLE 17: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L'entreprise bénéficie au titre des recrues parmi ses bénéficiaires dans le cadre de CIVP titulaires d'un diplôme de l'enseignement supérieur ou titulaire d'un BTS, en vertu d'un contrat de travail à durée indéterminée, de la prise en charge par le fonds national de l'emploi durant une période de deux (2) ans, à compter de la date de recrutement, de la contribution patronale au régime légal de sécurité sociale relative aux salaires versés à la recrue et dans la limite de six cent (600) dinars par mois.</w:t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Pour bénéficier du présent avantage, l'entreprise est tenue de déposer, auprès du bureau de l'emploi et du travail indépendant territorialement compétent, une demande conformément au modèle disponible à cet effet auprès dudit bureau dans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un délai de trente (30) jours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à compter de la date fin de ce présent contrat.</w:t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ARTICLE 18: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Le présent contrat prend effet à compter de la date à laquelle il a été visé par l'Agence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Nationale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pour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l'Emploi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et le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Travail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Indépendant.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Fait à le 22/11/2022, en autant d'exemplaires que de droit.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L’employeur </w:t>
        <w:tab/>
        <w:tab/>
        <w:tab/>
        <w:tab/>
        <w:tab/>
        <w:tab/>
        <w:tab/>
        <w:t xml:space="preserve">Le salarié bénéficiaire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