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60" w:before="0" w:after="0"/>
        <w:ind w:hanging="0" w:left="0" w:right="0"/>
        <w:jc w:val="center"/>
        <w:rPr>
          <w:color w:val="auto"/>
        </w:rPr>
      </w:pPr>
      <w:r>
        <w:rPr>
          <w:rFonts w:eastAsia="MS Reference Sans Serif" w:cs="MS Reference Sans Serif" w:ascii="Calibri" w:hAnsi="Calibri"/>
          <w:b/>
          <w:color w:val="auto"/>
          <w:sz w:val="36"/>
        </w:rPr>
        <w:t>Mustafa Sheikh</w:t>
      </w:r>
    </w:p>
    <w:p>
      <w:pPr>
        <w:pStyle w:val="Normal"/>
        <w:spacing w:lineRule="atLeast" w:line="60" w:before="0" w:after="0"/>
        <w:ind w:hanging="0" w:left="0" w:right="0"/>
        <w:jc w:val="center"/>
        <w:rPr/>
      </w:pP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Canadian Citizen | 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>Phone: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313-782-1205|</w:t>
      </w:r>
      <w:r>
        <w:rPr>
          <w:rFonts w:eastAsia="MS Reference Sans Serif" w:cs="MS Reference Sans Serif" w:ascii="Calibri" w:hAnsi="Calibri"/>
          <w:b/>
          <w:bCs/>
          <w:color w:val="auto"/>
          <w:sz w:val="22"/>
          <w:szCs w:val="22"/>
        </w:rPr>
        <w:t xml:space="preserve"> Email:</w:t>
      </w:r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  <w:hyperlink r:id="rId2">
        <w:r>
          <w:rPr>
            <w:rStyle w:val="Hyperlink"/>
            <w:rFonts w:eastAsia="MS Reference Sans Serif" w:cs="MS Reference Sans Serif" w:ascii="Calibri" w:hAnsi="Calibri"/>
            <w:color w:val="auto"/>
            <w:sz w:val="22"/>
            <w:szCs w:val="22"/>
          </w:rPr>
          <w:t>mustafa.sheikhj@gmail.com</w:t>
        </w:r>
      </w:hyperlink>
      <w:r>
        <w:rPr>
          <w:rFonts w:eastAsia="MS Reference Sans Serif" w:cs="MS Reference Sans Serif" w:ascii="Calibri" w:hAnsi="Calibri"/>
          <w:color w:val="auto"/>
          <w:sz w:val="22"/>
          <w:szCs w:val="22"/>
        </w:rPr>
        <w:t xml:space="preserve"> | </w:t>
      </w:r>
      <w:hyperlink r:id="rId3">
        <w:r>
          <w:rPr>
            <w:rStyle w:val="Hyperlink"/>
            <w:rFonts w:ascii="Calibri" w:hAnsi="Calibri"/>
            <w:color w:val="auto"/>
            <w:sz w:val="22"/>
            <w:szCs w:val="22"/>
          </w:rPr>
          <w:t>www.linkedin.com/in/mustafajsheikh</w:t>
        </w:r>
      </w:hyperlink>
      <w:r>
        <w:rPr>
          <w:rStyle w:val="Hyperlink"/>
          <w:rFonts w:eastAsia="MS Reference Sans Serif" w:cs="MS Reference Sans Serif" w:ascii="Calibri" w:hAnsi="Calibri"/>
          <w:color w:val="auto"/>
          <w:sz w:val="22"/>
          <w:szCs w:val="22"/>
        </w:rPr>
        <w:t xml:space="preserve"> </w:t>
      </w:r>
    </w:p>
    <w:p>
      <w:pPr>
        <w:pStyle w:val="Normal"/>
        <w:spacing w:lineRule="atLeast" w:line="60" w:before="0" w:after="0"/>
        <w:ind w:hanging="0" w:left="0" w:right="0"/>
        <w:rPr>
          <w:rFonts w:ascii="Calibri" w:hAnsi="Calibri" w:eastAsia="MS Reference Sans Serif" w:cs="MS Reference Sans Serif"/>
          <w:color w:val="auto"/>
          <w:sz w:val="24"/>
        </w:rPr>
      </w:pPr>
      <w:r>
        <w:rPr>
          <w:rFonts w:eastAsia="MS Reference Sans Serif" w:cs="MS Reference Sans Serif" w:ascii="Calibri" w:hAnsi="Calibri"/>
          <w:color w:val="auto"/>
          <w:sz w:val="24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hanging="0" w:left="0" w:right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Languages:</w:t>
      </w:r>
      <w:r>
        <w:rPr>
          <w:rFonts w:ascii="Calibri" w:hAnsi="Calibri"/>
          <w:color w:val="auto"/>
          <w:sz w:val="22"/>
          <w:szCs w:val="22"/>
        </w:rPr>
        <w:t xml:space="preserve"> Python, C/C++, </w:t>
      </w:r>
      <w:r>
        <w:rPr>
          <w:rFonts w:eastAsia="Arial" w:cs="Arial" w:ascii="Calibri" w:hAnsi="Calibri"/>
          <w:color w:val="auto"/>
          <w:spacing w:val="0"/>
          <w:kern w:val="0"/>
          <w:sz w:val="22"/>
          <w:szCs w:val="22"/>
          <w:lang w:val="en-US" w:eastAsia="en-US" w:bidi="ar-SA"/>
        </w:rPr>
        <w:t>MATLAB/Simulink, Julia, UML, LabView</w:t>
      </w:r>
    </w:p>
    <w:p>
      <w:pPr>
        <w:pStyle w:val="ListParagraph"/>
        <w:spacing w:before="0" w:after="0"/>
        <w:ind w:hanging="0" w:left="0" w:right="0"/>
        <w:contextualSpacing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Tools: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dSPACE Tools, Intrepid Vehicle Spy, Vector CANoe,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SAFe, Git, SVN, ADAS, Five Why, 8D, Jira, HIL</w:t>
      </w:r>
    </w:p>
    <w:p>
      <w:pPr>
        <w:pStyle w:val="ListParagraph"/>
        <w:spacing w:before="0" w:after="0"/>
        <w:ind w:hanging="0" w:left="0" w:right="0"/>
        <w:contextualSpacing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WORK EXPERIENCE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/>
          <w:bCs/>
          <w:color w:val="auto"/>
          <w:spacing w:val="0"/>
          <w:kern w:val="0"/>
          <w:sz w:val="22"/>
          <w:szCs w:val="22"/>
          <w:lang w:val="en-US" w:eastAsia="en-US" w:bidi="ar-SA"/>
        </w:rPr>
        <w:t>General Motors</w:t>
      </w:r>
      <w:r>
        <w:rPr>
          <w:rFonts w:ascii="Calibri" w:hAnsi="Calibri"/>
          <w:b/>
          <w:bCs/>
          <w:color w:val="auto"/>
          <w:sz w:val="22"/>
          <w:szCs w:val="22"/>
        </w:rPr>
        <w:t xml:space="preserve">, </w:t>
      </w:r>
      <w:r>
        <w:rPr>
          <w:rFonts w:eastAsia="Arial" w:cs="Arial" w:ascii="Calibri" w:hAnsi="Calibri"/>
          <w:b w:val="false"/>
          <w:bCs w:val="false"/>
          <w:color w:val="auto"/>
          <w:spacing w:val="0"/>
          <w:kern w:val="0"/>
          <w:sz w:val="22"/>
          <w:szCs w:val="22"/>
          <w:lang w:val="en-US" w:eastAsia="en-US" w:bidi="ar-SA"/>
        </w:rPr>
        <w:t>Warren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, </w:t>
      </w:r>
      <w:r>
        <w:rPr>
          <w:rFonts w:ascii="Calibri" w:hAnsi="Calibri"/>
          <w:color w:val="auto"/>
          <w:sz w:val="22"/>
          <w:szCs w:val="22"/>
        </w:rPr>
        <w:t>MI</w:t>
      </w:r>
    </w:p>
    <w:p>
      <w:pPr>
        <w:pStyle w:val="Normal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u w:val="single"/>
          <w:shd w:fill="auto" w:val="clear"/>
          <w:lang w:val="en-US" w:eastAsia="en-US" w:bidi="ar-SA"/>
        </w:rPr>
        <w:t>Senior Virtual Hardware Engineer</w:t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</w:t>
      </w:r>
      <w:r>
        <w:rPr>
          <w:rFonts w:eastAsia="Arial" w:cs="Arial" w:ascii="Calibri" w:hAnsi="Calibri"/>
          <w:b/>
          <w:bCs/>
          <w:i/>
          <w:iCs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   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        </w:t>
        <w:tab/>
        <w:t xml:space="preserve">                           </w:t>
        <w:tab/>
        <w:tab/>
        <w:tab/>
      </w:r>
      <w:r>
        <w:rPr>
          <w:rFonts w:eastAsia="Arial" w:cs="Arial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2"/>
          <w:szCs w:val="22"/>
          <w:lang w:val="en-US" w:eastAsia="en-US" w:bidi="ar-SA"/>
        </w:rPr>
        <w:t>Nov</w:t>
      </w:r>
      <w:r>
        <w:rPr>
          <w:rFonts w:eastAsia="Arial" w:cs="Arial" w:ascii="Calibri" w:hAnsi="Calibri"/>
          <w:b/>
          <w:bCs/>
          <w:i/>
          <w:iCs/>
          <w:color w:val="auto"/>
          <w:spacing w:val="0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2022 – Sept 2024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 Utilized</w:t>
      </w:r>
      <w:r>
        <w:rPr>
          <w:rFonts w:ascii="Calibri" w:hAnsi="Calibri"/>
          <w:color w:val="auto"/>
          <w:sz w:val="22"/>
          <w:szCs w:val="22"/>
        </w:rPr>
        <w:t xml:space="preserve"> hardware virtualization to accelerate delivery of software for Software-Defined Vehicle platform.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rPr>
          <w:color w:val="auto"/>
        </w:rPr>
      </w:pP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Championed and secured organizational buy-in for $2 million Synopsys Virtualizer based 'shift-left' approach to Connectivity Module development enabling exploratory early designs.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Led cross-functional development and delivery of Synopsys Virtualizer based Occupant Safety Module with test software, accelerating integration testing efforts by 4 months ahead of official software availability. 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Successfully launched next-generation ASTC Vlab based Central Gateway Module 8 months ahead of hardware schedule, driving concept-to-release progress and facilitating early software testing and integration.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Leveraged expertise in virtual workflows to collaborate with product owners and release train engineers to integrate virtual hardware team into enterprise level agile framework.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Scrum Lead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 for team of 12 as part SAFe for CAN and Ethernet ECUs for GM’s SDV Platform.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 xml:space="preserve"> </w:t>
      </w: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pacing w:val="0"/>
          <w:kern w:val="0"/>
          <w:sz w:val="22"/>
          <w:szCs w:val="22"/>
          <w:shd w:fill="auto" w:val="clear"/>
          <w:lang w:val="en-US" w:eastAsia="en-US" w:bidi="ar-SA"/>
        </w:rPr>
        <w:t>Developed strategy to benchmark virtualization solutions serving as the basis for tool-chain decisions worth $100k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+ 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 xml:space="preserve">• </w:t>
      </w: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Utilized Vehicle Spy, CANoe, and WireShark to log and troubleshoot ECUs.</w:t>
      </w:r>
    </w:p>
    <w:p>
      <w:pPr>
        <w:pStyle w:val="Normal"/>
        <w:tabs>
          <w:tab w:val="clear" w:pos="708"/>
        </w:tabs>
        <w:spacing w:before="0" w:after="0"/>
        <w:ind w:hanging="0" w:left="0" w:right="0"/>
        <w:jc w:val="left"/>
        <w:rPr>
          <w:rStyle w:val="StrongEmphasis"/>
          <w:rFonts w:ascii="Calibri" w:hAnsi="Calibri" w:eastAsia="Arial" w:cs="Arial"/>
          <w:b w:val="false"/>
          <w:bCs w:val="false"/>
          <w:color w:val="auto"/>
          <w:sz w:val="22"/>
          <w:szCs w:val="22"/>
          <w:lang w:val="en-US" w:eastAsia="en-US" w:bidi="ar-SA"/>
        </w:rPr>
      </w:pPr>
      <w:r>
        <w:rPr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Connectivity Development Engineer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Mar 2021 – Nov 2022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</w:rPr>
        <w:t>Developed features for legacy PHEV and EV OnStar customers and next generation Telematics modules.</w:t>
      </w:r>
    </w:p>
    <w:p>
      <w:pPr>
        <w:pStyle w:val="LO-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>Spearheaded sourcing of Connectivity Module serving as the cornerstone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 xml:space="preserve"> for the Software-Defined Vehicle platform by leading a cross-functional team to select best supplier based on internal metrics.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Led multidisciplinary requirements development meetings for features representing $10s of millions in business value.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color w:val="000000"/>
          <w:sz w:val="22"/>
          <w:szCs w:val="22"/>
          <w:shd w:fill="auto" w:val="clear"/>
        </w:rPr>
        <w:t>Leveraged agile principles to preempt resolve issues while keeping leadership apprised for quick updates in strategy.</w:t>
      </w:r>
    </w:p>
    <w:p>
      <w:pPr>
        <w:pStyle w:val="LO-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eastAsia="Calibri" w:cs="Calibri"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eastAsia="Calibri" w:cs="Calibri" w:ascii="Calibri" w:hAnsi="Calibri"/>
          <w:b w:val="false"/>
          <w:bCs w:val="false"/>
          <w:color w:val="auto"/>
          <w:sz w:val="22"/>
          <w:szCs w:val="22"/>
        </w:rPr>
        <w:t>Helped safeguard $10s of millions in revenue and critical safety features for hundreds of thousands of OnStar customers impacted by the 2G/3G sunset by developing a mitigation plan with senior leaders.</w:t>
      </w:r>
    </w:p>
    <w:p>
      <w:pPr>
        <w:pStyle w:val="LO-normal"/>
        <w:ind w:hanging="0" w:left="0" w:right="0"/>
        <w:rPr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Aerotek (Contract at General Motors), </w:t>
      </w:r>
      <w:r>
        <w:rPr>
          <w:rFonts w:ascii="Calibri" w:hAnsi="Calibri"/>
          <w:color w:val="auto"/>
          <w:sz w:val="22"/>
          <w:szCs w:val="22"/>
        </w:rPr>
        <w:t>Warren,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Telematics System Integration Engineer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 xml:space="preserve">       </w:t>
      </w:r>
      <w:r>
        <w:rPr>
          <w:rFonts w:ascii="Calibri" w:hAnsi="Calibri"/>
          <w:color w:val="auto"/>
          <w:sz w:val="22"/>
          <w:szCs w:val="22"/>
          <w:u w:val="none"/>
        </w:rPr>
        <w:t>Sep 2</w:t>
      </w:r>
      <w:r>
        <w:rPr>
          <w:rFonts w:ascii="Calibri" w:hAnsi="Calibri"/>
          <w:color w:val="auto"/>
          <w:sz w:val="22"/>
          <w:szCs w:val="22"/>
        </w:rPr>
        <w:t>020 – Mar 2021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Vehicle Side CAN Integration lead for OnStar 2G/3G Sunset Adapter project for 100k + active legacy customers.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cross-functional workshops between subject matter experts and suppliers to ensure project requirements were met. 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Proactively tackled development and implementation challenges in test setups and provided direction for creating electrical testing harnesses while mentoring junior engineers.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Engaged system architects, subject experts, and suppliers to work on OTA related change requests for existing telematics modules to spearhead GM’s evolving OTA strategy. </w:t>
      </w:r>
    </w:p>
    <w:p>
      <w:pPr>
        <w:pStyle w:val="Normal"/>
        <w:rPr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FAW US Research and Development, </w:t>
      </w:r>
      <w:r>
        <w:rPr>
          <w:rFonts w:ascii="Calibri" w:hAnsi="Calibri"/>
          <w:color w:val="auto"/>
          <w:sz w:val="22"/>
          <w:szCs w:val="22"/>
        </w:rPr>
        <w:t>Plymouth,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Autonomous Vehicle Controls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           Feb 2020 – Aug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 of a team of controls engineers, systems engineers, and integration engineers for L4 AV Planning and Control.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Researched Vehicle Dynamics models and methods of Lateral Control for vehicles under typical highway scenarios in MATLAB/Simulink for ADAS and autonomy.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Independently developed and executed test plans for PID based longitudinal and LQR based lateral control algorithms using MATLAB, allowing team to catch and resolve issues before integration.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Worked closely with integration team to integrate and debug Software Releases in CarMaker SIL environment.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Developed Object Oriented MATLAB scripts to analyze an visualize CAN data from MobilEye EyeQ4 system.</w:t>
      </w:r>
    </w:p>
    <w:p>
      <w:pPr>
        <w:pStyle w:val="Normal"/>
        <w:ind w:hanging="0" w:left="0" w:right="0"/>
        <w:rPr>
          <w:rFonts w:ascii="Calibri" w:hAnsi="Calibri"/>
          <w:b w:val="false"/>
          <w:bCs w:val="false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Molex LLC</w:t>
      </w:r>
      <w:r>
        <w:rPr>
          <w:rFonts w:ascii="Calibri" w:hAnsi="Calibri"/>
          <w:color w:val="auto"/>
          <w:sz w:val="22"/>
          <w:szCs w:val="22"/>
        </w:rPr>
        <w:t>, Rochester Hills,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End-Of-Line Test Development Engineer</w:t>
      </w:r>
      <w:r>
        <w:rPr>
          <w:color w:val="auto"/>
        </w:rPr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  <w:u w:val="none"/>
        </w:rPr>
        <w:t xml:space="preserve">         </w:t>
      </w:r>
      <w:r>
        <w:rPr>
          <w:color w:val="auto"/>
        </w:rPr>
        <w:tab/>
        <w:tab/>
        <w:t xml:space="preserve">       Nov</w:t>
      </w:r>
      <w:r>
        <w:rPr>
          <w:rFonts w:ascii="Calibri" w:hAnsi="Calibri"/>
          <w:color w:val="auto"/>
          <w:sz w:val="22"/>
          <w:szCs w:val="22"/>
          <w:u w:val="none"/>
        </w:rPr>
        <w:t xml:space="preserve"> </w:t>
      </w:r>
      <w:r>
        <w:rPr>
          <w:rFonts w:ascii="Calibri" w:hAnsi="Calibri"/>
          <w:color w:val="auto"/>
          <w:sz w:val="22"/>
          <w:szCs w:val="22"/>
        </w:rPr>
        <w:t>2018 – Feb 2020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Automation solution developer for electronic module production and launch activities for manufacturing services group.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Developed multi-threaded Python scripts to flash Firmware on in-vehicle Ethernet Gateway subsystem automating a 60 minute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error-prone manual process down to 15 minutes with logs.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Designed and documented manufacturing test solutions using UML methods and engaged in peer-review to verify functionality ensuring first-time quality of solutions in Python and LabView.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Style w:val="StrongEmphasis"/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Led identification and mitigation of risks in production lines during PFMEA discussions with a global cross-functional team for Ethernet Switch Module subsystems and high-speed cables.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Partnered with senior leaders to address production rework issues, creating timely work instructions that improved reliability and reduced testing time for multiple OEM programs.</w:t>
      </w:r>
    </w:p>
    <w:p>
      <w:pPr>
        <w:pStyle w:val="Normal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Ford Motor Company,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Senior HIL Automation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Apr 2013 -  Nov 2018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Led design of Software and Hardware solutions for automated testing of highly distributed Infotainment, Body, and ADAS features as part of an interdisciplinary global team. 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Drove the integration and extension of Ford Sync automation tool created in Python enabling automated Infotainment testing at scale saving 100s of human hours.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 xml:space="preserve">Initiated, designed, and delivered dSPACE license restructuring efforts that freed up $80k worth of wasted software licenses while also allowing team to scale up from 10 to 40 engineers. </w:t>
      </w:r>
    </w:p>
    <w:p>
      <w:pPr>
        <w:pStyle w:val="Normal"/>
        <w:ind w:hanging="0" w:left="0" w:right="0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Boosted testing efficiency with a Python-based automated Electronic Latch feature testing fixture, enabling continuous 24/7 remote testing and accelerating product development. </w:t>
      </w:r>
    </w:p>
    <w:p>
      <w:pPr>
        <w:pStyle w:val="Normal"/>
        <w:ind w:hanging="0" w:left="720" w:right="0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 xml:space="preserve">EASi Engineering (Contract at Ford), </w:t>
      </w:r>
      <w:r>
        <w:rPr>
          <w:rFonts w:ascii="Calibri" w:hAnsi="Calibri"/>
          <w:color w:val="auto"/>
          <w:sz w:val="22"/>
          <w:szCs w:val="22"/>
        </w:rPr>
        <w:t>Dearborn, MI</w:t>
      </w:r>
    </w:p>
    <w:p>
      <w:pPr>
        <w:pStyle w:val="Normal"/>
        <w:rPr>
          <w:color w:val="auto"/>
        </w:rPr>
      </w:pPr>
      <w:r>
        <w:rPr>
          <w:rFonts w:ascii="Calibri" w:hAnsi="Calibri"/>
          <w:color w:val="auto"/>
          <w:sz w:val="22"/>
          <w:szCs w:val="22"/>
          <w:u w:val="single"/>
        </w:rPr>
        <w:t>HIL Engineer</w:t>
      </w:r>
      <w:r>
        <w:rPr>
          <w:rFonts w:ascii="Calibri" w:hAnsi="Calibri"/>
          <w:color w:val="auto"/>
          <w:sz w:val="22"/>
          <w:szCs w:val="22"/>
        </w:rPr>
        <w:t xml:space="preserve"> </w:t>
      </w:r>
      <w:r>
        <w:rPr>
          <w:color w:val="auto"/>
        </w:rPr>
        <w:tab/>
        <w:tab/>
        <w:tab/>
        <w:tab/>
        <w:tab/>
        <w:tab/>
        <w:tab/>
        <w:tab/>
        <w:tab/>
        <w:tab/>
      </w:r>
      <w:r>
        <w:rPr>
          <w:rFonts w:ascii="Calibri" w:hAnsi="Calibri"/>
          <w:color w:val="auto"/>
          <w:sz w:val="22"/>
          <w:szCs w:val="22"/>
        </w:rPr>
        <w:t xml:space="preserve">         </w:t>
      </w:r>
      <w:r>
        <w:rPr>
          <w:color w:val="auto"/>
        </w:rPr>
        <w:tab/>
      </w:r>
      <w:r>
        <w:rPr>
          <w:rFonts w:ascii="Calibri" w:hAnsi="Calibri"/>
          <w:color w:val="auto"/>
          <w:sz w:val="22"/>
          <w:szCs w:val="22"/>
        </w:rPr>
        <w:t xml:space="preserve">         Jun 2012 – Apr 2013</w:t>
      </w:r>
    </w:p>
    <w:p>
      <w:pPr>
        <w:pStyle w:val="Normal"/>
        <w:rPr>
          <w:color w:val="auto"/>
        </w:rPr>
      </w:pPr>
      <w:r>
        <w:rPr>
          <w:rFonts w:ascii="Calibri" w:hAnsi="Calibri"/>
          <w:b w:val="false"/>
          <w:bCs w:val="false"/>
          <w:color w:val="auto"/>
          <w:sz w:val="22"/>
          <w:szCs w:val="22"/>
        </w:rPr>
        <w:t>Led HIL Testing and Automation activities for HIL subsystems by integrating and extending AutomationDesk solutions.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Improved Robotic HMI tester by increasing maintainability and setup time by ~50% via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simplifying data structures. 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auto"/>
          <w:sz w:val="22"/>
          <w:szCs w:val="22"/>
        </w:rPr>
        <w:t>Slashed HIL part costs by 75% through BOM management of 3 vehicle platforms, involving 100s of components.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auto"/>
          <w:sz w:val="22"/>
          <w:szCs w:val="22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automation solution demos to senior management.</w:t>
      </w:r>
    </w:p>
    <w:p>
      <w:pPr>
        <w:pStyle w:val="Normal"/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Fraunhofer USA,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Plymouth, MI</w:t>
      </w:r>
    </w:p>
    <w:p>
      <w:pPr>
        <w:pStyle w:val="Normal"/>
        <w:rPr>
          <w:u w:val="single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Intern</w:t>
      </w:r>
      <w:r>
        <w:rPr>
          <w:rFonts w:ascii="Calibri" w:hAnsi="Calibri"/>
          <w:b w:val="false"/>
          <w:bCs w:val="false"/>
          <w:color w:val="000000"/>
          <w:sz w:val="22"/>
          <w:szCs w:val="22"/>
          <w:u w:val="none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                    Oct 2011 – Mar 2012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Validated and aligned high-power Diode Laser systems.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Supported run-off production assisting engineers in assembly and fixture design.</w:t>
      </w:r>
    </w:p>
    <w:p>
      <w:pPr>
        <w:pStyle w:val="Normal"/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  <w:shd w:fill="auto" w:val="clear"/>
        </w:rPr>
        <w:t>Institute of Diagnostic Imaging Research,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Windsor, ON</w:t>
      </w:r>
    </w:p>
    <w:p>
      <w:pPr>
        <w:pStyle w:val="Normal"/>
        <w:rPr/>
      </w:pPr>
      <w:r>
        <w:rPr>
          <w:rFonts w:ascii="Calibri" w:hAnsi="Calibri"/>
          <w:b w:val="false"/>
          <w:bCs w:val="false"/>
          <w:color w:val="000000"/>
          <w:sz w:val="22"/>
          <w:szCs w:val="22"/>
          <w:u w:val="single"/>
          <w:shd w:fill="auto" w:val="clear"/>
        </w:rPr>
        <w:t>Summer Intern</w:t>
      </w:r>
      <w:r>
        <w:rPr>
          <w:rFonts w:ascii="Calibri" w:hAnsi="Calibri"/>
          <w:b w:val="false"/>
          <w:bCs w:val="false"/>
          <w:color w:val="000000"/>
          <w:sz w:val="22"/>
          <w:szCs w:val="22"/>
          <w:u w:val="none"/>
          <w:shd w:fill="auto" w:val="clear"/>
        </w:rPr>
        <w:tab/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ab/>
        <w:tab/>
        <w:tab/>
        <w:tab/>
        <w:tab/>
        <w:tab/>
        <w:tab/>
        <w:tab/>
        <w:tab/>
        <w:t xml:space="preserve">          Jun 2011 - Oct 2011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Utilized MATLAB to analyze for performing root-cause analysis and modeling of Ultrasonic sensor noise.</w:t>
      </w:r>
    </w:p>
    <w:p>
      <w:pPr>
        <w:pStyle w:val="Normal"/>
        <w:rPr/>
      </w:pPr>
      <w:r>
        <w:rPr>
          <w:rStyle w:val="StrongEmphasis"/>
          <w:rFonts w:eastAsia="Arial" w:cs="Arial" w:ascii="Calibri" w:hAnsi="Calibri"/>
          <w:b w:val="false"/>
          <w:bCs w:val="false"/>
          <w:color w:val="000000"/>
          <w:sz w:val="22"/>
          <w:szCs w:val="22"/>
          <w:shd w:fill="auto" w:val="clear"/>
          <w:lang w:val="en-US" w:eastAsia="en-US" w:bidi="ar-SA"/>
        </w:rPr>
        <w:t>•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  <w:t>Presented data and conclusions to leadership of the institute at end-of-term.</w:t>
      </w:r>
    </w:p>
    <w:p>
      <w:pPr>
        <w:pStyle w:val="Normal"/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  <w:shd w:fill="auto" w:val="clear"/>
        </w:rPr>
      </w:r>
    </w:p>
    <w:p>
      <w:pPr>
        <w:pStyle w:val="Normal"/>
        <w:jc w:val="left"/>
        <w:rPr>
          <w:color w:val="auto"/>
        </w:rPr>
      </w:pPr>
      <w:r>
        <w:rPr>
          <w:rFonts w:ascii="Calibri" w:hAnsi="Calibri"/>
          <w:b/>
          <w:bCs/>
          <w:color w:val="auto"/>
          <w:sz w:val="24"/>
          <w:szCs w:val="24"/>
        </w:rPr>
        <w:t>EDUCATION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BSc in Physics,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ab/>
        <w:tab/>
        <w:tab/>
        <w:t xml:space="preserve">           2011</w:t>
      </w:r>
    </w:p>
    <w:p>
      <w:pPr>
        <w:pStyle w:val="Normal"/>
        <w:rPr>
          <w:color w:val="auto"/>
        </w:rPr>
      </w:pPr>
      <w:r>
        <w:rPr>
          <w:rFonts w:ascii="Calibri" w:hAnsi="Calibri"/>
          <w:b/>
          <w:bCs/>
          <w:color w:val="auto"/>
          <w:sz w:val="22"/>
          <w:szCs w:val="22"/>
        </w:rPr>
        <w:t>BASc in Electrical Engineering,</w:t>
      </w:r>
      <w:r>
        <w:rPr>
          <w:rFonts w:ascii="Calibri" w:hAnsi="Calibri"/>
          <w:color w:val="auto"/>
          <w:sz w:val="22"/>
          <w:szCs w:val="22"/>
        </w:rPr>
        <w:t xml:space="preserve"> University of Windsor</w:t>
        <w:tab/>
        <w:tab/>
        <w:tab/>
        <w:tab/>
        <w:tab/>
        <w:tab/>
        <w:t xml:space="preserve">                        2009</w:t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576" w:right="576" w:gutter="0" w:header="418" w:top="954" w:footer="0" w:bottom="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/2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Page: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/2</w:t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ind w:hanging="0" w:left="0" w:right="0"/>
      <w:outlineLvl w:val="0"/>
    </w:pPr>
    <w:rPr>
      <w:rFonts w:ascii="Arial" w:hAnsi="Arial" w:eastAsia="Arial" w:cs="Arial"/>
      <w:b/>
      <w:bCs/>
      <w:color w:val="000000"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ind w:hanging="0" w:left="0" w:right="0"/>
      <w:outlineLvl w:val="1"/>
    </w:pPr>
    <w:rPr>
      <w:rFonts w:ascii="Arial" w:hAnsi="Arial" w:eastAsia="Arial" w:cs="Arial"/>
      <w:b/>
      <w:bCs/>
      <w:color w:val="000000"/>
      <w:sz w:val="40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ind w:hanging="0" w:left="0" w:right="0"/>
      <w:outlineLvl w:val="2"/>
    </w:pPr>
    <w:rPr>
      <w:rFonts w:ascii="Arial" w:hAnsi="Arial" w:eastAsia="Arial" w:cs="Arial"/>
      <w:b/>
      <w:bCs/>
      <w:i/>
      <w:iCs/>
      <w:color w:val="000000"/>
      <w:sz w:val="36"/>
      <w:szCs w:val="36"/>
    </w:rPr>
  </w:style>
  <w:style w:type="paragraph" w:styleId="Heading4">
    <w:name w:val="Heading 4"/>
    <w:basedOn w:val="Normal"/>
    <w:qFormat/>
    <w:pPr>
      <w:keepNext w:val="true"/>
      <w:keepLines/>
      <w:spacing w:before="200" w:after="0"/>
      <w:ind w:hanging="0" w:left="0" w:right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qFormat/>
    <w:pPr>
      <w:keepNext w:val="true"/>
      <w:keepLines/>
      <w:spacing w:before="200" w:after="0"/>
      <w:ind w:hanging="0" w:left="0" w:right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qFormat/>
    <w:pPr>
      <w:keepNext w:val="true"/>
      <w:keepLines/>
      <w:spacing w:before="200" w:after="0"/>
      <w:ind w:hanging="0" w:left="0" w:right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qFormat/>
    <w:pPr>
      <w:keepNext w:val="true"/>
      <w:keepLines/>
      <w:spacing w:before="200" w:after="0"/>
      <w:ind w:hanging="0" w:left="0" w:right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qFormat/>
    <w:pPr>
      <w:keepNext w:val="true"/>
      <w:keepLines/>
      <w:spacing w:before="200" w:after="0"/>
      <w:ind w:hanging="0" w:left="0" w:right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qFormat/>
    <w:pPr>
      <w:keepNext w:val="true"/>
      <w:keepLines/>
      <w:spacing w:before="200" w:after="0"/>
      <w:ind w:hanging="0" w:left="0" w:right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3Char">
    <w:name w:val="Heading 3 Char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Hyperlink">
    <w:name w:val="Hyperlink"/>
    <w:rPr>
      <w:color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pPr>
      <w:spacing w:lineRule="auto" w:line="240" w:before="0" w:after="40"/>
    </w:pPr>
    <w:rPr>
      <w:sz w:val="18"/>
    </w:rPr>
  </w:style>
  <w:style w:type="paragraph" w:styleId="TOC1">
    <w:name w:val="TOC 1"/>
    <w:basedOn w:val="Normal"/>
    <w:pPr>
      <w:spacing w:before="0" w:after="57"/>
      <w:ind w:hanging="0" w:left="0" w:right="0"/>
    </w:pPr>
    <w:rPr/>
  </w:style>
  <w:style w:type="paragraph" w:styleId="TOC2">
    <w:name w:val="TOC 2"/>
    <w:basedOn w:val="Normal"/>
    <w:pPr>
      <w:spacing w:before="0" w:after="57"/>
      <w:ind w:hanging="0" w:left="283" w:right="0"/>
    </w:pPr>
    <w:rPr/>
  </w:style>
  <w:style w:type="paragraph" w:styleId="TOC3">
    <w:name w:val="TOC 3"/>
    <w:basedOn w:val="Normal"/>
    <w:pPr>
      <w:spacing w:before="0" w:after="57"/>
      <w:ind w:hanging="0" w:left="567" w:right="0"/>
    </w:pPr>
    <w:rPr/>
  </w:style>
  <w:style w:type="paragraph" w:styleId="TOC4">
    <w:name w:val="TOC 4"/>
    <w:basedOn w:val="Normal"/>
    <w:pPr>
      <w:spacing w:before="0" w:after="57"/>
      <w:ind w:hanging="0" w:left="850" w:right="0"/>
    </w:pPr>
    <w:rPr/>
  </w:style>
  <w:style w:type="paragraph" w:styleId="TOC5">
    <w:name w:val="TOC 5"/>
    <w:basedOn w:val="Normal"/>
    <w:pPr>
      <w:spacing w:before="0" w:after="57"/>
      <w:ind w:hanging="0" w:left="1134" w:right="0"/>
    </w:pPr>
    <w:rPr/>
  </w:style>
  <w:style w:type="paragraph" w:styleId="TOC6">
    <w:name w:val="TOC 6"/>
    <w:basedOn w:val="Normal"/>
    <w:pPr>
      <w:spacing w:before="0" w:after="57"/>
      <w:ind w:hanging="0" w:left="1417" w:right="0"/>
    </w:pPr>
    <w:rPr/>
  </w:style>
  <w:style w:type="paragraph" w:styleId="TOC7">
    <w:name w:val="TOC 7"/>
    <w:basedOn w:val="Normal"/>
    <w:pPr>
      <w:spacing w:before="0" w:after="57"/>
      <w:ind w:hanging="0" w:left="1701" w:right="0"/>
    </w:pPr>
    <w:rPr/>
  </w:style>
  <w:style w:type="paragraph" w:styleId="TOC8">
    <w:name w:val="TOC 8"/>
    <w:basedOn w:val="Normal"/>
    <w:pPr>
      <w:spacing w:before="0" w:after="57"/>
      <w:ind w:hanging="0" w:left="1984" w:right="0"/>
    </w:pPr>
    <w:rPr/>
  </w:style>
  <w:style w:type="paragraph" w:styleId="TOC9">
    <w:name w:val="TOC 9"/>
    <w:basedOn w:val="Normal"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qFormat/>
    <w:pPr>
      <w:widowControl/>
      <w:suppressAutoHyphens w:val="true"/>
      <w:overflowPunct w:val="false"/>
      <w:bidi w:val="0"/>
      <w:spacing w:lineRule="auto" w:line="276" w:before="0" w:after="200"/>
      <w:ind w:hanging="0" w:left="0" w:right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ind w:hanging="0" w:left="0" w:right="0"/>
      <w:jc w:val="left"/>
    </w:pPr>
    <w:rPr>
      <w:rFonts w:ascii="Arial" w:hAnsi="Arial" w:eastAsia="Arial" w:cs="Arial"/>
      <w:color w:val="000000"/>
      <w:spacing w:val="0"/>
      <w:kern w:val="0"/>
      <w:sz w:val="22"/>
      <w:szCs w:val="22"/>
      <w:shd w:fill="FFFFFF" w:val="clear"/>
      <w:lang w:val="en-US" w:eastAsia="en-US" w:bidi="ar-SA"/>
    </w:rPr>
  </w:style>
  <w:style w:type="paragraph" w:styleId="Quote">
    <w:name w:val="Quote"/>
    <w:basedOn w:val="Normal"/>
    <w:qFormat/>
    <w:pPr>
      <w:ind w:hanging="0" w:left="4536" w:right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qFormat/>
    <w:pPr>
      <w:spacing w:lineRule="auto" w:line="240"/>
      <w:ind w:hanging="0" w:left="0" w:right="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fill="EEEEEE"/>
      <w:ind w:hanging="0"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qFormat/>
    <w:pPr>
      <w:pBdr>
        <w:bottom w:val="single" w:sz="24" w:space="0" w:color="000000"/>
      </w:pBdr>
      <w:spacing w:lineRule="auto" w:line="240" w:before="300" w:after="80"/>
      <w:ind w:hanging="0" w:left="0" w:right="0"/>
      <w:contextualSpacing/>
      <w:outlineLvl w:val="0"/>
    </w:pPr>
    <w:rPr>
      <w:rFonts w:ascii="Arial" w:hAnsi="Arial" w:eastAsia="Arial" w:cs="Arial"/>
      <w:b/>
      <w:bCs/>
      <w:color w:val="000000"/>
      <w:sz w:val="72"/>
      <w:szCs w:val="72"/>
    </w:rPr>
  </w:style>
  <w:style w:type="paragraph" w:styleId="ListParagraph">
    <w:name w:val="List Paragraph"/>
    <w:basedOn w:val="Normal"/>
    <w:qFormat/>
    <w:pPr>
      <w:spacing w:before="0" w:after="200"/>
      <w:ind w:hanging="0" w:left="720" w:right="0"/>
      <w:contextualSpacing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Cs w:val="20"/>
    </w:rPr>
  </w:style>
  <w:style w:type="paragraph" w:styleId="Overviewbullets">
    <w:name w:val="Overview bullets"/>
    <w:basedOn w:val="PlainText"/>
    <w:qFormat/>
    <w:p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styleId="LO-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2"/>
      <w:lang w:val="en-US" w:eastAsia="en-US" w:bidi="ar-SA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ustafa.sheikhj@gmail.com" TargetMode="External"/><Relationship Id="rId3" Type="http://schemas.openxmlformats.org/officeDocument/2006/relationships/hyperlink" Target="http://www.linkedin.com/in/mustafajsheikh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LibreOffice/24.2.5.2$Linux_X86_64 LibreOffice_project/420$Build-2</Application>
  <AppVersion>15.0000</AppVersion>
  <Pages>3</Pages>
  <Words>939</Words>
  <Characters>5705</Characters>
  <CharactersWithSpaces>6865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2024-09-14T13:35:12Z</dcterms:modified>
  <cp:revision>311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