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Calibri" w:hAnsi="Calibri"/>
        </w:rPr>
      </w:pPr>
      <w:r>
        <w:rPr>
          <w:rFonts w:eastAsia="MS Reference Sans Serif" w:cs="MS Reference Sans Serif" w:ascii="Calibri" w:hAnsi="Calibri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000000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 w:ascii="Calibri" w:hAnsi="Calibri"/>
          <w:color w:val="000000"/>
          <w:sz w:val="24"/>
        </w:rPr>
      </w:r>
    </w:p>
    <w:p>
      <w:pPr>
        <w:pStyle w:val="Normal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Software:</w:t>
      </w:r>
      <w:r>
        <w:rPr>
          <w:rFonts w:ascii="Calibri" w:hAnsi="Calibri"/>
          <w:color w:val="auto"/>
          <w:sz w:val="22"/>
          <w:szCs w:val="22"/>
        </w:rPr>
        <w:t xml:space="preserve"> Python | C/C++ | Git |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MATLAB | Simulink |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Julia |ASTC Vlab | Jira | Synopsys Virtualizer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Engineering: 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Agile</w:t>
      </w:r>
      <w:r>
        <w:rPr>
          <w:rFonts w:ascii="Calibri" w:hAnsi="Calibri"/>
          <w:color w:val="auto"/>
          <w:sz w:val="22"/>
          <w:szCs w:val="22"/>
        </w:rPr>
        <w:t xml:space="preserve"> | CAN | DFSS Black Belt | HIL | UML| dSPACE tools | Testing and Validation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        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  <w:tab/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Wireless Connectivity Module development enabling exploratory early development.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Mar 2021 – Nov 2022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EVs OnStar customers and next generation Telematics modules</w:t>
      </w:r>
    </w:p>
    <w:p>
      <w:pPr>
        <w:pStyle w:val="LO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Feb 2020 – Aug 2020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Jan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>
          <w:rStyle w:val="StrongEmphasis"/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Apr 2013 -  Nov 2018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Drove the integration and extension of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Ford Sync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automation tool created in Python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enabling automated Infotainment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testing at scale saving 100s of human hours.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Jun 2012 – Apr 2013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Supported HIL Testing and Automation activities for HIL subsystems by integrating and extending AutomationDesk solutions.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simultaneous vehicle platforms, involving 100s of components.</w:t>
      </w:r>
    </w:p>
    <w:p>
      <w:pPr>
        <w:pStyle w:val="Normal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/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2011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2009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897</Words>
  <Characters>5486</Characters>
  <CharactersWithSpaces>6569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2024-09-03T22:46:38Z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