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MATLAB/Simulink, Julia, UML,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LabView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WireShark, Git, SVN, ADAS, Five Why, 8D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LLC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Designed and documented manufacturing test solutions using UML methods and engaged in peer-review to verify functionality ensuring first-time quality of solutions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in Python and LabView.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>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2</Pages>
  <Words>936</Words>
  <Characters>5695</Characters>
  <CharactersWithSpaces>6842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2024-09-12T13:41:52Z</dcterms:modified>
  <cp:revision>307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