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t>CLASSIFICATION BANNER</w:t>
      </w:r>
    </w:p>
    <w:p>
      <w:pPr>
        <w:spacing w:after="80"/>
      </w:pPr>
      <w:r>
        <w:t>INTERNAL — PRODUCTION SPECIFICATION — NOT FOR EXTERNAL DISTRIBUTION</w:t>
      </w:r>
    </w:p>
    <w:p>
      <w:pPr>
        <w:spacing w:after="80"/>
      </w:pPr>
      <w:r>
        <w:t>DOCUMENT HEADER BLOCK</w:t>
      </w:r>
    </w:p>
    <w:p>
      <w:pPr>
        <w:spacing w:after="80"/>
      </w:pPr>
      <w:r>
        <w:t>SENTINEL-L3 UNIFIED DOSSIER</w:t>
      </w:r>
    </w:p>
    <w:p>
      <w:pPr>
        <w:spacing w:after="80"/>
      </w:pPr>
      <w:r>
        <w:t>Autonomous Upgrade Pipeline  |  Telemetry System  |  Network Atlas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spacing w:after="20"/>
              <w:jc w:val="left"/>
            </w:pPr>
            <w:r>
              <w:rPr>
                <w:b/>
                <w:color w:val="FFFFFF"/>
              </w:rPr>
            </w:r>
            <w:r>
              <w:rPr>
                <w:b/>
                <w:color w:val="FFFFFF"/>
              </w:rPr>
              <w:t>Classification:</w:t>
            </w:r>
          </w:p>
        </w:tc>
        <w:tc>
          <w:tcPr>
            <w:tcW w:type="dxa" w:w="4703"/>
            <w:shd w:val="clear" w:color="auto" w:fill="1F3864"/>
          </w:tcPr>
          <w:p>
            <w:pPr>
              <w:spacing w:after="20"/>
              <w:jc w:val="left"/>
            </w:pPr>
            <w:r>
              <w:rPr>
                <w:b/>
                <w:color w:val="FFFFFF"/>
              </w:rPr>
            </w:r>
            <w:r>
              <w:rPr>
                <w:b/>
                <w:color w:val="FFFFFF"/>
              </w:rPr>
              <w:t>INTERNAL — PRODUCTION SPECIFICATION</w:t>
            </w:r>
          </w:p>
        </w:tc>
      </w:tr>
      <w:tr>
        <w:tc>
          <w:tcPr>
            <w:tcW w:type="dxa" w:w="4703"/>
          </w:tcPr>
          <w:p>
            <w:pPr>
              <w:spacing w:after="20"/>
              <w:jc w:val="left"/>
            </w:pPr>
            <w:r/>
            <w:r>
              <w:t>Version:</w:t>
            </w:r>
          </w:p>
        </w:tc>
        <w:tc>
          <w:tcPr>
            <w:tcW w:type="dxa" w:w="4703"/>
          </w:tcPr>
          <w:p>
            <w:pPr>
              <w:spacing w:after="20"/>
              <w:jc w:val="left"/>
            </w:pPr>
            <w:r/>
            <w:r>
              <w:t>3.1.0</w:t>
            </w:r>
          </w:p>
        </w:tc>
      </w:tr>
      <w:tr>
        <w:tc>
          <w:tcPr>
            <w:tcW w:type="dxa" w:w="4703"/>
          </w:tcPr>
          <w:p>
            <w:pPr>
              <w:spacing w:after="20"/>
              <w:jc w:val="left"/>
            </w:pPr>
            <w:r/>
            <w:r>
              <w:t>Compiled:</w:t>
            </w:r>
          </w:p>
        </w:tc>
        <w:tc>
          <w:tcPr>
            <w:tcW w:type="dxa" w:w="4703"/>
          </w:tcPr>
          <w:p>
            <w:pPr>
              <w:spacing w:after="20"/>
              <w:jc w:val="left"/>
            </w:pPr>
            <w:r/>
            <w:r>
              <w:t>July 16, 2026    03:43 CDT</w:t>
            </w:r>
          </w:p>
        </w:tc>
      </w:tr>
      <w:tr>
        <w:tc>
          <w:tcPr>
            <w:tcW w:type="dxa" w:w="4703"/>
          </w:tcPr>
          <w:p>
            <w:pPr>
              <w:spacing w:after="20"/>
              <w:jc w:val="left"/>
            </w:pPr>
            <w:r/>
            <w:r>
              <w:t>Status:</w:t>
            </w:r>
          </w:p>
        </w:tc>
        <w:tc>
          <w:tcPr>
            <w:tcW w:type="dxa" w:w="4703"/>
          </w:tcPr>
          <w:p>
            <w:pPr>
              <w:spacing w:after="20"/>
              <w:jc w:val="left"/>
            </w:pPr>
            <w:r/>
            <w:r>
              <w:t>ACTIVE</w:t>
            </w:r>
          </w:p>
        </w:tc>
      </w:tr>
      <w:tr>
        <w:tc>
          <w:tcPr>
            <w:tcW w:type="dxa" w:w="4703"/>
          </w:tcPr>
          <w:p>
            <w:pPr>
              <w:spacing w:after="20"/>
              <w:jc w:val="left"/>
            </w:pPr>
            <w:r/>
            <w:r>
              <w:t>Compiled By:</w:t>
            </w:r>
          </w:p>
        </w:tc>
        <w:tc>
          <w:tcPr>
            <w:tcW w:type="dxa" w:w="4703"/>
          </w:tcPr>
          <w:p>
            <w:pPr>
              <w:spacing w:after="20"/>
              <w:jc w:val="left"/>
            </w:pPr>
            <w:r/>
            <w:r>
              <w:t>Sentinel Core Engineering</w:t>
            </w:r>
          </w:p>
        </w:tc>
      </w:tr>
      <w:tr>
        <w:tc>
          <w:tcPr>
            <w:tcW w:type="dxa" w:w="4703"/>
          </w:tcPr>
          <w:p>
            <w:pPr>
              <w:spacing w:after="20"/>
              <w:jc w:val="left"/>
            </w:pPr>
            <w:r/>
            <w:r>
              <w:t>Audience:</w:t>
            </w:r>
          </w:p>
        </w:tc>
        <w:tc>
          <w:tcPr>
            <w:tcW w:type="dxa" w:w="4703"/>
          </w:tcPr>
          <w:p>
            <w:pPr>
              <w:spacing w:after="20"/>
              <w:jc w:val="left"/>
            </w:pPr>
            <w:r/>
            <w:r>
              <w:t>Protocol Engineers, Node Operators, Security Auditors</w:t>
            </w:r>
          </w:p>
        </w:tc>
      </w:tr>
      <w:tr>
        <w:tc>
          <w:tcPr>
            <w:tcW w:type="dxa" w:w="4703"/>
          </w:tcPr>
          <w:p>
            <w:pPr>
              <w:spacing w:after="20"/>
              <w:jc w:val="left"/>
            </w:pPr>
            <w:r/>
            <w:r>
              <w:t>Origin:</w:t>
            </w:r>
          </w:p>
        </w:tc>
        <w:tc>
          <w:tcPr>
            <w:tcW w:type="dxa" w:w="4703"/>
          </w:tcPr>
          <w:p>
            <w:pPr>
              <w:spacing w:after="20"/>
              <w:jc w:val="left"/>
            </w:pPr>
            <w:r/>
            <w:r>
              <w:t>Allen, TX — Sentinel Core Engineering (CDT)</w:t>
            </w:r>
          </w:p>
        </w:tc>
      </w:tr>
    </w:tbl>
    <w:p/>
    <w:p>
      <w:pPr>
        <w:spacing w:after="80"/>
      </w:pPr>
      <w:r>
        <w:t>TABLE OF CONTENTS</w:t>
      </w:r>
    </w:p>
    <w:p>
      <w:pPr>
        <w:pStyle w:val="Heading1"/>
        <w:spacing w:before="360" w:after="120"/>
      </w:pPr>
      <w:r>
        <w:t>Table of Contents</w:t>
      </w:r>
    </w:p>
    <w:p>
      <w:pPr>
        <w:spacing w:after="40"/>
      </w:pPr>
    </w:p>
    <w:p>
      <w:pPr>
        <w:spacing w:after="80"/>
      </w:pPr>
      <w:r>
        <w:t>Section 0 — Executive Summary</w:t>
      </w:r>
    </w:p>
    <w:p>
      <w:pPr>
        <w:spacing w:after="80"/>
      </w:pPr>
      <w:r>
        <w:t>Section 1 — Network Overview &amp; Architecture</w:t>
      </w:r>
    </w:p>
    <w:p>
      <w:pPr>
        <w:spacing w:after="80"/>
      </w:pPr>
      <w:r>
        <w:t>1.1   Sentinel-L3 Network Identity</w:t>
      </w:r>
    </w:p>
    <w:p>
      <w:pPr>
        <w:spacing w:after="80"/>
      </w:pPr>
      <w:r>
        <w:t>1.2   High-Level Architecture (Layered Description)</w:t>
      </w:r>
    </w:p>
    <w:p>
      <w:pPr>
        <w:spacing w:after="80"/>
      </w:pPr>
      <w:r>
        <w:t>1.3   Core Protocol Stack</w:t>
      </w:r>
    </w:p>
    <w:p>
      <w:pPr>
        <w:spacing w:after="80"/>
      </w:pPr>
      <w:r>
        <w:t>1.4   Node Roles</w:t>
      </w:r>
    </w:p>
    <w:p>
      <w:pPr>
        <w:spacing w:after="80"/>
      </w:pPr>
      <w:r>
        <w:t>Section 2 — Autonomous Upgrade Pipeline (AUP)</w:t>
      </w:r>
    </w:p>
    <w:p>
      <w:pPr>
        <w:spacing w:after="80"/>
      </w:pPr>
      <w:r>
        <w:t>2.1   AUP Overview</w:t>
      </w:r>
    </w:p>
    <w:p>
      <w:pPr>
        <w:spacing w:after="80"/>
      </w:pPr>
      <w:r>
        <w:t>2.2   AUP Architecture</w:t>
      </w:r>
    </w:p>
    <w:p>
      <w:pPr>
        <w:spacing w:after="80"/>
      </w:pPr>
      <w:r>
        <w:t>2.2.1   Module Breakdown</w:t>
      </w:r>
    </w:p>
    <w:p>
      <w:pPr>
        <w:spacing w:after="80"/>
      </w:pPr>
      <w:r>
        <w:t>2.2.2   Staging Ring Model</w:t>
      </w:r>
    </w:p>
    <w:p>
      <w:pPr>
        <w:spacing w:after="80"/>
      </w:pPr>
      <w:r>
        <w:t>2.2.3   Deterministic Execution Model</w:t>
      </w:r>
    </w:p>
    <w:p>
      <w:pPr>
        <w:spacing w:after="80"/>
      </w:pPr>
      <w:r>
        <w:t>2.2.4   Upgrade Sequencing</w:t>
      </w:r>
    </w:p>
    <w:p>
      <w:pPr>
        <w:spacing w:after="80"/>
      </w:pPr>
      <w:r>
        <w:t>2.2.5   Rollback Protocol</w:t>
      </w:r>
    </w:p>
    <w:p>
      <w:pPr>
        <w:spacing w:after="80"/>
      </w:pPr>
      <w:r>
        <w:t>2.3   Governance Flow</w:t>
      </w:r>
    </w:p>
    <w:p>
      <w:pPr>
        <w:spacing w:after="80"/>
      </w:pPr>
      <w:r>
        <w:t>2.3.1   On-Chain Governance Architecture</w:t>
      </w:r>
    </w:p>
    <w:p>
      <w:pPr>
        <w:spacing w:after="80"/>
      </w:pPr>
      <w:r>
        <w:t>2.3.2   Governance Flow Diagram</w:t>
      </w:r>
    </w:p>
    <w:p>
      <w:pPr>
        <w:spacing w:after="80"/>
      </w:pPr>
      <w:r>
        <w:t>2.3.3   Emergency Governance</w:t>
      </w:r>
    </w:p>
    <w:p>
      <w:pPr>
        <w:spacing w:after="80"/>
      </w:pPr>
      <w:r>
        <w:t>2.4   AUP Integration Points with Base Mainnet</w:t>
      </w:r>
    </w:p>
    <w:p>
      <w:pPr>
        <w:spacing w:after="80"/>
      </w:pPr>
      <w:r>
        <w:t>Section 3 — Telemetry System</w:t>
      </w:r>
    </w:p>
    <w:p>
      <w:pPr>
        <w:spacing w:after="80"/>
      </w:pPr>
      <w:r>
        <w:t>3.1   Telemetry System Overview</w:t>
      </w:r>
    </w:p>
    <w:p>
      <w:pPr>
        <w:spacing w:after="80"/>
      </w:pPr>
      <w:r>
        <w:t>3.2   Telemetry Architecture</w:t>
      </w:r>
    </w:p>
    <w:p>
      <w:pPr>
        <w:spacing w:after="80"/>
      </w:pPr>
      <w:r>
        <w:t>3.2.1   Module Breakdown</w:t>
      </w:r>
    </w:p>
    <w:p>
      <w:pPr>
        <w:spacing w:after="80"/>
      </w:pPr>
      <w:r>
        <w:t>3.2.2   Telemetry Streams</w:t>
      </w:r>
    </w:p>
    <w:p>
      <w:pPr>
        <w:spacing w:after="80"/>
      </w:pPr>
      <w:r>
        <w:t>3.2.3   Anomaly Scoring Model</w:t>
      </w:r>
    </w:p>
    <w:p>
      <w:pPr>
        <w:spacing w:after="80"/>
      </w:pPr>
      <w:r>
        <w:t>3.2.4   Data Retention and Compliance</w:t>
      </w:r>
    </w:p>
    <w:p>
      <w:pPr>
        <w:spacing w:after="80"/>
      </w:pPr>
      <w:r>
        <w:t>3.3   Telemetry Integration with AUP</w:t>
      </w:r>
    </w:p>
    <w:p>
      <w:pPr>
        <w:spacing w:after="80"/>
      </w:pPr>
      <w:r>
        <w:t>3.4   Telemetry Integration with Base Mainnet</w:t>
      </w:r>
    </w:p>
    <w:p>
      <w:pPr>
        <w:spacing w:after="80"/>
      </w:pPr>
      <w:r>
        <w:t>Section 4 — Network Atlas</w:t>
      </w:r>
    </w:p>
    <w:p>
      <w:pPr>
        <w:spacing w:after="80"/>
      </w:pPr>
      <w:r>
        <w:t>4.1   Network Atlas Overview</w:t>
      </w:r>
    </w:p>
    <w:p>
      <w:pPr>
        <w:spacing w:after="80"/>
      </w:pPr>
      <w:r>
        <w:t>4.2   Atlas Architecture</w:t>
      </w:r>
    </w:p>
    <w:p>
      <w:pPr>
        <w:spacing w:after="80"/>
      </w:pPr>
      <w:r>
        <w:t>4.2.1   Module Breakdown</w:t>
      </w:r>
    </w:p>
    <w:p>
      <w:pPr>
        <w:spacing w:after="80"/>
      </w:pPr>
      <w:r>
        <w:t>4.2.2   Node Topology</w:t>
      </w:r>
    </w:p>
    <w:p>
      <w:pPr>
        <w:spacing w:after="80"/>
      </w:pPr>
      <w:r>
        <w:t>4.2.3   Network Segment Map</w:t>
      </w:r>
    </w:p>
    <w:p>
      <w:pPr>
        <w:spacing w:after="80"/>
      </w:pPr>
      <w:r>
        <w:t>4.2.4   Peer Connectivity Matrix</w:t>
      </w:r>
    </w:p>
    <w:p>
      <w:pPr>
        <w:spacing w:after="80"/>
      </w:pPr>
      <w:r>
        <w:t>4.2.5   Version Registry Schema</w:t>
      </w:r>
    </w:p>
    <w:p>
      <w:pPr>
        <w:spacing w:after="80"/>
      </w:pPr>
      <w:r>
        <w:t>4.3   Atlas Integration Points</w:t>
      </w:r>
    </w:p>
    <w:p>
      <w:pPr>
        <w:spacing w:after="80"/>
      </w:pPr>
      <w:r>
        <w:t>4.3.1   Atlas ↔ AUP Integration</w:t>
      </w:r>
    </w:p>
    <w:p>
      <w:pPr>
        <w:spacing w:after="80"/>
      </w:pPr>
      <w:r>
        <w:t>4.3.2   Atlas ↔ Telemetry Integration</w:t>
      </w:r>
    </w:p>
    <w:p>
      <w:pPr>
        <w:spacing w:after="80"/>
      </w:pPr>
      <w:r>
        <w:t>4.3.3   Atlas Integration with Base Mainnet</w:t>
      </w:r>
    </w:p>
    <w:p>
      <w:pPr>
        <w:spacing w:after="80"/>
      </w:pPr>
      <w:r>
        <w:t>Section 5 — Cross-Subsystem Integration Matrix</w:t>
      </w:r>
    </w:p>
    <w:p>
      <w:pPr>
        <w:spacing w:after="80"/>
      </w:pPr>
      <w:r>
        <w:t>5.1   Integration Overview</w:t>
      </w:r>
    </w:p>
    <w:p>
      <w:pPr>
        <w:spacing w:after="80"/>
      </w:pPr>
      <w:r>
        <w:t>5.2   End-to-End Integration Flow (Upgrade Scenario)</w:t>
      </w:r>
    </w:p>
    <w:p>
      <w:pPr>
        <w:spacing w:after="80"/>
      </w:pPr>
      <w:r>
        <w:t>5.3   Integration API Surface</w:t>
      </w:r>
    </w:p>
    <w:p>
      <w:pPr>
        <w:spacing w:after="80"/>
      </w:pPr>
      <w:r>
        <w:t>Section 6 — Production Operations</w:t>
      </w:r>
    </w:p>
    <w:p>
      <w:pPr>
        <w:spacing w:after="80"/>
      </w:pPr>
      <w:r>
        <w:t>6.1   Runbook Summary</w:t>
      </w:r>
    </w:p>
    <w:p>
      <w:pPr>
        <w:spacing w:after="80"/>
      </w:pPr>
      <w:r>
        <w:t>6.2   SLA Definitions</w:t>
      </w:r>
    </w:p>
    <w:p>
      <w:pPr>
        <w:spacing w:after="80"/>
      </w:pPr>
      <w:r>
        <w:t>6.3   Security Model</w:t>
      </w:r>
    </w:p>
    <w:p>
      <w:pPr>
        <w:spacing w:after="80"/>
      </w:pPr>
      <w:r>
        <w:t>6.4   Incident Severity Matrix</w:t>
      </w:r>
    </w:p>
    <w:p>
      <w:pPr>
        <w:spacing w:after="80"/>
      </w:pPr>
      <w:r>
        <w:t>Appendix A — Manifest Schema Reference</w:t>
      </w:r>
    </w:p>
    <w:p>
      <w:pPr>
        <w:spacing w:after="80"/>
      </w:pPr>
      <w:r>
        <w:t>Appendix B — Contract Addresses (Base Mainnet)</w:t>
      </w:r>
    </w:p>
    <w:p>
      <w:pPr>
        <w:spacing w:after="80"/>
      </w:pPr>
      <w:r>
        <w:t>Appendix C — Glossary</w:t>
      </w:r>
    </w:p>
    <w:p>
      <w:pPr>
        <w:spacing w:after="80"/>
      </w:pPr>
      <w:r>
        <w:t>Appendix D — Version History</w:t>
      </w:r>
    </w:p>
    <w:p>
      <w:pPr>
        <w:spacing w:after="80"/>
      </w:pPr>
      <w:r>
        <w:t>============================================================</w:t>
      </w:r>
    </w:p>
    <w:p>
      <w:pPr>
        <w:spacing w:after="80"/>
      </w:pPr>
      <w:r>
        <w:t>SECTION 0 — EXECUTIVE SUMMARY</w:t>
      </w:r>
    </w:p>
    <w:p>
      <w:pPr>
        <w:spacing w:after="80"/>
      </w:pPr>
      <w:r>
        <w:t>============================================================</w:t>
      </w:r>
    </w:p>
    <w:p>
      <w:pPr>
        <w:pStyle w:val="Heading1"/>
        <w:spacing w:before="360" w:after="120"/>
      </w:pPr>
      <w:r>
        <w:t>Section 0 — Executive Summary</w:t>
      </w:r>
    </w:p>
    <w:p>
      <w:pPr>
        <w:spacing w:after="40"/>
      </w:pPr>
    </w:p>
    <w:p>
      <w:pPr>
        <w:spacing w:after="120"/>
      </w:pPr>
      <w:r>
        <w:rPr>
          <w:b/>
        </w:rPr>
        <w:t>Sentinel-L3</w:t>
      </w:r>
      <w:r>
        <w:t xml:space="preserve"> is a production Layer 3 rollup network settling to </w:t>
      </w:r>
      <w:r>
        <w:rPr>
          <w:b/>
        </w:rPr>
        <w:t>Base Mainnet</w:t>
      </w:r>
      <w:r>
        <w:t xml:space="preserve"> (OP Stack), which in turn settles to Ethereum L1. It is designed to serve as a high-throughput, EVM-compatible execution environment with a </w:t>
      </w:r>
      <w:r>
        <w:rPr>
          <w:b/>
        </w:rPr>
        <w:t>250ms target block time</w:t>
      </w:r>
      <w:r>
        <w:t>, governed by on-chain protocol upgrades and enforced by a deterministic, fault-tolerant automation layer. This document is the unified production specification combining all three core subsystems that govern, observe, and describe the Sentinel-L3 network. It supersedes all prior subsystem-specific specifications as of version 3.1.0.</w:t>
      </w:r>
    </w:p>
    <w:p>
      <w:pPr>
        <w:spacing w:after="120"/>
      </w:pPr>
      <w:r>
        <w:t xml:space="preserve">This dossier is authored for internal audiences: </w:t>
      </w:r>
      <w:r>
        <w:rPr>
          <w:b/>
        </w:rPr>
        <w:t>protocol engineers</w:t>
      </w:r>
      <w:r>
        <w:t xml:space="preserve"> responsible for core system design and implementation, </w:t>
      </w:r>
      <w:r>
        <w:rPr>
          <w:b/>
        </w:rPr>
        <w:t>node operators</w:t>
      </w:r>
      <w:r>
        <w:t xml:space="preserve"> managing production infrastructure, and </w:t>
      </w:r>
      <w:r>
        <w:rPr>
          <w:b/>
        </w:rPr>
        <w:t>security auditors</w:t>
      </w:r>
      <w:r>
        <w:t xml:space="preserve"> performing compliance and adversarial review. It is not intended for public distribution and must not be shared outside of authorized personnel.</w:t>
      </w:r>
    </w:p>
    <w:p>
      <w:pPr>
        <w:pStyle w:val="Heading2"/>
        <w:spacing w:before="280" w:after="80"/>
      </w:pPr>
      <w:r>
        <w:t>Subsystem Roles</w:t>
      </w:r>
    </w:p>
    <w:p>
      <w:pPr>
        <w:spacing w:after="120"/>
      </w:pPr>
      <w:r>
        <w:t>The three subsystems documented herein form an integrated operational control plane for Sentinel-L3:</w:t>
      </w:r>
    </w:p>
    <w:p>
      <w:pPr>
        <w:pStyle w:val="ListBullet"/>
        <w:spacing w:after="40"/>
      </w:pPr>
      <w:r>
        <w:rPr>
          <w:b/>
        </w:rPr>
        <w:t>Autonomous Upgrade Pipeline (AUP):</w:t>
      </w:r>
      <w:r>
        <w:t xml:space="preserve"> The governance-coupled, deterministic execution engine responsible for coordinating all protocol upgrades across the managed node fleet. The AUP enforces a five-ring staged rollout model, rollback invariants, cross-node coordination, and on-chain audit anchoring. It operates without manual intervention following governance approval, and is the sole authorized upgrade executor whitelisted in the </w:t>
      </w:r>
      <w:r>
        <w:t>SentinelGovernor.sol</w:t>
      </w:r>
      <w:r>
        <w:t xml:space="preserve"> contract on Base.</w:t>
      </w:r>
    </w:p>
    <w:p>
      <w:pPr>
        <w:pStyle w:val="ListBullet"/>
        <w:spacing w:after="40"/>
      </w:pPr>
      <w:r>
        <w:rPr>
          <w:b/>
        </w:rPr>
        <w:t>Telemetry System (TS):</w:t>
      </w:r>
      <w:r>
        <w:t xml:space="preserve"> The observability backbone of the network. The TS ingests, processes, aggregates, and routes structured metrics, distributed traces, and structured event logs from every AUP-managed node in the fleet. Its anomaly scoring engine (TS-003) feeds health signals to the AUP rollback decision engine (AUP-005) in near real-time, forming the primary automated safety gate for upgrade execution. It also provides operator-facing dashboards and PagerDuty-integrated alerting.</w:t>
      </w:r>
    </w:p>
    <w:p>
      <w:pPr>
        <w:pStyle w:val="ListBullet"/>
        <w:spacing w:after="40"/>
      </w:pPr>
      <w:r>
        <w:rPr>
          <w:b/>
        </w:rPr>
        <w:t>Network Atlas (NA):</w:t>
      </w:r>
      <w:r>
        <w:t xml:space="preserve"> The authoritative, real-time registry of all nodes, peer relationships, topology segments, and protocol versions in the Sentinel-L3 network. The Atlas serves as the source of truth for the AUP (upgrade targeting and scope), the Telemetry System (monitoring scope enumeration), and network operators (topology planning and geographic distribution visibility). Signed Atlas snapshots are published on-chain to Base every epoch.</w:t>
      </w:r>
    </w:p>
    <w:p>
      <w:pPr>
        <w:pStyle w:val="Heading2"/>
        <w:spacing w:before="280" w:after="80"/>
      </w:pPr>
      <w:r>
        <w:t>Key Design Principles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spacing w:after="20"/>
              <w:jc w:val="left"/>
            </w:pPr>
            <w:r>
              <w:rPr>
                <w:b/>
                <w:color w:val="FFFFFF"/>
              </w:rPr>
            </w:r>
            <w:r>
              <w:rPr>
                <w:b/>
                <w:color w:val="FFFFFF"/>
              </w:rPr>
              <w:t>Principle</w:t>
            </w:r>
          </w:p>
        </w:tc>
        <w:tc>
          <w:tcPr>
            <w:tcW w:type="dxa" w:w="3135"/>
            <w:shd w:val="clear" w:color="auto" w:fill="1F3864"/>
          </w:tcPr>
          <w:p>
            <w:pPr>
              <w:spacing w:after="20"/>
              <w:jc w:val="left"/>
            </w:pPr>
            <w:r>
              <w:rPr>
                <w:b/>
                <w:color w:val="FFFFFF"/>
              </w:rPr>
            </w:r>
            <w:r>
              <w:rPr>
                <w:b/>
                <w:color w:val="FFFFFF"/>
              </w:rPr>
              <w:t>Definition</w:t>
            </w:r>
          </w:p>
        </w:tc>
        <w:tc>
          <w:tcPr>
            <w:tcW w:type="dxa" w:w="3135"/>
            <w:shd w:val="clear" w:color="auto" w:fill="1F3864"/>
          </w:tcPr>
          <w:p>
            <w:pPr>
              <w:spacing w:after="20"/>
              <w:jc w:val="left"/>
            </w:pPr>
            <w:r>
              <w:rPr>
                <w:b/>
                <w:color w:val="FFFFFF"/>
              </w:rPr>
            </w:r>
            <w:r>
              <w:rPr>
                <w:b/>
                <w:color w:val="FFFFFF"/>
              </w:rPr>
              <w:t>Primary Enforcement Mechanism</w:t>
            </w:r>
          </w:p>
        </w:tc>
      </w:tr>
      <w:tr>
        <w:tc>
          <w:tcPr>
            <w:tcW w:type="dxa" w:w="3135"/>
          </w:tcPr>
          <w:p>
            <w:pPr>
              <w:spacing w:after="20"/>
              <w:jc w:val="left"/>
            </w:pPr>
            <w:r/>
            <w:r>
              <w:rPr>
                <w:b/>
              </w:rPr>
              <w:t>Determinism</w:t>
            </w:r>
          </w:p>
        </w:tc>
        <w:tc>
          <w:tcPr>
            <w:tcW w:type="dxa" w:w="3135"/>
          </w:tcPr>
          <w:p>
            <w:pPr>
              <w:spacing w:after="20"/>
              <w:jc w:val="left"/>
            </w:pPr>
            <w:r/>
            <w:r>
              <w:t>All upgrade executions are content-addressed, block-height gated, and produce identical outcomes given identical inputs across any compliant executor.</w:t>
            </w:r>
          </w:p>
        </w:tc>
        <w:tc>
          <w:tcPr>
            <w:tcW w:type="dxa" w:w="3135"/>
          </w:tcPr>
          <w:p>
            <w:pPr>
              <w:spacing w:after="20"/>
              <w:jc w:val="left"/>
            </w:pPr>
            <w:r/>
            <w:r>
              <w:t>AUP declarative manifests; SHA3-256 content addressing; no wall-clock dependencies</w:t>
            </w:r>
          </w:p>
        </w:tc>
      </w:tr>
      <w:tr>
        <w:tc>
          <w:tcPr>
            <w:tcW w:type="dxa" w:w="3135"/>
          </w:tcPr>
          <w:p>
            <w:pPr>
              <w:spacing w:after="20"/>
              <w:jc w:val="left"/>
            </w:pPr>
            <w:r/>
            <w:r>
              <w:rPr>
                <w:b/>
              </w:rPr>
              <w:t>Fault-Tolerance</w:t>
            </w:r>
          </w:p>
        </w:tc>
        <w:tc>
          <w:tcPr>
            <w:tcW w:type="dxa" w:w="3135"/>
          </w:tcPr>
          <w:p>
            <w:pPr>
              <w:spacing w:after="20"/>
              <w:jc w:val="left"/>
            </w:pPr>
            <w:r/>
            <w:r>
              <w:t>The system degrades gracefully under partial failures; no single node failure halts the network or the upgrade pipeline.</w:t>
            </w:r>
          </w:p>
        </w:tc>
        <w:tc>
          <w:tcPr>
            <w:tcW w:type="dxa" w:w="3135"/>
          </w:tcPr>
          <w:p>
            <w:pPr>
              <w:spacing w:after="20"/>
              <w:jc w:val="left"/>
            </w:pPr>
            <w:r/>
            <w:r>
              <w:t>5-ring staged rollout; rollback arbiter (AUP-005); telemetry health gating; sequencer fallback</w:t>
            </w:r>
          </w:p>
        </w:tc>
      </w:tr>
      <w:tr>
        <w:tc>
          <w:tcPr>
            <w:tcW w:type="dxa" w:w="3135"/>
          </w:tcPr>
          <w:p>
            <w:pPr>
              <w:spacing w:after="20"/>
              <w:jc w:val="left"/>
            </w:pPr>
            <w:r/>
            <w:r>
              <w:rPr>
                <w:b/>
              </w:rPr>
              <w:t>Auditability</w:t>
            </w:r>
          </w:p>
        </w:tc>
        <w:tc>
          <w:tcPr>
            <w:tcW w:type="dxa" w:w="3135"/>
          </w:tcPr>
          <w:p>
            <w:pPr>
              <w:spacing w:after="20"/>
              <w:jc w:val="left"/>
            </w:pPr>
            <w:r/>
            <w:r>
              <w:t>Every upgrade action, telemetry anomaly event, and Atlas state change is cryptographically recorded and anchored on Base L2.</w:t>
            </w:r>
          </w:p>
        </w:tc>
        <w:tc>
          <w:tcPr>
            <w:tcW w:type="dxa" w:w="3135"/>
          </w:tcPr>
          <w:p>
            <w:pPr>
              <w:spacing w:after="20"/>
              <w:jc w:val="left"/>
            </w:pPr>
            <w:r/>
            <w:r>
              <w:t>AUP-006 append-only audit log; AuditAnchor.sol; AtlasRegistry.sol; TS-005 event log</w:t>
            </w:r>
          </w:p>
        </w:tc>
      </w:tr>
      <w:tr>
        <w:tc>
          <w:tcPr>
            <w:tcW w:type="dxa" w:w="3135"/>
          </w:tcPr>
          <w:p>
            <w:pPr>
              <w:spacing w:after="20"/>
              <w:jc w:val="left"/>
            </w:pPr>
            <w:r/>
            <w:r>
              <w:rPr>
                <w:b/>
              </w:rPr>
              <w:t>Composability</w:t>
            </w:r>
          </w:p>
        </w:tc>
        <w:tc>
          <w:tcPr>
            <w:tcW w:type="dxa" w:w="3135"/>
          </w:tcPr>
          <w:p>
            <w:pPr>
              <w:spacing w:after="20"/>
              <w:jc w:val="left"/>
            </w:pPr>
            <w:r/>
            <w:r>
              <w:t>All three subsystems expose well-defined gRPC/REST APIs, enabling consumption by external operators and future protocol extensions without tight coupling.</w:t>
            </w:r>
          </w:p>
        </w:tc>
        <w:tc>
          <w:tcPr>
            <w:tcW w:type="dxa" w:w="3135"/>
          </w:tcPr>
          <w:p>
            <w:pPr>
              <w:spacing w:after="20"/>
              <w:jc w:val="left"/>
            </w:pPr>
            <w:r/>
            <w:r>
              <w:t>NA-005 Atlas API; TS-007 Health API; AUP-006 Kafka audit stream; SPIFFE/SPIRE identity</w:t>
            </w:r>
          </w:p>
        </w:tc>
      </w:tr>
    </w:tbl>
    <w:p/>
    <w:p>
      <w:pPr>
        <w:pStyle w:val="Heading2"/>
        <w:spacing w:before="280" w:after="80"/>
      </w:pPr>
      <w:r>
        <w:t>Integration Posture with Base Mainnet</w:t>
      </w:r>
    </w:p>
    <w:p>
      <w:pPr>
        <w:spacing w:after="120"/>
      </w:pPr>
      <w:r>
        <w:t xml:space="preserve">Sentinel-L3 derives its execution layer state from Base via the OP Stack derivation pipeline, adapted for L3 operation. All governance signals originate from contracts deployed on Base. Upgrade artifact hashes, audit log Merkle roots, and Atlas topology snapshots are all anchored on Base, providing a verifiable, tamper-resistant record of the L3 operational state accessible from L1 Ethereum via Base's output root mechanism. The integration boundary is enforced at the smart contract layer: the AUP holds the sole executor role in </w:t>
      </w:r>
      <w:r>
        <w:t>SentinelGovernor.sol</w:t>
      </w:r>
      <w:r>
        <w:t>, and all cross-layer writes are authenticated via cryptographic signatures.</w:t>
      </w:r>
    </w:p>
    <w:p>
      <w:pPr>
        <w:spacing w:after="80"/>
      </w:pPr>
      <w:r>
        <w:t>DOCUMENT SCOPE</w:t>
      </w:r>
    </w:p>
    <w:p>
      <w:pPr>
        <w:spacing w:after="120"/>
      </w:pPr>
      <w:r>
        <w:t xml:space="preserve">This document covers: network identity and architecture (Section 1), AUP design and governance (Section 2), Telemetry system design (Section 3), Network Atlas design (Section 4), cross-subsystem integration (Section 5), production operations (Section 6), and technical appendices (A–D). Sections are cross-referenced throughout. All module identifiers follow the pattern </w:t>
      </w:r>
      <w:r>
        <w:t>[SUBSYSTEM]-[NNN]</w:t>
      </w:r>
      <w:r>
        <w:t xml:space="preserve"> (e.g., </w:t>
      </w:r>
      <w:r>
        <w:t>AUP-003</w:t>
      </w:r>
      <w:r>
        <w:t xml:space="preserve">, </w:t>
      </w:r>
      <w:r>
        <w:t>TS-007</w:t>
      </w:r>
      <w:r>
        <w:t xml:space="preserve">, </w:t>
      </w:r>
      <w:r>
        <w:t>NA-002</w:t>
      </w:r>
      <w:r>
        <w:t>).</w:t>
      </w:r>
    </w:p>
    <w:p>
      <w:pPr>
        <w:spacing w:after="80"/>
      </w:pPr>
      <w:r>
        <w:t>============================================================</w:t>
      </w:r>
    </w:p>
    <w:p>
      <w:pPr>
        <w:spacing w:after="80"/>
      </w:pPr>
      <w:r>
        <w:t>SECTION 1 — NETWORK OVERVIEW &amp; ARCHITECTURE</w:t>
      </w:r>
    </w:p>
    <w:p>
      <w:pPr>
        <w:spacing w:after="80"/>
      </w:pPr>
      <w:r>
        <w:t>============================================================</w:t>
      </w:r>
    </w:p>
    <w:p>
      <w:pPr>
        <w:pStyle w:val="Heading1"/>
        <w:spacing w:before="360" w:after="120"/>
      </w:pPr>
      <w:r>
        <w:t>Section 1 — Network Overview &amp; Architecture</w:t>
      </w:r>
    </w:p>
    <w:p>
      <w:pPr>
        <w:spacing w:after="40"/>
      </w:pPr>
    </w:p>
    <w:p>
      <w:pPr>
        <w:pStyle w:val="Heading2"/>
        <w:spacing w:before="280" w:after="80"/>
      </w:pPr>
      <w:r>
        <w:t>1.1 Sentinel-L3 Network Identity</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spacing w:after="20"/>
              <w:jc w:val="left"/>
            </w:pPr>
            <w:r>
              <w:rPr>
                <w:b/>
                <w:color w:val="FFFFFF"/>
              </w:rPr>
            </w:r>
            <w:r>
              <w:rPr>
                <w:b/>
                <w:color w:val="FFFFFF"/>
              </w:rPr>
              <w:t>Parameter</w:t>
            </w:r>
          </w:p>
        </w:tc>
        <w:tc>
          <w:tcPr>
            <w:tcW w:type="dxa" w:w="4703"/>
            <w:shd w:val="clear" w:color="auto" w:fill="1F3864"/>
          </w:tcPr>
          <w:p>
            <w:pPr>
              <w:spacing w:after="20"/>
              <w:jc w:val="left"/>
            </w:pPr>
            <w:r>
              <w:rPr>
                <w:b/>
                <w:color w:val="FFFFFF"/>
              </w:rPr>
            </w:r>
            <w:r>
              <w:rPr>
                <w:b/>
                <w:color w:val="FFFFFF"/>
              </w:rPr>
              <w:t>Value</w:t>
            </w:r>
          </w:p>
        </w:tc>
      </w:tr>
      <w:tr>
        <w:tc>
          <w:tcPr>
            <w:tcW w:type="dxa" w:w="4703"/>
          </w:tcPr>
          <w:p>
            <w:pPr>
              <w:spacing w:after="20"/>
              <w:jc w:val="left"/>
            </w:pPr>
            <w:r/>
            <w:r>
              <w:t>Network Name</w:t>
            </w:r>
          </w:p>
        </w:tc>
        <w:tc>
          <w:tcPr>
            <w:tcW w:type="dxa" w:w="4703"/>
          </w:tcPr>
          <w:p>
            <w:pPr>
              <w:spacing w:after="20"/>
              <w:jc w:val="left"/>
            </w:pPr>
            <w:r/>
            <w:r>
              <w:rPr>
                <w:b/>
              </w:rPr>
              <w:t>Sentinel-L3</w:t>
            </w:r>
          </w:p>
        </w:tc>
      </w:tr>
      <w:tr>
        <w:tc>
          <w:tcPr>
            <w:tcW w:type="dxa" w:w="4703"/>
          </w:tcPr>
          <w:p>
            <w:pPr>
              <w:spacing w:after="20"/>
              <w:jc w:val="left"/>
            </w:pPr>
            <w:r/>
            <w:r>
              <w:t>Layer</w:t>
            </w:r>
          </w:p>
        </w:tc>
        <w:tc>
          <w:tcPr>
            <w:tcW w:type="dxa" w:w="4703"/>
          </w:tcPr>
          <w:p>
            <w:pPr>
              <w:spacing w:after="20"/>
              <w:jc w:val="left"/>
            </w:pPr>
            <w:r/>
            <w:r>
              <w:t>L3 (Layer 3 rollup — settles to Base L2, which settles to Ethereum L1)</w:t>
            </w:r>
          </w:p>
        </w:tc>
      </w:tr>
      <w:tr>
        <w:tc>
          <w:tcPr>
            <w:tcW w:type="dxa" w:w="4703"/>
          </w:tcPr>
          <w:p>
            <w:pPr>
              <w:spacing w:after="20"/>
              <w:jc w:val="left"/>
            </w:pPr>
            <w:r/>
            <w:r>
              <w:t>Settlement Layer</w:t>
            </w:r>
          </w:p>
        </w:tc>
        <w:tc>
          <w:tcPr>
            <w:tcW w:type="dxa" w:w="4703"/>
          </w:tcPr>
          <w:p>
            <w:pPr>
              <w:spacing w:after="20"/>
              <w:jc w:val="left"/>
            </w:pPr>
            <w:r/>
            <w:r>
              <w:t>Base Mainnet (OP Stack)</w:t>
            </w:r>
          </w:p>
        </w:tc>
      </w:tr>
      <w:tr>
        <w:tc>
          <w:tcPr>
            <w:tcW w:type="dxa" w:w="4703"/>
          </w:tcPr>
          <w:p>
            <w:pPr>
              <w:spacing w:after="20"/>
              <w:jc w:val="left"/>
            </w:pPr>
            <w:r/>
            <w:r>
              <w:t>Virtual Machine</w:t>
            </w:r>
          </w:p>
        </w:tc>
        <w:tc>
          <w:tcPr>
            <w:tcW w:type="dxa" w:w="4703"/>
          </w:tcPr>
          <w:p>
            <w:pPr>
              <w:spacing w:after="20"/>
              <w:jc w:val="left"/>
            </w:pPr>
            <w:r/>
            <w:r>
              <w:t>EVM-compatible (Cannon fault proof / MIPS VM)</w:t>
            </w:r>
          </w:p>
        </w:tc>
      </w:tr>
      <w:tr>
        <w:tc>
          <w:tcPr>
            <w:tcW w:type="dxa" w:w="4703"/>
          </w:tcPr>
          <w:p>
            <w:pPr>
              <w:spacing w:after="20"/>
              <w:jc w:val="left"/>
            </w:pPr>
            <w:r/>
            <w:r>
              <w:t>Consensus Mechanism</w:t>
            </w:r>
          </w:p>
        </w:tc>
        <w:tc>
          <w:tcPr>
            <w:tcW w:type="dxa" w:w="4703"/>
          </w:tcPr>
          <w:p>
            <w:pPr>
              <w:spacing w:after="20"/>
              <w:jc w:val="left"/>
            </w:pPr>
            <w:r/>
            <w:r>
              <w:t>Sequencer-based with decentralized validation</w:t>
            </w:r>
          </w:p>
        </w:tc>
      </w:tr>
      <w:tr>
        <w:tc>
          <w:tcPr>
            <w:tcW w:type="dxa" w:w="4703"/>
          </w:tcPr>
          <w:p>
            <w:pPr>
              <w:spacing w:after="20"/>
              <w:jc w:val="left"/>
            </w:pPr>
            <w:r/>
            <w:r>
              <w:t>Target Block Time</w:t>
            </w:r>
          </w:p>
        </w:tc>
        <w:tc>
          <w:tcPr>
            <w:tcW w:type="dxa" w:w="4703"/>
          </w:tcPr>
          <w:p>
            <w:pPr>
              <w:spacing w:after="20"/>
              <w:jc w:val="left"/>
            </w:pPr>
            <w:r/>
            <w:r>
              <w:rPr>
                <w:b/>
              </w:rPr>
              <w:t>250ms</w:t>
            </w:r>
          </w:p>
        </w:tc>
      </w:tr>
      <w:tr>
        <w:tc>
          <w:tcPr>
            <w:tcW w:type="dxa" w:w="4703"/>
          </w:tcPr>
          <w:p>
            <w:pPr>
              <w:spacing w:after="20"/>
              <w:jc w:val="left"/>
            </w:pPr>
            <w:r/>
            <w:r>
              <w:t>Soft Finality</w:t>
            </w:r>
          </w:p>
        </w:tc>
        <w:tc>
          <w:tcPr>
            <w:tcW w:type="dxa" w:w="4703"/>
          </w:tcPr>
          <w:p>
            <w:pPr>
              <w:spacing w:after="20"/>
              <w:jc w:val="left"/>
            </w:pPr>
            <w:r/>
            <w:r>
              <w:t>1–2 L3 blocks (~250–500ms)</w:t>
            </w:r>
          </w:p>
        </w:tc>
      </w:tr>
      <w:tr>
        <w:tc>
          <w:tcPr>
            <w:tcW w:type="dxa" w:w="4703"/>
          </w:tcPr>
          <w:p>
            <w:pPr>
              <w:spacing w:after="20"/>
              <w:jc w:val="left"/>
            </w:pPr>
            <w:r/>
            <w:r>
              <w:t>L2 Batch Finality</w:t>
            </w:r>
          </w:p>
        </w:tc>
        <w:tc>
          <w:tcPr>
            <w:tcW w:type="dxa" w:w="4703"/>
          </w:tcPr>
          <w:p>
            <w:pPr>
              <w:spacing w:after="20"/>
              <w:jc w:val="left"/>
            </w:pPr>
            <w:r/>
            <w:r>
              <w:t>~2 minutes (Base L2 batch inclusion)</w:t>
            </w:r>
          </w:p>
        </w:tc>
      </w:tr>
      <w:tr>
        <w:tc>
          <w:tcPr>
            <w:tcW w:type="dxa" w:w="4703"/>
          </w:tcPr>
          <w:p>
            <w:pPr>
              <w:spacing w:after="20"/>
              <w:jc w:val="left"/>
            </w:pPr>
            <w:r/>
            <w:r>
              <w:t>Ethereum (Hard) Finality</w:t>
            </w:r>
          </w:p>
        </w:tc>
        <w:tc>
          <w:tcPr>
            <w:tcW w:type="dxa" w:w="4703"/>
          </w:tcPr>
          <w:p>
            <w:pPr>
              <w:spacing w:after="20"/>
              <w:jc w:val="left"/>
            </w:pPr>
            <w:r/>
            <w:r>
              <w:t>~15 minutes (via Base output root → L1)</w:t>
            </w:r>
          </w:p>
        </w:tc>
      </w:tr>
      <w:tr>
        <w:tc>
          <w:tcPr>
            <w:tcW w:type="dxa" w:w="4703"/>
          </w:tcPr>
          <w:p>
            <w:pPr>
              <w:spacing w:after="20"/>
              <w:jc w:val="left"/>
            </w:pPr>
            <w:r/>
            <w:r>
              <w:t>Chain ID</w:t>
            </w:r>
          </w:p>
        </w:tc>
        <w:tc>
          <w:tcPr>
            <w:tcW w:type="dxa" w:w="4703"/>
          </w:tcPr>
          <w:p>
            <w:pPr>
              <w:spacing w:after="20"/>
              <w:jc w:val="left"/>
            </w:pPr>
            <w:r/>
            <w:r>
              <w:t>7381</w:t>
            </w:r>
            <w:r>
              <w:t xml:space="preserve"> (Sentinel-L3 Mainnet)</w:t>
            </w:r>
          </w:p>
        </w:tc>
      </w:tr>
    </w:tbl>
    <w:p/>
    <w:p>
      <w:pPr>
        <w:pStyle w:val="Heading2"/>
        <w:spacing w:before="280" w:after="80"/>
      </w:pPr>
      <w:r>
        <w:t>1.2 High-Level Architecture (Layered Description)</w:t>
      </w:r>
    </w:p>
    <w:p>
      <w:pPr>
        <w:spacing w:after="120"/>
      </w:pPr>
      <w:r>
        <w:t>The Sentinel-L3 network operates within a three-layer settlement hierarchy. Each layer is responsible for its own execution context and posts commitments upward. The following describes the canonical layer stack from root of trust down to client access:</w:t>
      </w:r>
    </w:p>
    <w:p>
      <w:pPr>
        <w:pStyle w:val="Heading3"/>
        <w:spacing w:before="200" w:after="60"/>
      </w:pPr>
      <w:r>
        <w:t>Layer 1 — Ethereum Mainnet (Root of Trust)</w:t>
      </w:r>
    </w:p>
    <w:p>
      <w:pPr>
        <w:pStyle w:val="ListBullet"/>
        <w:spacing w:after="40"/>
      </w:pPr>
      <w:r>
        <w:t>Serves as the ultimate settlement and finality layer for the entire stack.</w:t>
      </w:r>
    </w:p>
    <w:p>
      <w:pPr>
        <w:pStyle w:val="ListBullet"/>
        <w:spacing w:after="40"/>
      </w:pPr>
      <w:r>
        <w:t>Hosts the Base L2 output root contracts; Sentinel-L3 finality is traceable to Ethereum L1 via Base's output root mechanism.</w:t>
      </w:r>
    </w:p>
    <w:p>
      <w:pPr>
        <w:pStyle w:val="ListBullet"/>
        <w:spacing w:after="40"/>
      </w:pPr>
      <w:r>
        <w:t>Provides data availability guarantees for Base L2 calldata posted as blobs (EIP-4844).</w:t>
      </w:r>
    </w:p>
    <w:p>
      <w:pPr>
        <w:pStyle w:val="ListBullet"/>
        <w:spacing w:after="40"/>
      </w:pPr>
      <w:r>
        <w:t>No direct Sentinel-L3 contracts are deployed on L1; all L1 interaction is mediated through Base.</w:t>
      </w:r>
    </w:p>
    <w:p>
      <w:pPr>
        <w:pStyle w:val="Heading3"/>
        <w:spacing w:before="200" w:after="60"/>
      </w:pPr>
      <w:r>
        <w:t>Layer 2 — Base Mainnet (OP Stack Rollup)</w:t>
      </w:r>
    </w:p>
    <w:p>
      <w:pPr>
        <w:pStyle w:val="ListBullet"/>
        <w:spacing w:after="40"/>
      </w:pPr>
      <w:r>
        <w:t>Settlement layer for Sentinel-L3 batch data.</w:t>
      </w:r>
    </w:p>
    <w:p>
      <w:pPr>
        <w:pStyle w:val="ListBullet"/>
        <w:spacing w:after="40"/>
      </w:pPr>
      <w:r>
        <w:t xml:space="preserve">Hosts all Sentinel governance and operational smart contracts: </w:t>
      </w:r>
      <w:r>
        <w:t>SentinelGovernor.sol</w:t>
      </w:r>
      <w:r>
        <w:t xml:space="preserve">, </w:t>
      </w:r>
      <w:r>
        <w:t>TimelockController.sol</w:t>
      </w:r>
      <w:r>
        <w:t xml:space="preserve">, </w:t>
      </w:r>
      <w:r>
        <w:t>UpgradeRegistry.sol</w:t>
      </w:r>
      <w:r>
        <w:t xml:space="preserve">, </w:t>
      </w:r>
      <w:r>
        <w:t>AuditAnchor.sol</w:t>
      </w:r>
      <w:r>
        <w:t xml:space="preserve">, </w:t>
      </w:r>
      <w:r>
        <w:t>AtlasRegistry.sol</w:t>
      </w:r>
      <w:r>
        <w:t xml:space="preserve">, </w:t>
      </w:r>
      <w:r>
        <w:t>EmergencyCouncil.sol</w:t>
      </w:r>
      <w:r>
        <w:t>.</w:t>
      </w:r>
    </w:p>
    <w:p>
      <w:pPr>
        <w:pStyle w:val="ListBullet"/>
        <w:spacing w:after="40"/>
      </w:pPr>
      <w:r>
        <w:t>Batch poster ingests Sentinel-L3 transaction batches and posts to Base as calldata.</w:t>
      </w:r>
    </w:p>
    <w:p>
      <w:pPr>
        <w:pStyle w:val="ListBullet"/>
        <w:spacing w:after="40"/>
      </w:pPr>
      <w:r>
        <w:t>OP Stack dispute game (Cannon/MIPS) validates L3 state transitions challenged on Base.</w:t>
      </w:r>
    </w:p>
    <w:p>
      <w:pPr>
        <w:pStyle w:val="ListBullet"/>
        <w:spacing w:after="40"/>
      </w:pPr>
      <w:r>
        <w:t>Acts as the output root publisher for Sentinel-L3 state claims.</w:t>
      </w:r>
    </w:p>
    <w:p>
      <w:pPr>
        <w:pStyle w:val="Heading3"/>
        <w:spacing w:before="200" w:after="60"/>
      </w:pPr>
      <w:r>
        <w:t>Layer 3 — Sentinel-L3 (Execution Layer)</w:t>
      </w:r>
    </w:p>
    <w:p>
      <w:pPr>
        <w:pStyle w:val="ListBullet"/>
        <w:spacing w:after="40"/>
      </w:pPr>
      <w:r>
        <w:rPr>
          <w:b/>
        </w:rPr>
        <w:t>Sequencer Cluster:</w:t>
      </w:r>
      <w:r>
        <w:t xml:space="preserve"> Primary sequencer (</w:t>
      </w:r>
      <w:r>
        <w:t>SQ-PRIMARY</w:t>
      </w:r>
      <w:r>
        <w:t>, Allen TX) + fallback sequencer (</w:t>
      </w:r>
      <w:r>
        <w:t>SQ-FALLBACK</w:t>
      </w:r>
      <w:r>
        <w:t>, Chicago IL). Produces and orders L3 blocks at 250ms intervals.</w:t>
      </w:r>
    </w:p>
    <w:p>
      <w:pPr>
        <w:pStyle w:val="ListBullet"/>
        <w:spacing w:after="40"/>
      </w:pPr>
      <w:r>
        <w:rPr>
          <w:b/>
        </w:rPr>
        <w:t>Validator Ring:</w:t>
      </w:r>
      <w:r>
        <w:t xml:space="preserve"> 12 geographically distributed validator nodes that attest to sequencer output and participate in fault proof generation.</w:t>
      </w:r>
    </w:p>
    <w:p>
      <w:pPr>
        <w:pStyle w:val="ListBullet"/>
        <w:spacing w:after="40"/>
      </w:pPr>
      <w:r>
        <w:rPr>
          <w:b/>
        </w:rPr>
        <w:t>Full Nodes:</w:t>
      </w:r>
      <w:r>
        <w:t xml:space="preserve"> Unlimited count; replicate full chain state; serve RPC endpoints.</w:t>
      </w:r>
    </w:p>
    <w:p>
      <w:pPr>
        <w:pStyle w:val="ListBullet"/>
        <w:spacing w:after="40"/>
      </w:pPr>
      <w:r>
        <w:rPr>
          <w:b/>
        </w:rPr>
        <w:t>Light Nodes:</w:t>
      </w:r>
      <w:r>
        <w:t xml:space="preserve"> Unlimited count; access chain state via snap sync from full nodes.</w:t>
      </w:r>
    </w:p>
    <w:p>
      <w:pPr>
        <w:pStyle w:val="ListBullet"/>
        <w:spacing w:after="40"/>
      </w:pPr>
      <w:r>
        <w:rPr>
          <w:b/>
        </w:rPr>
        <w:t>Archive Nodes:</w:t>
      </w:r>
      <w:r>
        <w:t xml:space="preserve"> 4 nodes storing full historical chain state from genesis.</w:t>
      </w:r>
    </w:p>
    <w:p>
      <w:pPr>
        <w:pStyle w:val="ListBullet"/>
        <w:spacing w:after="40"/>
      </w:pPr>
      <w:r>
        <w:rPr>
          <w:b/>
        </w:rPr>
        <w:t>Upgrade Controller (AUP):</w:t>
      </w:r>
      <w:r>
        <w:t xml:space="preserve"> Distributed upgrade coordination system executing governance-approved protocol upgrades.</w:t>
      </w:r>
    </w:p>
    <w:p>
      <w:pPr>
        <w:pStyle w:val="ListBullet"/>
        <w:spacing w:after="40"/>
      </w:pPr>
      <w:r>
        <w:rPr>
          <w:b/>
        </w:rPr>
        <w:t>Telemetry Aggregators:</w:t>
      </w:r>
      <w:r>
        <w:t xml:space="preserve"> 3 regional aggregators (US-East, EU-West, AP-Southeast) collecting, processing, and routing node observability data.</w:t>
      </w:r>
    </w:p>
    <w:p>
      <w:pPr>
        <w:pStyle w:val="Heading3"/>
        <w:spacing w:before="200" w:after="60"/>
      </w:pPr>
      <w:r>
        <w:t>Cross-Layer Communication Paths</w:t>
      </w:r>
    </w:p>
    <w:p>
      <w:pPr>
        <w:pStyle w:val="ListBullet"/>
        <w:spacing w:after="40"/>
      </w:pPr>
      <w:r>
        <w:rPr>
          <w:b/>
        </w:rPr>
        <w:t>L3 → L2 (Withdrawal Bridge):</w:t>
      </w:r>
      <w:r>
        <w:t xml:space="preserve"> Standard Bridge + custom Sentinel Bridge extensions; L3 state withdrawals posted as L2 transactions.</w:t>
      </w:r>
    </w:p>
    <w:p>
      <w:pPr>
        <w:pStyle w:val="ListBullet"/>
        <w:spacing w:after="40"/>
      </w:pPr>
      <w:r>
        <w:rPr>
          <w:b/>
        </w:rPr>
        <w:t>L3 → L2 (Batch Posting):</w:t>
      </w:r>
      <w:r>
        <w:t xml:space="preserve"> Sequencer batch poster submits compressed L3 transaction batches to Base.</w:t>
      </w:r>
    </w:p>
    <w:p>
      <w:pPr>
        <w:pStyle w:val="ListBullet"/>
        <w:spacing w:after="40"/>
      </w:pPr>
      <w:r>
        <w:rPr>
          <w:b/>
        </w:rPr>
        <w:t>L2 → L3 (Governance Signals):</w:t>
      </w:r>
      <w:r>
        <w:t xml:space="preserve"> AUP-007 listens for </w:t>
      </w:r>
      <w:r>
        <w:t>ProposalPassed</w:t>
      </w:r>
      <w:r>
        <w:t xml:space="preserve"> events on </w:t>
      </w:r>
      <w:r>
        <w:t>SentinelGovernor.sol</w:t>
      </w:r>
      <w:r>
        <w:t xml:space="preserve"> on Base and initiates AUP pipeline execution.</w:t>
      </w:r>
    </w:p>
    <w:p>
      <w:pPr>
        <w:pStyle w:val="ListBullet"/>
        <w:spacing w:after="40"/>
      </w:pPr>
      <w:r>
        <w:rPr>
          <w:b/>
        </w:rPr>
        <w:t>L3 → L2 (Audit Anchoring):</w:t>
      </w:r>
      <w:r>
        <w:t xml:space="preserve"> AUP-006 writes Merkle roots of audit log batches and Atlas snapshots to Base contracts per upgrade epoch.</w:t>
      </w:r>
    </w:p>
    <w:p>
      <w:pPr>
        <w:pStyle w:val="ListBullet"/>
        <w:spacing w:after="40"/>
      </w:pPr>
      <w:r>
        <w:rPr>
          <w:b/>
        </w:rPr>
        <w:t>L2 → L3 (Output Root):</w:t>
      </w:r>
      <w:r>
        <w:t xml:space="preserve"> Base posts L3 output roots to L1 via OP Stack standard output root mechanism.</w:t>
      </w:r>
    </w:p>
    <w:p>
      <w:pPr>
        <w:pStyle w:val="Heading2"/>
        <w:spacing w:before="280" w:after="80"/>
      </w:pPr>
      <w:r>
        <w:t>1.3 Core Protocol Stack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spacing w:after="20"/>
              <w:jc w:val="left"/>
            </w:pPr>
            <w:r>
              <w:rPr>
                <w:b/>
                <w:color w:val="FFFFFF"/>
              </w:rPr>
            </w:r>
            <w:r>
              <w:rPr>
                <w:b/>
                <w:color w:val="FFFFFF"/>
              </w:rPr>
              <w:t>Layer</w:t>
            </w:r>
          </w:p>
        </w:tc>
        <w:tc>
          <w:tcPr>
            <w:tcW w:type="dxa" w:w="2351"/>
            <w:shd w:val="clear" w:color="auto" w:fill="1F3864"/>
          </w:tcPr>
          <w:p>
            <w:pPr>
              <w:spacing w:after="20"/>
              <w:jc w:val="left"/>
            </w:pPr>
            <w:r>
              <w:rPr>
                <w:b/>
                <w:color w:val="FFFFFF"/>
              </w:rPr>
            </w:r>
            <w:r>
              <w:rPr>
                <w:b/>
                <w:color w:val="FFFFFF"/>
              </w:rPr>
              <w:t>Component</w:t>
            </w:r>
          </w:p>
        </w:tc>
        <w:tc>
          <w:tcPr>
            <w:tcW w:type="dxa" w:w="2351"/>
            <w:shd w:val="clear" w:color="auto" w:fill="1F3864"/>
          </w:tcPr>
          <w:p>
            <w:pPr>
              <w:spacing w:after="20"/>
              <w:jc w:val="left"/>
            </w:pPr>
            <w:r>
              <w:rPr>
                <w:b/>
                <w:color w:val="FFFFFF"/>
              </w:rPr>
            </w:r>
            <w:r>
              <w:rPr>
                <w:b/>
                <w:color w:val="FFFFFF"/>
              </w:rPr>
              <w:t>Technology</w:t>
            </w:r>
          </w:p>
        </w:tc>
        <w:tc>
          <w:tcPr>
            <w:tcW w:type="dxa" w:w="2351"/>
            <w:shd w:val="clear" w:color="auto" w:fill="1F3864"/>
          </w:tcPr>
          <w:p>
            <w:pPr>
              <w:spacing w:after="20"/>
              <w:jc w:val="left"/>
            </w:pPr>
            <w:r>
              <w:rPr>
                <w:b/>
                <w:color w:val="FFFFFF"/>
              </w:rPr>
            </w:r>
            <w:r>
              <w:rPr>
                <w:b/>
                <w:color w:val="FFFFFF"/>
              </w:rPr>
              <w:t>Role</w:t>
            </w:r>
          </w:p>
        </w:tc>
      </w:tr>
      <w:tr>
        <w:tc>
          <w:tcPr>
            <w:tcW w:type="dxa" w:w="2351"/>
          </w:tcPr>
          <w:p>
            <w:pPr>
              <w:spacing w:after="20"/>
              <w:jc w:val="left"/>
            </w:pPr>
            <w:r/>
            <w:r>
              <w:t>Execution Layer</w:t>
            </w:r>
          </w:p>
        </w:tc>
        <w:tc>
          <w:tcPr>
            <w:tcW w:type="dxa" w:w="2351"/>
          </w:tcPr>
          <w:p>
            <w:pPr>
              <w:spacing w:after="20"/>
              <w:jc w:val="left"/>
            </w:pPr>
            <w:r/>
            <w:r>
              <w:t>EVM Runtime</w:t>
            </w:r>
          </w:p>
        </w:tc>
        <w:tc>
          <w:tcPr>
            <w:tcW w:type="dxa" w:w="2351"/>
          </w:tcPr>
          <w:p>
            <w:pPr>
              <w:spacing w:after="20"/>
              <w:jc w:val="left"/>
            </w:pPr>
            <w:r/>
            <w:r>
              <w:t>go-ethereum fork (Sentinel-patched)</w:t>
            </w:r>
          </w:p>
        </w:tc>
        <w:tc>
          <w:tcPr>
            <w:tcW w:type="dxa" w:w="2351"/>
          </w:tcPr>
          <w:p>
            <w:pPr>
              <w:spacing w:after="20"/>
              <w:jc w:val="left"/>
            </w:pPr>
            <w:r/>
            <w:r>
              <w:t>Processes EVM transactions; state transition function for L3 blocks</w:t>
            </w:r>
          </w:p>
        </w:tc>
      </w:tr>
      <w:tr>
        <w:tc>
          <w:tcPr>
            <w:tcW w:type="dxa" w:w="2351"/>
          </w:tcPr>
          <w:p>
            <w:pPr>
              <w:spacing w:after="20"/>
              <w:jc w:val="left"/>
            </w:pPr>
            <w:r/>
            <w:r>
              <w:t>Derivation Pipeline</w:t>
            </w:r>
          </w:p>
        </w:tc>
        <w:tc>
          <w:tcPr>
            <w:tcW w:type="dxa" w:w="2351"/>
          </w:tcPr>
          <w:p>
            <w:pPr>
              <w:spacing w:after="20"/>
              <w:jc w:val="left"/>
            </w:pPr>
            <w:r/>
            <w:r>
              <w:t>op-node (L3 variant)</w:t>
            </w:r>
          </w:p>
        </w:tc>
        <w:tc>
          <w:tcPr>
            <w:tcW w:type="dxa" w:w="2351"/>
          </w:tcPr>
          <w:p>
            <w:pPr>
              <w:spacing w:after="20"/>
              <w:jc w:val="left"/>
            </w:pPr>
            <w:r/>
            <w:r>
              <w:t>op-node adapted for L3 derivation from Base L2 batches</w:t>
            </w:r>
          </w:p>
        </w:tc>
        <w:tc>
          <w:tcPr>
            <w:tcW w:type="dxa" w:w="2351"/>
          </w:tcPr>
          <w:p>
            <w:pPr>
              <w:spacing w:after="20"/>
              <w:jc w:val="left"/>
            </w:pPr>
            <w:r/>
            <w:r>
              <w:t>Derives L3 canonical chain from L2 batch data; enforces derivation rules</w:t>
            </w:r>
          </w:p>
        </w:tc>
      </w:tr>
      <w:tr>
        <w:tc>
          <w:tcPr>
            <w:tcW w:type="dxa" w:w="2351"/>
          </w:tcPr>
          <w:p>
            <w:pPr>
              <w:spacing w:after="20"/>
              <w:jc w:val="left"/>
            </w:pPr>
            <w:r/>
            <w:r>
              <w:t>Settlement</w:t>
            </w:r>
          </w:p>
        </w:tc>
        <w:tc>
          <w:tcPr>
            <w:tcW w:type="dxa" w:w="2351"/>
          </w:tcPr>
          <w:p>
            <w:pPr>
              <w:spacing w:after="20"/>
              <w:jc w:val="left"/>
            </w:pPr>
            <w:r/>
            <w:r>
              <w:t>Batch Poster</w:t>
            </w:r>
          </w:p>
        </w:tc>
        <w:tc>
          <w:tcPr>
            <w:tcW w:type="dxa" w:w="2351"/>
          </w:tcPr>
          <w:p>
            <w:pPr>
              <w:spacing w:after="20"/>
              <w:jc w:val="left"/>
            </w:pPr>
            <w:r/>
            <w:r>
              <w:t>op-batcher (Base Mainnet target)</w:t>
            </w:r>
          </w:p>
        </w:tc>
        <w:tc>
          <w:tcPr>
            <w:tcW w:type="dxa" w:w="2351"/>
          </w:tcPr>
          <w:p>
            <w:pPr>
              <w:spacing w:after="20"/>
              <w:jc w:val="left"/>
            </w:pPr>
            <w:r/>
            <w:r>
              <w:t>Compresses and posts L3 transaction batches to Base as calldata</w:t>
            </w:r>
          </w:p>
        </w:tc>
      </w:tr>
      <w:tr>
        <w:tc>
          <w:tcPr>
            <w:tcW w:type="dxa" w:w="2351"/>
          </w:tcPr>
          <w:p>
            <w:pPr>
              <w:spacing w:after="20"/>
              <w:jc w:val="left"/>
            </w:pPr>
            <w:r/>
            <w:r>
              <w:t>Fault Proof</w:t>
            </w:r>
          </w:p>
        </w:tc>
        <w:tc>
          <w:tcPr>
            <w:tcW w:type="dxa" w:w="2351"/>
          </w:tcPr>
          <w:p>
            <w:pPr>
              <w:spacing w:after="20"/>
              <w:jc w:val="left"/>
            </w:pPr>
            <w:r/>
            <w:r>
              <w:t>Cannon / MIPS VM</w:t>
            </w:r>
          </w:p>
        </w:tc>
        <w:tc>
          <w:tcPr>
            <w:tcW w:type="dxa" w:w="2351"/>
          </w:tcPr>
          <w:p>
            <w:pPr>
              <w:spacing w:after="20"/>
              <w:jc w:val="left"/>
            </w:pPr>
            <w:r/>
            <w:r>
              <w:t>Cannon fault proof program; MIPS VM on-chain verifier</w:t>
            </w:r>
          </w:p>
        </w:tc>
        <w:tc>
          <w:tcPr>
            <w:tcW w:type="dxa" w:w="2351"/>
          </w:tcPr>
          <w:p>
            <w:pPr>
              <w:spacing w:after="20"/>
              <w:jc w:val="left"/>
            </w:pPr>
            <w:r/>
            <w:r>
              <w:t>Enables permissionless challenge of invalid L3 output roots on Base</w:t>
            </w:r>
          </w:p>
        </w:tc>
      </w:tr>
      <w:tr>
        <w:tc>
          <w:tcPr>
            <w:tcW w:type="dxa" w:w="2351"/>
          </w:tcPr>
          <w:p>
            <w:pPr>
              <w:spacing w:after="20"/>
              <w:jc w:val="left"/>
            </w:pPr>
            <w:r/>
            <w:r>
              <w:t>Bridge</w:t>
            </w:r>
          </w:p>
        </w:tc>
        <w:tc>
          <w:tcPr>
            <w:tcW w:type="dxa" w:w="2351"/>
          </w:tcPr>
          <w:p>
            <w:pPr>
              <w:spacing w:after="20"/>
              <w:jc w:val="left"/>
            </w:pPr>
            <w:r/>
            <w:r>
              <w:t>Sentinel Bridge</w:t>
            </w:r>
          </w:p>
        </w:tc>
        <w:tc>
          <w:tcPr>
            <w:tcW w:type="dxa" w:w="2351"/>
          </w:tcPr>
          <w:p>
            <w:pPr>
              <w:spacing w:after="20"/>
              <w:jc w:val="left"/>
            </w:pPr>
            <w:r/>
            <w:r>
              <w:t>Standard Bridge (OP Stack) + Sentinel custom extensions (Solidity)</w:t>
            </w:r>
          </w:p>
        </w:tc>
        <w:tc>
          <w:tcPr>
            <w:tcW w:type="dxa" w:w="2351"/>
          </w:tcPr>
          <w:p>
            <w:pPr>
              <w:spacing w:after="20"/>
              <w:jc w:val="left"/>
            </w:pPr>
            <w:r/>
            <w:r>
              <w:t>L3↔L2 asset transfers; custom cross-layer messaging for governance signals</w:t>
            </w:r>
          </w:p>
        </w:tc>
      </w:tr>
      <w:tr>
        <w:tc>
          <w:tcPr>
            <w:tcW w:type="dxa" w:w="2351"/>
          </w:tcPr>
          <w:p>
            <w:pPr>
              <w:spacing w:after="20"/>
              <w:jc w:val="left"/>
            </w:pPr>
            <w:r/>
            <w:r>
              <w:t>Upgrade Controller</w:t>
            </w:r>
          </w:p>
        </w:tc>
        <w:tc>
          <w:tcPr>
            <w:tcW w:type="dxa" w:w="2351"/>
          </w:tcPr>
          <w:p>
            <w:pPr>
              <w:spacing w:after="20"/>
              <w:jc w:val="left"/>
            </w:pPr>
            <w:r/>
            <w:r>
              <w:t>Autonomous Upgrade Pipeline (AUP)</w:t>
            </w:r>
          </w:p>
        </w:tc>
        <w:tc>
          <w:tcPr>
            <w:tcW w:type="dxa" w:w="2351"/>
          </w:tcPr>
          <w:p>
            <w:pPr>
              <w:spacing w:after="20"/>
              <w:jc w:val="left"/>
            </w:pPr>
            <w:r/>
            <w:r>
              <w:t>Go, Rust, Solidity; TOML manifests; IPFS artifact registry</w:t>
            </w:r>
          </w:p>
        </w:tc>
        <w:tc>
          <w:tcPr>
            <w:tcW w:type="dxa" w:w="2351"/>
          </w:tcPr>
          <w:p>
            <w:pPr>
              <w:spacing w:after="20"/>
              <w:jc w:val="left"/>
            </w:pPr>
            <w:r/>
            <w:r>
              <w:t>Deterministic, governance-coupled fleet-wide upgrade orchestration</w:t>
            </w:r>
          </w:p>
        </w:tc>
      </w:tr>
      <w:tr>
        <w:tc>
          <w:tcPr>
            <w:tcW w:type="dxa" w:w="2351"/>
          </w:tcPr>
          <w:p>
            <w:pPr>
              <w:spacing w:after="20"/>
              <w:jc w:val="left"/>
            </w:pPr>
            <w:r/>
            <w:r>
              <w:t>Observability</w:t>
            </w:r>
          </w:p>
        </w:tc>
        <w:tc>
          <w:tcPr>
            <w:tcW w:type="dxa" w:w="2351"/>
          </w:tcPr>
          <w:p>
            <w:pPr>
              <w:spacing w:after="20"/>
              <w:jc w:val="left"/>
            </w:pPr>
            <w:r/>
            <w:r>
              <w:t>Telemetry System (TS)</w:t>
            </w:r>
          </w:p>
        </w:tc>
        <w:tc>
          <w:tcPr>
            <w:tcW w:type="dxa" w:w="2351"/>
          </w:tcPr>
          <w:p>
            <w:pPr>
              <w:spacing w:after="20"/>
              <w:jc w:val="left"/>
            </w:pPr>
            <w:r/>
            <w:r>
              <w:t>Rust agents, Go relays, Apache Flink, VictoriaMetrics, ClickHouse, Grafana</w:t>
            </w:r>
          </w:p>
        </w:tc>
        <w:tc>
          <w:tcPr>
            <w:tcW w:type="dxa" w:w="2351"/>
          </w:tcPr>
          <w:p>
            <w:pPr>
              <w:spacing w:after="20"/>
              <w:jc w:val="left"/>
            </w:pPr>
            <w:r/>
            <w:r>
              <w:t>Metrics ingestion, anomaly scoring, alerting, AUP health signal provision</w:t>
            </w:r>
          </w:p>
        </w:tc>
      </w:tr>
      <w:tr>
        <w:tc>
          <w:tcPr>
            <w:tcW w:type="dxa" w:w="2351"/>
          </w:tcPr>
          <w:p>
            <w:pPr>
              <w:spacing w:after="20"/>
              <w:jc w:val="left"/>
            </w:pPr>
            <w:r/>
            <w:r>
              <w:t>Topology Registry</w:t>
            </w:r>
          </w:p>
        </w:tc>
        <w:tc>
          <w:tcPr>
            <w:tcW w:type="dxa" w:w="2351"/>
          </w:tcPr>
          <w:p>
            <w:pPr>
              <w:spacing w:after="20"/>
              <w:jc w:val="left"/>
            </w:pPr>
            <w:r/>
            <w:r>
              <w:t>Network Atlas (NA)</w:t>
            </w:r>
          </w:p>
        </w:tc>
        <w:tc>
          <w:tcPr>
            <w:tcW w:type="dxa" w:w="2351"/>
          </w:tcPr>
          <w:p>
            <w:pPr>
              <w:spacing w:after="20"/>
              <w:jc w:val="left"/>
            </w:pPr>
            <w:r/>
            <w:r>
              <w:t>Go, PostgreSQL, gRPC, IPFS, MaxMind GeoIP2</w:t>
            </w:r>
          </w:p>
        </w:tc>
        <w:tc>
          <w:tcPr>
            <w:tcW w:type="dxa" w:w="2351"/>
          </w:tcPr>
          <w:p>
            <w:pPr>
              <w:spacing w:after="20"/>
              <w:jc w:val="left"/>
            </w:pPr>
            <w:r/>
            <w:r>
              <w:t>Authoritative real-time registry of all nodes, versions, peers, and segments</w:t>
            </w:r>
          </w:p>
        </w:tc>
      </w:tr>
    </w:tbl>
    <w:p/>
    <w:p>
      <w:pPr>
        <w:pStyle w:val="Heading2"/>
        <w:spacing w:before="280" w:after="80"/>
      </w:pPr>
      <w:r>
        <w:t>1.4 Node Roles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spacing w:after="20"/>
              <w:jc w:val="left"/>
            </w:pPr>
            <w:r>
              <w:rPr>
                <w:b/>
                <w:color w:val="FFFFFF"/>
              </w:rPr>
            </w:r>
            <w:r>
              <w:rPr>
                <w:b/>
                <w:color w:val="FFFFFF"/>
              </w:rPr>
              <w:t>Node Type</w:t>
            </w:r>
          </w:p>
        </w:tc>
        <w:tc>
          <w:tcPr>
            <w:tcW w:type="dxa" w:w="1881"/>
            <w:shd w:val="clear" w:color="auto" w:fill="1F3864"/>
          </w:tcPr>
          <w:p>
            <w:pPr>
              <w:spacing w:after="20"/>
              <w:jc w:val="left"/>
            </w:pPr>
            <w:r>
              <w:rPr>
                <w:b/>
                <w:color w:val="FFFFFF"/>
              </w:rPr>
            </w:r>
            <w:r>
              <w:rPr>
                <w:b/>
                <w:color w:val="FFFFFF"/>
              </w:rPr>
              <w:t>Role</w:t>
            </w:r>
          </w:p>
        </w:tc>
        <w:tc>
          <w:tcPr>
            <w:tcW w:type="dxa" w:w="1881"/>
            <w:shd w:val="clear" w:color="auto" w:fill="1F3864"/>
          </w:tcPr>
          <w:p>
            <w:pPr>
              <w:spacing w:after="20"/>
              <w:jc w:val="left"/>
            </w:pPr>
            <w:r>
              <w:rPr>
                <w:b/>
                <w:color w:val="FFFFFF"/>
              </w:rPr>
            </w:r>
            <w:r>
              <w:rPr>
                <w:b/>
                <w:color w:val="FFFFFF"/>
              </w:rPr>
              <w:t>Count (Mainnet)</w:t>
            </w:r>
          </w:p>
        </w:tc>
        <w:tc>
          <w:tcPr>
            <w:tcW w:type="dxa" w:w="1881"/>
            <w:shd w:val="clear" w:color="auto" w:fill="1F3864"/>
          </w:tcPr>
          <w:p>
            <w:pPr>
              <w:spacing w:after="20"/>
              <w:jc w:val="left"/>
            </w:pPr>
            <w:r>
              <w:rPr>
                <w:b/>
                <w:color w:val="FFFFFF"/>
              </w:rPr>
            </w:r>
            <w:r>
              <w:rPr>
                <w:b/>
                <w:color w:val="FFFFFF"/>
              </w:rPr>
              <w:t>Hardware Class</w:t>
            </w:r>
          </w:p>
        </w:tc>
        <w:tc>
          <w:tcPr>
            <w:tcW w:type="dxa" w:w="1881"/>
            <w:shd w:val="clear" w:color="auto" w:fill="1F3864"/>
          </w:tcPr>
          <w:p>
            <w:pPr>
              <w:spacing w:after="20"/>
              <w:jc w:val="left"/>
            </w:pPr>
            <w:r>
              <w:rPr>
                <w:b/>
                <w:color w:val="FFFFFF"/>
              </w:rPr>
            </w:r>
            <w:r>
              <w:rPr>
                <w:b/>
                <w:color w:val="FFFFFF"/>
              </w:rPr>
              <w:t>Upgrade Eligibility</w:t>
            </w:r>
          </w:p>
        </w:tc>
      </w:tr>
      <w:tr>
        <w:tc>
          <w:tcPr>
            <w:tcW w:type="dxa" w:w="1881"/>
          </w:tcPr>
          <w:p>
            <w:pPr>
              <w:spacing w:after="20"/>
              <w:jc w:val="left"/>
            </w:pPr>
            <w:r/>
            <w:r>
              <w:rPr>
                <w:b/>
              </w:rPr>
              <w:t>Sequencer Node</w:t>
            </w:r>
            <w:r>
              <w:t xml:space="preserve"> (Primary + Fallback)</w:t>
            </w:r>
          </w:p>
        </w:tc>
        <w:tc>
          <w:tcPr>
            <w:tcW w:type="dxa" w:w="1881"/>
          </w:tcPr>
          <w:p>
            <w:pPr>
              <w:spacing w:after="20"/>
              <w:jc w:val="left"/>
            </w:pPr>
            <w:r/>
            <w:r>
              <w:t>Produces and orders L3 blocks; primary is active, fallback auto-promotes on liveness failure</w:t>
            </w:r>
          </w:p>
        </w:tc>
        <w:tc>
          <w:tcPr>
            <w:tcW w:type="dxa" w:w="1881"/>
          </w:tcPr>
          <w:p>
            <w:pPr>
              <w:spacing w:after="20"/>
              <w:jc w:val="left"/>
            </w:pPr>
            <w:r/>
            <w:r>
              <w:t>2</w:t>
            </w:r>
          </w:p>
        </w:tc>
        <w:tc>
          <w:tcPr>
            <w:tcW w:type="dxa" w:w="1881"/>
          </w:tcPr>
          <w:p>
            <w:pPr>
              <w:spacing w:after="20"/>
              <w:jc w:val="left"/>
            </w:pPr>
            <w:r/>
            <w:r>
              <w:t>Tier-1 (HSM-required, bare-metal, dedicated NVMe, 10GbE)</w:t>
            </w:r>
          </w:p>
        </w:tc>
        <w:tc>
          <w:tcPr>
            <w:tcW w:type="dxa" w:w="1881"/>
          </w:tcPr>
          <w:p>
            <w:pPr>
              <w:spacing w:after="20"/>
              <w:jc w:val="left"/>
            </w:pPr>
            <w:r/>
            <w:r>
              <w:t>AUP-managed; Ring 4 (last in sequence)</w:t>
            </w:r>
          </w:p>
        </w:tc>
      </w:tr>
      <w:tr>
        <w:tc>
          <w:tcPr>
            <w:tcW w:type="dxa" w:w="1881"/>
          </w:tcPr>
          <w:p>
            <w:pPr>
              <w:spacing w:after="20"/>
              <w:jc w:val="left"/>
            </w:pPr>
            <w:r/>
            <w:r>
              <w:rPr>
                <w:b/>
              </w:rPr>
              <w:t>Validator Node</w:t>
            </w:r>
          </w:p>
        </w:tc>
        <w:tc>
          <w:tcPr>
            <w:tcW w:type="dxa" w:w="1881"/>
          </w:tcPr>
          <w:p>
            <w:pPr>
              <w:spacing w:after="20"/>
              <w:jc w:val="left"/>
            </w:pPr>
            <w:r/>
            <w:r>
              <w:t>Attests to sequencer output; participates in Cannon fault proof generation; forms consensus attestation ring</w:t>
            </w:r>
          </w:p>
        </w:tc>
        <w:tc>
          <w:tcPr>
            <w:tcW w:type="dxa" w:w="1881"/>
          </w:tcPr>
          <w:p>
            <w:pPr>
              <w:spacing w:after="20"/>
              <w:jc w:val="left"/>
            </w:pPr>
            <w:r/>
            <w:r>
              <w:t>12</w:t>
            </w:r>
          </w:p>
        </w:tc>
        <w:tc>
          <w:tcPr>
            <w:tcW w:type="dxa" w:w="1881"/>
          </w:tcPr>
          <w:p>
            <w:pPr>
              <w:spacing w:after="20"/>
              <w:jc w:val="left"/>
            </w:pPr>
            <w:r/>
            <w:r>
              <w:t>Tier-2 (HSM-required, dedicated server, NVMe)</w:t>
            </w:r>
          </w:p>
        </w:tc>
        <w:tc>
          <w:tcPr>
            <w:tcW w:type="dxa" w:w="1881"/>
          </w:tcPr>
          <w:p>
            <w:pPr>
              <w:spacing w:after="20"/>
              <w:jc w:val="left"/>
            </w:pPr>
            <w:r/>
            <w:r>
              <w:t>AUP-managed; Rings 1–3</w:t>
            </w:r>
          </w:p>
        </w:tc>
      </w:tr>
      <w:tr>
        <w:tc>
          <w:tcPr>
            <w:tcW w:type="dxa" w:w="1881"/>
          </w:tcPr>
          <w:p>
            <w:pPr>
              <w:spacing w:after="20"/>
              <w:jc w:val="left"/>
            </w:pPr>
            <w:r/>
            <w:r>
              <w:rPr>
                <w:b/>
              </w:rPr>
              <w:t>Full Node</w:t>
            </w:r>
          </w:p>
        </w:tc>
        <w:tc>
          <w:tcPr>
            <w:tcW w:type="dxa" w:w="1881"/>
          </w:tcPr>
          <w:p>
            <w:pPr>
              <w:spacing w:after="20"/>
              <w:jc w:val="left"/>
            </w:pPr>
            <w:r/>
            <w:r>
              <w:t>Replicates full L3 chain state; serves public RPC; provides p2p peer diversity</w:t>
            </w:r>
          </w:p>
        </w:tc>
        <w:tc>
          <w:tcPr>
            <w:tcW w:type="dxa" w:w="1881"/>
          </w:tcPr>
          <w:p>
            <w:pPr>
              <w:spacing w:after="20"/>
              <w:jc w:val="left"/>
            </w:pPr>
            <w:r/>
            <w:r>
              <w:t>Unlimited</w:t>
            </w:r>
          </w:p>
        </w:tc>
        <w:tc>
          <w:tcPr>
            <w:tcW w:type="dxa" w:w="1881"/>
          </w:tcPr>
          <w:p>
            <w:pPr>
              <w:spacing w:after="20"/>
              <w:jc w:val="left"/>
            </w:pPr>
            <w:r/>
            <w:r>
              <w:t>Tier-3 (commodity server or cloud VM)</w:t>
            </w:r>
          </w:p>
        </w:tc>
        <w:tc>
          <w:tcPr>
            <w:tcW w:type="dxa" w:w="1881"/>
          </w:tcPr>
          <w:p>
            <w:pPr>
              <w:spacing w:after="20"/>
              <w:jc w:val="left"/>
            </w:pPr>
            <w:r/>
            <w:r>
              <w:t>Self-managed; not AUP-managed</w:t>
            </w:r>
          </w:p>
        </w:tc>
      </w:tr>
      <w:tr>
        <w:tc>
          <w:tcPr>
            <w:tcW w:type="dxa" w:w="1881"/>
          </w:tcPr>
          <w:p>
            <w:pPr>
              <w:spacing w:after="20"/>
              <w:jc w:val="left"/>
            </w:pPr>
            <w:r/>
            <w:r>
              <w:rPr>
                <w:b/>
              </w:rPr>
              <w:t>Archive Node</w:t>
            </w:r>
          </w:p>
        </w:tc>
        <w:tc>
          <w:tcPr>
            <w:tcW w:type="dxa" w:w="1881"/>
          </w:tcPr>
          <w:p>
            <w:pPr>
              <w:spacing w:after="20"/>
              <w:jc w:val="left"/>
            </w:pPr>
            <w:r/>
            <w:r>
              <w:t>Retains full historical state from genesis; serves historical state queries and data availability</w:t>
            </w:r>
          </w:p>
        </w:tc>
        <w:tc>
          <w:tcPr>
            <w:tcW w:type="dxa" w:w="1881"/>
          </w:tcPr>
          <w:p>
            <w:pPr>
              <w:spacing w:after="20"/>
              <w:jc w:val="left"/>
            </w:pPr>
            <w:r/>
            <w:r>
              <w:t>4</w:t>
            </w:r>
          </w:p>
        </w:tc>
        <w:tc>
          <w:tcPr>
            <w:tcW w:type="dxa" w:w="1881"/>
          </w:tcPr>
          <w:p>
            <w:pPr>
              <w:spacing w:after="20"/>
              <w:jc w:val="left"/>
            </w:pPr>
            <w:r/>
            <w:r>
              <w:t>Tier-2 (dedicated server, high-capacity NVMe RAID)</w:t>
            </w:r>
          </w:p>
        </w:tc>
        <w:tc>
          <w:tcPr>
            <w:tcW w:type="dxa" w:w="1881"/>
          </w:tcPr>
          <w:p>
            <w:pPr>
              <w:spacing w:after="20"/>
              <w:jc w:val="left"/>
            </w:pPr>
            <w:r/>
            <w:r>
              <w:t>AUP-managed; Ring 3</w:t>
            </w:r>
          </w:p>
        </w:tc>
      </w:tr>
      <w:tr>
        <w:tc>
          <w:tcPr>
            <w:tcW w:type="dxa" w:w="1881"/>
          </w:tcPr>
          <w:p>
            <w:pPr>
              <w:spacing w:after="20"/>
              <w:jc w:val="left"/>
            </w:pPr>
            <w:r/>
            <w:r>
              <w:rPr>
                <w:b/>
              </w:rPr>
              <w:t>Light Node</w:t>
            </w:r>
          </w:p>
        </w:tc>
        <w:tc>
          <w:tcPr>
            <w:tcW w:type="dxa" w:w="1881"/>
          </w:tcPr>
          <w:p>
            <w:pPr>
              <w:spacing w:after="20"/>
              <w:jc w:val="left"/>
            </w:pPr>
            <w:r/>
            <w:r>
              <w:t>Provides lightweight client access to chain state via snap sync; does not store full state</w:t>
            </w:r>
          </w:p>
        </w:tc>
        <w:tc>
          <w:tcPr>
            <w:tcW w:type="dxa" w:w="1881"/>
          </w:tcPr>
          <w:p>
            <w:pPr>
              <w:spacing w:after="20"/>
              <w:jc w:val="left"/>
            </w:pPr>
            <w:r/>
            <w:r>
              <w:t>Unlimited</w:t>
            </w:r>
          </w:p>
        </w:tc>
        <w:tc>
          <w:tcPr>
            <w:tcW w:type="dxa" w:w="1881"/>
          </w:tcPr>
          <w:p>
            <w:pPr>
              <w:spacing w:after="20"/>
              <w:jc w:val="left"/>
            </w:pPr>
            <w:r/>
            <w:r>
              <w:t>Tier-4 (consumer hardware, mobile)</w:t>
            </w:r>
          </w:p>
        </w:tc>
        <w:tc>
          <w:tcPr>
            <w:tcW w:type="dxa" w:w="1881"/>
          </w:tcPr>
          <w:p>
            <w:pPr>
              <w:spacing w:after="20"/>
              <w:jc w:val="left"/>
            </w:pPr>
            <w:r/>
            <w:r>
              <w:t>Not AUP-managed; self-operated</w:t>
            </w:r>
          </w:p>
        </w:tc>
      </w:tr>
      <w:tr>
        <w:tc>
          <w:tcPr>
            <w:tcW w:type="dxa" w:w="1881"/>
          </w:tcPr>
          <w:p>
            <w:pPr>
              <w:spacing w:after="20"/>
              <w:jc w:val="left"/>
            </w:pPr>
            <w:r/>
            <w:r>
              <w:rPr>
                <w:b/>
              </w:rPr>
              <w:t>Telemetry Aggregator</w:t>
            </w:r>
          </w:p>
        </w:tc>
        <w:tc>
          <w:tcPr>
            <w:tcW w:type="dxa" w:w="1881"/>
          </w:tcPr>
          <w:p>
            <w:pPr>
              <w:spacing w:after="20"/>
              <w:jc w:val="left"/>
            </w:pPr>
            <w:r/>
            <w:r>
              <w:t>Regional aggregation of node metrics and event streams; feeds TS-003 stream processor</w:t>
            </w:r>
          </w:p>
        </w:tc>
        <w:tc>
          <w:tcPr>
            <w:tcW w:type="dxa" w:w="1881"/>
          </w:tcPr>
          <w:p>
            <w:pPr>
              <w:spacing w:after="20"/>
              <w:jc w:val="left"/>
            </w:pPr>
            <w:r/>
            <w:r>
              <w:t>3</w:t>
            </w:r>
          </w:p>
        </w:tc>
        <w:tc>
          <w:tcPr>
            <w:tcW w:type="dxa" w:w="1881"/>
          </w:tcPr>
          <w:p>
            <w:pPr>
              <w:spacing w:after="20"/>
              <w:jc w:val="left"/>
            </w:pPr>
            <w:r/>
            <w:r>
              <w:t>Tier-2 (dedicated server, high-memory)</w:t>
            </w:r>
          </w:p>
        </w:tc>
        <w:tc>
          <w:tcPr>
            <w:tcW w:type="dxa" w:w="1881"/>
          </w:tcPr>
          <w:p>
            <w:pPr>
              <w:spacing w:after="20"/>
              <w:jc w:val="left"/>
            </w:pPr>
            <w:r/>
            <w:r>
              <w:t>AUP-managed; Ring 3</w:t>
            </w:r>
          </w:p>
        </w:tc>
      </w:tr>
    </w:tbl>
    <w:p/>
    <w:p>
      <w:pPr>
        <w:spacing w:after="80"/>
      </w:pPr>
      <w:r>
        <w:t>============================================================</w:t>
      </w:r>
    </w:p>
    <w:p>
      <w:pPr>
        <w:spacing w:after="80"/>
      </w:pPr>
      <w:r>
        <w:t>SECTION 2 — AUTONOMOUS UPGRADE PIPELINE (AUP)</w:t>
      </w:r>
    </w:p>
    <w:p>
      <w:pPr>
        <w:spacing w:after="80"/>
      </w:pPr>
      <w:r>
        <w:t>============================================================</w:t>
      </w:r>
    </w:p>
    <w:p>
      <w:pPr>
        <w:pStyle w:val="Heading1"/>
        <w:spacing w:before="360" w:after="120"/>
      </w:pPr>
      <w:r>
        <w:t>Section 2 — Autonomous Upgrade Pipeline (AUP)</w:t>
      </w:r>
    </w:p>
    <w:p>
      <w:pPr>
        <w:spacing w:after="40"/>
      </w:pPr>
    </w:p>
    <w:p>
      <w:pPr>
        <w:pStyle w:val="Heading2"/>
        <w:spacing w:before="280" w:after="80"/>
      </w:pPr>
      <w:r>
        <w:t>2.1 AUP Overview</w:t>
      </w:r>
    </w:p>
    <w:p>
      <w:pPr>
        <w:spacing w:after="120"/>
      </w:pPr>
      <w:r>
        <w:t xml:space="preserve">The </w:t>
      </w:r>
      <w:r>
        <w:rPr>
          <w:b/>
        </w:rPr>
        <w:t>Autonomous Upgrade Pipeline (AUP)</w:t>
      </w:r>
      <w:r>
        <w:t xml:space="preserve"> is the governance-coupled, deterministic execution engine responsible for coordinating all protocol upgrades across the Sentinel-L3 managed node fleet. It operates without manual intervention following governance approval by the SNTL token-holder community, enforcing sequencing constraints, rollback invariants, and cross-node coordination at each stage of the upgrade lifecycle.</w:t>
      </w:r>
    </w:p>
    <w:p>
      <w:pPr>
        <w:spacing w:after="120"/>
      </w:pPr>
      <w:r>
        <w:t>The AUP is explicitly designed to eliminate the human-in-the-loop failure mode from routine upgrade execution while preserving strong safety guarantees through: (a) on-chain governance authorization, (b) five-ring staged rollout with telemetry health gating between each stage, (c) deterministic and idempotent execution semantics, and (d) cryptographically anchored audit trails. Emergency intervention capabilities are retained for the Security Council multisig but are subject to post-hoc governance review.</w:t>
      </w:r>
    </w:p>
    <w:p>
      <w:pPr>
        <w:spacing w:after="120"/>
      </w:pPr>
      <w:r>
        <w:t xml:space="preserve">The AUP is the sole address whitelisted as executor in </w:t>
      </w:r>
      <w:r>
        <w:t>SentinelGovernor.sol</w:t>
      </w:r>
      <w:r>
        <w:t xml:space="preserve"> on Base Mainnet. No human address holds the executor role. All upgrade actions traceable to the AUP are cryptographically attributed via the AUP-006 Audit Logger.</w:t>
      </w:r>
    </w:p>
    <w:p>
      <w:pPr>
        <w:pStyle w:val="Heading2"/>
        <w:spacing w:before="280" w:after="80"/>
      </w:pPr>
      <w:r>
        <w:t>2.2 AUP Architecture</w:t>
      </w:r>
    </w:p>
    <w:p>
      <w:pPr>
        <w:pStyle w:val="Heading3"/>
        <w:spacing w:before="200" w:after="60"/>
      </w:pPr>
      <w:r>
        <w:t>2.2.1 Module Breakdown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3864"/>
          </w:tcPr>
          <w:p>
            <w:pPr>
              <w:spacing w:after="20"/>
              <w:jc w:val="left"/>
            </w:pPr>
            <w:r>
              <w:rPr>
                <w:b/>
                <w:color w:val="FFFFFF"/>
              </w:rPr>
            </w:r>
            <w:r>
              <w:rPr>
                <w:b/>
                <w:color w:val="FFFFFF"/>
              </w:rPr>
              <w:t>Module ID</w:t>
            </w:r>
          </w:p>
        </w:tc>
        <w:tc>
          <w:tcPr>
            <w:tcW w:type="dxa" w:w="1568"/>
            <w:shd w:val="clear" w:color="auto" w:fill="1F3864"/>
          </w:tcPr>
          <w:p>
            <w:pPr>
              <w:spacing w:after="20"/>
              <w:jc w:val="left"/>
            </w:pPr>
            <w:r>
              <w:rPr>
                <w:b/>
                <w:color w:val="FFFFFF"/>
              </w:rPr>
            </w:r>
            <w:r>
              <w:rPr>
                <w:b/>
                <w:color w:val="FFFFFF"/>
              </w:rPr>
              <w:t>Module Name</w:t>
            </w:r>
          </w:p>
        </w:tc>
        <w:tc>
          <w:tcPr>
            <w:tcW w:type="dxa" w:w="1568"/>
            <w:shd w:val="clear" w:color="auto" w:fill="1F3864"/>
          </w:tcPr>
          <w:p>
            <w:pPr>
              <w:spacing w:after="20"/>
              <w:jc w:val="left"/>
            </w:pPr>
            <w:r>
              <w:rPr>
                <w:b/>
                <w:color w:val="FFFFFF"/>
              </w:rPr>
            </w:r>
            <w:r>
              <w:rPr>
                <w:b/>
                <w:color w:val="FFFFFF"/>
              </w:rPr>
              <w:t>Language</w:t>
            </w:r>
          </w:p>
        </w:tc>
        <w:tc>
          <w:tcPr>
            <w:tcW w:type="dxa" w:w="1568"/>
            <w:shd w:val="clear" w:color="auto" w:fill="1F3864"/>
          </w:tcPr>
          <w:p>
            <w:pPr>
              <w:spacing w:after="20"/>
              <w:jc w:val="left"/>
            </w:pPr>
            <w:r>
              <w:rPr>
                <w:b/>
                <w:color w:val="FFFFFF"/>
              </w:rPr>
            </w:r>
            <w:r>
              <w:rPr>
                <w:b/>
                <w:color w:val="FFFFFF"/>
              </w:rPr>
              <w:t>Responsibility</w:t>
            </w:r>
          </w:p>
        </w:tc>
        <w:tc>
          <w:tcPr>
            <w:tcW w:type="dxa" w:w="1568"/>
            <w:shd w:val="clear" w:color="auto" w:fill="1F3864"/>
          </w:tcPr>
          <w:p>
            <w:pPr>
              <w:spacing w:after="20"/>
              <w:jc w:val="left"/>
            </w:pPr>
            <w:r>
              <w:rPr>
                <w:b/>
                <w:color w:val="FFFFFF"/>
              </w:rPr>
            </w:r>
            <w:r>
              <w:rPr>
                <w:b/>
                <w:color w:val="FFFFFF"/>
              </w:rPr>
              <w:t>Upstream Deps</w:t>
            </w:r>
          </w:p>
        </w:tc>
        <w:tc>
          <w:tcPr>
            <w:tcW w:type="dxa" w:w="1568"/>
            <w:shd w:val="clear" w:color="auto" w:fill="1F3864"/>
          </w:tcPr>
          <w:p>
            <w:pPr>
              <w:spacing w:after="20"/>
              <w:jc w:val="left"/>
            </w:pPr>
            <w:r>
              <w:rPr>
                <w:b/>
                <w:color w:val="FFFFFF"/>
              </w:rPr>
            </w:r>
            <w:r>
              <w:rPr>
                <w:b/>
                <w:color w:val="FFFFFF"/>
              </w:rPr>
              <w:t>Downstream Deps</w:t>
            </w:r>
          </w:p>
        </w:tc>
      </w:tr>
      <w:tr>
        <w:tc>
          <w:tcPr>
            <w:tcW w:type="dxa" w:w="1568"/>
          </w:tcPr>
          <w:p>
            <w:pPr>
              <w:spacing w:after="20"/>
              <w:jc w:val="left"/>
            </w:pPr>
            <w:r/>
            <w:r>
              <w:t>AUP-001</w:t>
            </w:r>
          </w:p>
        </w:tc>
        <w:tc>
          <w:tcPr>
            <w:tcW w:type="dxa" w:w="1568"/>
          </w:tcPr>
          <w:p>
            <w:pPr>
              <w:spacing w:after="20"/>
              <w:jc w:val="left"/>
            </w:pPr>
            <w:r/>
            <w:r>
              <w:t>Proposal Ingestion Engine</w:t>
            </w:r>
          </w:p>
        </w:tc>
        <w:tc>
          <w:tcPr>
            <w:tcW w:type="dxa" w:w="1568"/>
          </w:tcPr>
          <w:p>
            <w:pPr>
              <w:spacing w:after="20"/>
              <w:jc w:val="left"/>
            </w:pPr>
            <w:r/>
            <w:r>
              <w:t>Go</w:t>
            </w:r>
          </w:p>
        </w:tc>
        <w:tc>
          <w:tcPr>
            <w:tcW w:type="dxa" w:w="1568"/>
          </w:tcPr>
          <w:p>
            <w:pPr>
              <w:spacing w:after="20"/>
              <w:jc w:val="left"/>
            </w:pPr>
            <w:r/>
            <w:r>
              <w:t>Parses on-chain governance proposals; fetches and validates upgrade manifests from IPFS using CID extracted from proposal calldata</w:t>
            </w:r>
          </w:p>
        </w:tc>
        <w:tc>
          <w:tcPr>
            <w:tcW w:type="dxa" w:w="1568"/>
          </w:tcPr>
          <w:p>
            <w:pPr>
              <w:spacing w:after="20"/>
              <w:jc w:val="left"/>
            </w:pPr>
            <w:r/>
            <w:r>
              <w:t>AUP-007 (trigger)</w:t>
            </w:r>
          </w:p>
        </w:tc>
        <w:tc>
          <w:tcPr>
            <w:tcW w:type="dxa" w:w="1568"/>
          </w:tcPr>
          <w:p>
            <w:pPr>
              <w:spacing w:after="20"/>
              <w:jc w:val="left"/>
            </w:pPr>
            <w:r/>
            <w:r>
              <w:t>AUP-002</w:t>
            </w:r>
          </w:p>
        </w:tc>
      </w:tr>
      <w:tr>
        <w:tc>
          <w:tcPr>
            <w:tcW w:type="dxa" w:w="1568"/>
          </w:tcPr>
          <w:p>
            <w:pPr>
              <w:spacing w:after="20"/>
              <w:jc w:val="left"/>
            </w:pPr>
            <w:r/>
            <w:r>
              <w:t>AUP-002</w:t>
            </w:r>
          </w:p>
        </w:tc>
        <w:tc>
          <w:tcPr>
            <w:tcW w:type="dxa" w:w="1568"/>
          </w:tcPr>
          <w:p>
            <w:pPr>
              <w:spacing w:after="20"/>
              <w:jc w:val="left"/>
            </w:pPr>
            <w:r/>
            <w:r>
              <w:t>Compatibility Validator</w:t>
            </w:r>
          </w:p>
        </w:tc>
        <w:tc>
          <w:tcPr>
            <w:tcW w:type="dxa" w:w="1568"/>
          </w:tcPr>
          <w:p>
            <w:pPr>
              <w:spacing w:after="20"/>
              <w:jc w:val="left"/>
            </w:pPr>
            <w:r/>
            <w:r>
              <w:t>Rust</w:t>
            </w:r>
          </w:p>
        </w:tc>
        <w:tc>
          <w:tcPr>
            <w:tcW w:type="dxa" w:w="1568"/>
          </w:tcPr>
          <w:p>
            <w:pPr>
              <w:spacing w:after="20"/>
              <w:jc w:val="left"/>
            </w:pPr>
            <w:r/>
            <w:r>
              <w:t>Performs static analysis of bytecode diffs and EVM opcode validation; checks manifest compatibility against current fleet state reported by NA-005</w:t>
            </w:r>
          </w:p>
        </w:tc>
        <w:tc>
          <w:tcPr>
            <w:tcW w:type="dxa" w:w="1568"/>
          </w:tcPr>
          <w:p>
            <w:pPr>
              <w:spacing w:after="20"/>
              <w:jc w:val="left"/>
            </w:pPr>
            <w:r/>
            <w:r>
              <w:t>AUP-001, NA-005</w:t>
            </w:r>
          </w:p>
        </w:tc>
        <w:tc>
          <w:tcPr>
            <w:tcW w:type="dxa" w:w="1568"/>
          </w:tcPr>
          <w:p>
            <w:pPr>
              <w:spacing w:after="20"/>
              <w:jc w:val="left"/>
            </w:pPr>
            <w:r/>
            <w:r>
              <w:t>AUP-003</w:t>
            </w:r>
          </w:p>
        </w:tc>
      </w:tr>
      <w:tr>
        <w:tc>
          <w:tcPr>
            <w:tcW w:type="dxa" w:w="1568"/>
          </w:tcPr>
          <w:p>
            <w:pPr>
              <w:spacing w:after="20"/>
              <w:jc w:val="left"/>
            </w:pPr>
            <w:r/>
            <w:r>
              <w:t>AUP-003</w:t>
            </w:r>
          </w:p>
        </w:tc>
        <w:tc>
          <w:tcPr>
            <w:tcW w:type="dxa" w:w="1568"/>
          </w:tcPr>
          <w:p>
            <w:pPr>
              <w:spacing w:after="20"/>
              <w:jc w:val="left"/>
            </w:pPr>
            <w:r/>
            <w:r>
              <w:t>Staging Orchestrator</w:t>
            </w:r>
          </w:p>
        </w:tc>
        <w:tc>
          <w:tcPr>
            <w:tcW w:type="dxa" w:w="1568"/>
          </w:tcPr>
          <w:p>
            <w:pPr>
              <w:spacing w:after="20"/>
              <w:jc w:val="left"/>
            </w:pPr>
            <w:r/>
            <w:r>
              <w:t>Go</w:t>
            </w:r>
          </w:p>
        </w:tc>
        <w:tc>
          <w:tcPr>
            <w:tcW w:type="dxa" w:w="1568"/>
          </w:tcPr>
          <w:p>
            <w:pPr>
              <w:spacing w:after="20"/>
              <w:jc w:val="left"/>
            </w:pPr>
            <w:r/>
            <w:r>
              <w:t>Manages upgrade staging rings; schedules ring progression by block height; enumerates target nodes per ring via NA-005; coordinates execution timing</w:t>
            </w:r>
          </w:p>
        </w:tc>
        <w:tc>
          <w:tcPr>
            <w:tcW w:type="dxa" w:w="1568"/>
          </w:tcPr>
          <w:p>
            <w:pPr>
              <w:spacing w:after="20"/>
              <w:jc w:val="left"/>
            </w:pPr>
            <w:r/>
            <w:r>
              <w:t>AUP-002, NA-005</w:t>
            </w:r>
          </w:p>
        </w:tc>
        <w:tc>
          <w:tcPr>
            <w:tcW w:type="dxa" w:w="1568"/>
          </w:tcPr>
          <w:p>
            <w:pPr>
              <w:spacing w:after="20"/>
              <w:jc w:val="left"/>
            </w:pPr>
            <w:r/>
            <w:r>
              <w:t>AUP-004, AUP-005</w:t>
            </w:r>
          </w:p>
        </w:tc>
      </w:tr>
      <w:tr>
        <w:tc>
          <w:tcPr>
            <w:tcW w:type="dxa" w:w="1568"/>
          </w:tcPr>
          <w:p>
            <w:pPr>
              <w:spacing w:after="20"/>
              <w:jc w:val="left"/>
            </w:pPr>
            <w:r/>
            <w:r>
              <w:t>AUP-004</w:t>
            </w:r>
          </w:p>
        </w:tc>
        <w:tc>
          <w:tcPr>
            <w:tcW w:type="dxa" w:w="1568"/>
          </w:tcPr>
          <w:p>
            <w:pPr>
              <w:spacing w:after="20"/>
              <w:jc w:val="left"/>
            </w:pPr>
            <w:r/>
            <w:r>
              <w:t>Execution Runner</w:t>
            </w:r>
          </w:p>
        </w:tc>
        <w:tc>
          <w:tcPr>
            <w:tcW w:type="dxa" w:w="1568"/>
          </w:tcPr>
          <w:p>
            <w:pPr>
              <w:spacing w:after="20"/>
              <w:jc w:val="left"/>
            </w:pPr>
            <w:r/>
            <w:r>
              <w:t>Go + shell</w:t>
            </w:r>
          </w:p>
        </w:tc>
        <w:tc>
          <w:tcPr>
            <w:tcW w:type="dxa" w:w="1568"/>
          </w:tcPr>
          <w:p>
            <w:pPr>
              <w:spacing w:after="20"/>
              <w:jc w:val="left"/>
            </w:pPr>
            <w:r/>
            <w:r>
              <w:t>Applies binary and configuration deltas to target nodes per manifest step definitions; updates NA-003 version registry post-execution; enforces idempotency per step</w:t>
            </w:r>
          </w:p>
        </w:tc>
        <w:tc>
          <w:tcPr>
            <w:tcW w:type="dxa" w:w="1568"/>
          </w:tcPr>
          <w:p>
            <w:pPr>
              <w:spacing w:after="20"/>
              <w:jc w:val="left"/>
            </w:pPr>
            <w:r/>
            <w:r>
              <w:t>AUP-003</w:t>
            </w:r>
          </w:p>
        </w:tc>
        <w:tc>
          <w:tcPr>
            <w:tcW w:type="dxa" w:w="1568"/>
          </w:tcPr>
          <w:p>
            <w:pPr>
              <w:spacing w:after="20"/>
              <w:jc w:val="left"/>
            </w:pPr>
            <w:r/>
            <w:r>
              <w:t>NA-003, AUP-006</w:t>
            </w:r>
          </w:p>
        </w:tc>
      </w:tr>
      <w:tr>
        <w:tc>
          <w:tcPr>
            <w:tcW w:type="dxa" w:w="1568"/>
          </w:tcPr>
          <w:p>
            <w:pPr>
              <w:spacing w:after="20"/>
              <w:jc w:val="left"/>
            </w:pPr>
            <w:r/>
            <w:r>
              <w:t>AUP-005</w:t>
            </w:r>
          </w:p>
        </w:tc>
        <w:tc>
          <w:tcPr>
            <w:tcW w:type="dxa" w:w="1568"/>
          </w:tcPr>
          <w:p>
            <w:pPr>
              <w:spacing w:after="20"/>
              <w:jc w:val="left"/>
            </w:pPr>
            <w:r/>
            <w:r>
              <w:t>Rollback Arbiter</w:t>
            </w:r>
          </w:p>
        </w:tc>
        <w:tc>
          <w:tcPr>
            <w:tcW w:type="dxa" w:w="1568"/>
          </w:tcPr>
          <w:p>
            <w:pPr>
              <w:spacing w:after="20"/>
              <w:jc w:val="left"/>
            </w:pPr>
            <w:r/>
            <w:r>
              <w:t>Go</w:t>
            </w:r>
          </w:p>
        </w:tc>
        <w:tc>
          <w:tcPr>
            <w:tcW w:type="dxa" w:w="1568"/>
          </w:tcPr>
          <w:p>
            <w:pPr>
              <w:spacing w:after="20"/>
              <w:jc w:val="left"/>
            </w:pPr>
            <w:r/>
            <w:r>
              <w:t>Monitors node liveness and telemetry health signals from TS-007 post-upgrade at each ring boundary; triggers rollback to last-known-good manifest if thresholds are breached</w:t>
            </w:r>
          </w:p>
        </w:tc>
        <w:tc>
          <w:tcPr>
            <w:tcW w:type="dxa" w:w="1568"/>
          </w:tcPr>
          <w:p>
            <w:pPr>
              <w:spacing w:after="20"/>
              <w:jc w:val="left"/>
            </w:pPr>
            <w:r/>
            <w:r>
              <w:t>TS-007, AUP-003, NA-005</w:t>
            </w:r>
          </w:p>
        </w:tc>
        <w:tc>
          <w:tcPr>
            <w:tcW w:type="dxa" w:w="1568"/>
          </w:tcPr>
          <w:p>
            <w:pPr>
              <w:spacing w:after="20"/>
              <w:jc w:val="left"/>
            </w:pPr>
            <w:r/>
            <w:r>
              <w:t>AUP-004, AUP-006</w:t>
            </w:r>
          </w:p>
        </w:tc>
      </w:tr>
      <w:tr>
        <w:tc>
          <w:tcPr>
            <w:tcW w:type="dxa" w:w="1568"/>
          </w:tcPr>
          <w:p>
            <w:pPr>
              <w:spacing w:after="20"/>
              <w:jc w:val="left"/>
            </w:pPr>
            <w:r/>
            <w:r>
              <w:t>AUP-006</w:t>
            </w:r>
          </w:p>
        </w:tc>
        <w:tc>
          <w:tcPr>
            <w:tcW w:type="dxa" w:w="1568"/>
          </w:tcPr>
          <w:p>
            <w:pPr>
              <w:spacing w:after="20"/>
              <w:jc w:val="left"/>
            </w:pPr>
            <w:r/>
            <w:r>
              <w:t>Audit Logger</w:t>
            </w:r>
          </w:p>
        </w:tc>
        <w:tc>
          <w:tcPr>
            <w:tcW w:type="dxa" w:w="1568"/>
          </w:tcPr>
          <w:p>
            <w:pPr>
              <w:spacing w:after="20"/>
              <w:jc w:val="left"/>
            </w:pPr>
            <w:r/>
            <w:r>
              <w:t>Rust</w:t>
            </w:r>
          </w:p>
        </w:tc>
        <w:tc>
          <w:tcPr>
            <w:tcW w:type="dxa" w:w="1568"/>
          </w:tcPr>
          <w:p>
            <w:pPr>
              <w:spacing w:after="20"/>
              <w:jc w:val="left"/>
            </w:pPr>
            <w:r/>
            <w:r>
              <w:t xml:space="preserve">Maintains an append-only, cryptographically chained structured log of all AUP actions; publishes Merkle roots of log batches to </w:t>
            </w:r>
            <w:r>
              <w:t>AuditAnchor.sol</w:t>
            </w:r>
            <w:r>
              <w:t xml:space="preserve"> on Base; feeds TS-005</w:t>
            </w:r>
          </w:p>
        </w:tc>
        <w:tc>
          <w:tcPr>
            <w:tcW w:type="dxa" w:w="1568"/>
          </w:tcPr>
          <w:p>
            <w:pPr>
              <w:spacing w:after="20"/>
              <w:jc w:val="left"/>
            </w:pPr>
            <w:r/>
            <w:r>
              <w:t>AUP-001 through AUP-005 (all modules)</w:t>
            </w:r>
          </w:p>
        </w:tc>
        <w:tc>
          <w:tcPr>
            <w:tcW w:type="dxa" w:w="1568"/>
          </w:tcPr>
          <w:p>
            <w:pPr>
              <w:spacing w:after="20"/>
              <w:jc w:val="left"/>
            </w:pPr>
            <w:r/>
            <w:r>
              <w:t>AuditAnchor.sol, TS-005</w:t>
            </w:r>
          </w:p>
        </w:tc>
      </w:tr>
      <w:tr>
        <w:tc>
          <w:tcPr>
            <w:tcW w:type="dxa" w:w="1568"/>
          </w:tcPr>
          <w:p>
            <w:pPr>
              <w:spacing w:after="20"/>
              <w:jc w:val="left"/>
            </w:pPr>
            <w:r/>
            <w:r>
              <w:t>AUP-007</w:t>
            </w:r>
          </w:p>
        </w:tc>
        <w:tc>
          <w:tcPr>
            <w:tcW w:type="dxa" w:w="1568"/>
          </w:tcPr>
          <w:p>
            <w:pPr>
              <w:spacing w:after="20"/>
              <w:jc w:val="left"/>
            </w:pPr>
            <w:r/>
            <w:r>
              <w:t>Governance Bridge Adapter</w:t>
            </w:r>
          </w:p>
        </w:tc>
        <w:tc>
          <w:tcPr>
            <w:tcW w:type="dxa" w:w="1568"/>
          </w:tcPr>
          <w:p>
            <w:pPr>
              <w:spacing w:after="20"/>
              <w:jc w:val="left"/>
            </w:pPr>
            <w:r/>
            <w:r>
              <w:t>Solidity + Go</w:t>
            </w:r>
          </w:p>
        </w:tc>
        <w:tc>
          <w:tcPr>
            <w:tcW w:type="dxa" w:w="1568"/>
          </w:tcPr>
          <w:p>
            <w:pPr>
              <w:spacing w:after="20"/>
              <w:jc w:val="left"/>
            </w:pPr>
            <w:r/>
            <w:r>
              <w:t xml:space="preserve">Subscribes to </w:t>
            </w:r>
            <w:r>
              <w:t>ProposalPassed</w:t>
            </w:r>
            <w:r>
              <w:t xml:space="preserve"> events on </w:t>
            </w:r>
            <w:r>
              <w:t>SentinelGovernor.sol</w:t>
            </w:r>
            <w:r>
              <w:t xml:space="preserve"> on Base; extracts IPFS CID from calldata; triggers AUP-001 pipeline entry; is the sole whitelisted executor address in the Governor</w:t>
            </w:r>
          </w:p>
        </w:tc>
        <w:tc>
          <w:tcPr>
            <w:tcW w:type="dxa" w:w="1568"/>
          </w:tcPr>
          <w:p>
            <w:pPr>
              <w:spacing w:after="20"/>
              <w:jc w:val="left"/>
            </w:pPr>
            <w:r/>
            <w:r>
              <w:t>SentinelGovernor.sol (Base), TimelockController.sol</w:t>
            </w:r>
          </w:p>
        </w:tc>
        <w:tc>
          <w:tcPr>
            <w:tcW w:type="dxa" w:w="1568"/>
          </w:tcPr>
          <w:p>
            <w:pPr>
              <w:spacing w:after="20"/>
              <w:jc w:val="left"/>
            </w:pPr>
            <w:r/>
            <w:r>
              <w:t>AUP-001</w:t>
            </w:r>
          </w:p>
        </w:tc>
      </w:tr>
    </w:tbl>
    <w:p/>
    <w:p>
      <w:pPr>
        <w:pStyle w:val="Heading3"/>
        <w:spacing w:before="200" w:after="60"/>
      </w:pPr>
      <w:r>
        <w:t>2.2.2 Staging Ring Model</w:t>
      </w:r>
    </w:p>
    <w:p>
      <w:pPr>
        <w:spacing w:after="120"/>
      </w:pPr>
      <w:r>
        <w:t xml:space="preserve">The AUP executes upgrades through a </w:t>
      </w:r>
      <w:r>
        <w:rPr>
          <w:b/>
        </w:rPr>
        <w:t>five-ring staged rollout model</w:t>
      </w:r>
      <w:r>
        <w:t>. Each ring represents an ordered cohort of nodes to which the upgrade is applied before proceeding to the next ring. Progression between rings is gated on exit criteria drawn from Telemetry System health signals and liveness checks. Failure to meet exit criteria at any ring boundary triggers an abort or rollback sequence.</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864"/>
          </w:tcPr>
          <w:p>
            <w:pPr>
              <w:spacing w:after="20"/>
              <w:jc w:val="left"/>
            </w:pPr>
            <w:r>
              <w:rPr>
                <w:b/>
                <w:color w:val="FFFFFF"/>
              </w:rPr>
            </w:r>
            <w:r>
              <w:rPr>
                <w:b/>
                <w:color w:val="FFFFFF"/>
              </w:rPr>
              <w:t>Ring</w:t>
            </w:r>
          </w:p>
        </w:tc>
        <w:tc>
          <w:tcPr>
            <w:tcW w:type="dxa" w:w="1344"/>
            <w:shd w:val="clear" w:color="auto" w:fill="1F3864"/>
          </w:tcPr>
          <w:p>
            <w:pPr>
              <w:spacing w:after="20"/>
              <w:jc w:val="left"/>
            </w:pPr>
            <w:r>
              <w:rPr>
                <w:b/>
                <w:color w:val="FFFFFF"/>
              </w:rPr>
            </w:r>
            <w:r>
              <w:rPr>
                <w:b/>
                <w:color w:val="FFFFFF"/>
              </w:rPr>
              <w:t>Target Nodes</w:t>
            </w:r>
          </w:p>
        </w:tc>
        <w:tc>
          <w:tcPr>
            <w:tcW w:type="dxa" w:w="1344"/>
            <w:shd w:val="clear" w:color="auto" w:fill="1F3864"/>
          </w:tcPr>
          <w:p>
            <w:pPr>
              <w:spacing w:after="20"/>
              <w:jc w:val="left"/>
            </w:pPr>
            <w:r>
              <w:rPr>
                <w:b/>
                <w:color w:val="FFFFFF"/>
              </w:rPr>
            </w:r>
            <w:r>
              <w:rPr>
                <w:b/>
                <w:color w:val="FFFFFF"/>
              </w:rPr>
              <w:t>Node Count</w:t>
            </w:r>
          </w:p>
        </w:tc>
        <w:tc>
          <w:tcPr>
            <w:tcW w:type="dxa" w:w="1344"/>
            <w:shd w:val="clear" w:color="auto" w:fill="1F3864"/>
          </w:tcPr>
          <w:p>
            <w:pPr>
              <w:spacing w:after="20"/>
              <w:jc w:val="left"/>
            </w:pPr>
            <w:r>
              <w:rPr>
                <w:b/>
                <w:color w:val="FFFFFF"/>
              </w:rPr>
            </w:r>
            <w:r>
              <w:rPr>
                <w:b/>
                <w:color w:val="FFFFFF"/>
              </w:rPr>
              <w:t>Observation Window</w:t>
            </w:r>
          </w:p>
        </w:tc>
        <w:tc>
          <w:tcPr>
            <w:tcW w:type="dxa" w:w="1344"/>
            <w:shd w:val="clear" w:color="auto" w:fill="1F3864"/>
          </w:tcPr>
          <w:p>
            <w:pPr>
              <w:spacing w:after="20"/>
              <w:jc w:val="left"/>
            </w:pPr>
            <w:r>
              <w:rPr>
                <w:b/>
                <w:color w:val="FFFFFF"/>
              </w:rPr>
            </w:r>
            <w:r>
              <w:rPr>
                <w:b/>
                <w:color w:val="FFFFFF"/>
              </w:rPr>
              <w:t>Entry Criteria</w:t>
            </w:r>
          </w:p>
        </w:tc>
        <w:tc>
          <w:tcPr>
            <w:tcW w:type="dxa" w:w="1344"/>
            <w:shd w:val="clear" w:color="auto" w:fill="1F3864"/>
          </w:tcPr>
          <w:p>
            <w:pPr>
              <w:spacing w:after="20"/>
              <w:jc w:val="left"/>
            </w:pPr>
            <w:r>
              <w:rPr>
                <w:b/>
                <w:color w:val="FFFFFF"/>
              </w:rPr>
            </w:r>
            <w:r>
              <w:rPr>
                <w:b/>
                <w:color w:val="FFFFFF"/>
              </w:rPr>
              <w:t>Exit Criteria</w:t>
            </w:r>
          </w:p>
        </w:tc>
        <w:tc>
          <w:tcPr>
            <w:tcW w:type="dxa" w:w="1344"/>
            <w:shd w:val="clear" w:color="auto" w:fill="1F3864"/>
          </w:tcPr>
          <w:p>
            <w:pPr>
              <w:spacing w:after="20"/>
              <w:jc w:val="left"/>
            </w:pPr>
            <w:r>
              <w:rPr>
                <w:b/>
                <w:color w:val="FFFFFF"/>
              </w:rPr>
            </w:r>
            <w:r>
              <w:rPr>
                <w:b/>
                <w:color w:val="FFFFFF"/>
              </w:rPr>
              <w:t>Abort Condition</w:t>
            </w:r>
          </w:p>
        </w:tc>
      </w:tr>
      <w:tr>
        <w:tc>
          <w:tcPr>
            <w:tcW w:type="dxa" w:w="1344"/>
          </w:tcPr>
          <w:p>
            <w:pPr>
              <w:spacing w:after="20"/>
              <w:jc w:val="left"/>
            </w:pPr>
            <w:r/>
            <w:r>
              <w:rPr>
                <w:b/>
              </w:rPr>
              <w:t>Ring 0</w:t>
            </w:r>
          </w:p>
        </w:tc>
        <w:tc>
          <w:tcPr>
            <w:tcW w:type="dxa" w:w="1344"/>
          </w:tcPr>
          <w:p>
            <w:pPr>
              <w:spacing w:after="20"/>
              <w:jc w:val="left"/>
            </w:pPr>
            <w:r/>
            <w:r>
              <w:t>Devnet shadow nodes (non-production, zero stake)</w:t>
            </w:r>
          </w:p>
        </w:tc>
        <w:tc>
          <w:tcPr>
            <w:tcW w:type="dxa" w:w="1344"/>
          </w:tcPr>
          <w:p>
            <w:pPr>
              <w:spacing w:after="20"/>
              <w:jc w:val="left"/>
            </w:pPr>
            <w:r/>
            <w:r>
              <w:t>Variable (devnet)</w:t>
            </w:r>
          </w:p>
        </w:tc>
        <w:tc>
          <w:tcPr>
            <w:tcW w:type="dxa" w:w="1344"/>
          </w:tcPr>
          <w:p>
            <w:pPr>
              <w:spacing w:after="20"/>
              <w:jc w:val="left"/>
            </w:pPr>
            <w:r/>
            <w:r>
              <w:t>15 minutes</w:t>
            </w:r>
          </w:p>
        </w:tc>
        <w:tc>
          <w:tcPr>
            <w:tcW w:type="dxa" w:w="1344"/>
          </w:tcPr>
          <w:p>
            <w:pPr>
              <w:spacing w:after="20"/>
              <w:jc w:val="left"/>
            </w:pPr>
            <w:r/>
            <w:r>
              <w:t>Governance timelock elapsed; manifest hash verified on Base; AUP-002 compatibility check passed</w:t>
            </w:r>
          </w:p>
        </w:tc>
        <w:tc>
          <w:tcPr>
            <w:tcW w:type="dxa" w:w="1344"/>
          </w:tcPr>
          <w:p>
            <w:pPr>
              <w:spacing w:after="20"/>
              <w:jc w:val="left"/>
            </w:pPr>
            <w:r/>
            <w:r>
              <w:t>Zero execution errors; all shadow nodes responsive; TS anomaly score &lt;0.50</w:t>
            </w:r>
          </w:p>
        </w:tc>
        <w:tc>
          <w:tcPr>
            <w:tcW w:type="dxa" w:w="1344"/>
          </w:tcPr>
          <w:p>
            <w:pPr>
              <w:spacing w:after="20"/>
              <w:jc w:val="left"/>
            </w:pPr>
            <w:r/>
            <w:r>
              <w:t>Any execution failure; node unresponsive; anomaly score &gt;0.70</w:t>
            </w:r>
          </w:p>
        </w:tc>
      </w:tr>
      <w:tr>
        <w:tc>
          <w:tcPr>
            <w:tcW w:type="dxa" w:w="1344"/>
          </w:tcPr>
          <w:p>
            <w:pPr>
              <w:spacing w:after="20"/>
              <w:jc w:val="left"/>
            </w:pPr>
            <w:r/>
            <w:r>
              <w:rPr>
                <w:b/>
              </w:rPr>
              <w:t>Ring 1</w:t>
            </w:r>
          </w:p>
        </w:tc>
        <w:tc>
          <w:tcPr>
            <w:tcW w:type="dxa" w:w="1344"/>
          </w:tcPr>
          <w:p>
            <w:pPr>
              <w:spacing w:after="20"/>
              <w:jc w:val="left"/>
            </w:pPr>
            <w:r/>
            <w:r>
              <w:t>Canary validator (1 production validator)</w:t>
            </w:r>
          </w:p>
        </w:tc>
        <w:tc>
          <w:tcPr>
            <w:tcW w:type="dxa" w:w="1344"/>
          </w:tcPr>
          <w:p>
            <w:pPr>
              <w:spacing w:after="20"/>
              <w:jc w:val="left"/>
            </w:pPr>
            <w:r/>
            <w:r>
              <w:t>1</w:t>
            </w:r>
          </w:p>
        </w:tc>
        <w:tc>
          <w:tcPr>
            <w:tcW w:type="dxa" w:w="1344"/>
          </w:tcPr>
          <w:p>
            <w:pPr>
              <w:spacing w:after="20"/>
              <w:jc w:val="left"/>
            </w:pPr>
            <w:r/>
            <w:r>
              <w:t>15 minutes</w:t>
            </w:r>
          </w:p>
        </w:tc>
        <w:tc>
          <w:tcPr>
            <w:tcW w:type="dxa" w:w="1344"/>
          </w:tcPr>
          <w:p>
            <w:pPr>
              <w:spacing w:after="20"/>
              <w:jc w:val="left"/>
            </w:pPr>
            <w:r/>
            <w:r>
              <w:t>Ring 0 exit criteria met; target block height reached</w:t>
            </w:r>
          </w:p>
        </w:tc>
        <w:tc>
          <w:tcPr>
            <w:tcW w:type="dxa" w:w="1344"/>
          </w:tcPr>
          <w:p>
            <w:pPr>
              <w:spacing w:after="20"/>
              <w:jc w:val="left"/>
            </w:pPr>
            <w:r/>
            <w:r>
              <w:t>Validator attesting normally; block production participation nominal; anomaly score &lt;0.50</w:t>
            </w:r>
          </w:p>
        </w:tc>
        <w:tc>
          <w:tcPr>
            <w:tcW w:type="dxa" w:w="1344"/>
          </w:tcPr>
          <w:p>
            <w:pPr>
              <w:spacing w:after="20"/>
              <w:jc w:val="left"/>
            </w:pPr>
            <w:r/>
            <w:r>
              <w:t>Missed attestations &gt;2 in window; anomaly score &gt;0.85; liveness failure</w:t>
            </w:r>
          </w:p>
        </w:tc>
      </w:tr>
      <w:tr>
        <w:tc>
          <w:tcPr>
            <w:tcW w:type="dxa" w:w="1344"/>
          </w:tcPr>
          <w:p>
            <w:pPr>
              <w:spacing w:after="20"/>
              <w:jc w:val="left"/>
            </w:pPr>
            <w:r/>
            <w:r>
              <w:rPr>
                <w:b/>
              </w:rPr>
              <w:t>Ring 2</w:t>
            </w:r>
          </w:p>
        </w:tc>
        <w:tc>
          <w:tcPr>
            <w:tcW w:type="dxa" w:w="1344"/>
          </w:tcPr>
          <w:p>
            <w:pPr>
              <w:spacing w:after="20"/>
              <w:jc w:val="left"/>
            </w:pPr>
            <w:r/>
            <w:r>
              <w:t>25% of validators (3 validators)</w:t>
            </w:r>
          </w:p>
        </w:tc>
        <w:tc>
          <w:tcPr>
            <w:tcW w:type="dxa" w:w="1344"/>
          </w:tcPr>
          <w:p>
            <w:pPr>
              <w:spacing w:after="20"/>
              <w:jc w:val="left"/>
            </w:pPr>
            <w:r/>
            <w:r>
              <w:t>3</w:t>
            </w:r>
          </w:p>
        </w:tc>
        <w:tc>
          <w:tcPr>
            <w:tcW w:type="dxa" w:w="1344"/>
          </w:tcPr>
          <w:p>
            <w:pPr>
              <w:spacing w:after="20"/>
              <w:jc w:val="left"/>
            </w:pPr>
            <w:r/>
            <w:r>
              <w:t>1 hour</w:t>
            </w:r>
          </w:p>
        </w:tc>
        <w:tc>
          <w:tcPr>
            <w:tcW w:type="dxa" w:w="1344"/>
          </w:tcPr>
          <w:p>
            <w:pPr>
              <w:spacing w:after="20"/>
              <w:jc w:val="left"/>
            </w:pPr>
            <w:r/>
            <w:r>
              <w:t>Ring 1 exit criteria met; target block height reached; TS-007 health signal NOMINAL for Ring 1 node</w:t>
            </w:r>
          </w:p>
        </w:tc>
        <w:tc>
          <w:tcPr>
            <w:tcW w:type="dxa" w:w="1344"/>
          </w:tcPr>
          <w:p>
            <w:pPr>
              <w:spacing w:after="20"/>
              <w:jc w:val="left"/>
            </w:pPr>
            <w:r/>
            <w:r>
              <w:t>All 3 validators attesting normally; no P1 alerts active; anomaly score &lt;0.50 on all 3</w:t>
            </w:r>
          </w:p>
        </w:tc>
        <w:tc>
          <w:tcPr>
            <w:tcW w:type="dxa" w:w="1344"/>
          </w:tcPr>
          <w:p>
            <w:pPr>
              <w:spacing w:after="20"/>
              <w:jc w:val="left"/>
            </w:pPr>
            <w:r/>
            <w:r>
              <w:t>Any Ring 2 node anomaly score &gt;0.85; &gt;1 node with anomaly score &gt;0.71; liveness failure on any node</w:t>
            </w:r>
          </w:p>
        </w:tc>
      </w:tr>
      <w:tr>
        <w:tc>
          <w:tcPr>
            <w:tcW w:type="dxa" w:w="1344"/>
          </w:tcPr>
          <w:p>
            <w:pPr>
              <w:spacing w:after="20"/>
              <w:jc w:val="left"/>
            </w:pPr>
            <w:r/>
            <w:r>
              <w:rPr>
                <w:b/>
              </w:rPr>
              <w:t>Ring 3</w:t>
            </w:r>
          </w:p>
        </w:tc>
        <w:tc>
          <w:tcPr>
            <w:tcW w:type="dxa" w:w="1344"/>
          </w:tcPr>
          <w:p>
            <w:pPr>
              <w:spacing w:after="20"/>
              <w:jc w:val="left"/>
            </w:pPr>
            <w:r/>
            <w:r>
              <w:t>75% of validators + all archive nodes</w:t>
            </w:r>
          </w:p>
        </w:tc>
        <w:tc>
          <w:tcPr>
            <w:tcW w:type="dxa" w:w="1344"/>
          </w:tcPr>
          <w:p>
            <w:pPr>
              <w:spacing w:after="20"/>
              <w:jc w:val="left"/>
            </w:pPr>
            <w:r/>
            <w:r>
              <w:t>9 validators + 4 archive = 13</w:t>
            </w:r>
          </w:p>
        </w:tc>
        <w:tc>
          <w:tcPr>
            <w:tcW w:type="dxa" w:w="1344"/>
          </w:tcPr>
          <w:p>
            <w:pPr>
              <w:spacing w:after="20"/>
              <w:jc w:val="left"/>
            </w:pPr>
            <w:r/>
            <w:r>
              <w:t>4 hours</w:t>
            </w:r>
          </w:p>
        </w:tc>
        <w:tc>
          <w:tcPr>
            <w:tcW w:type="dxa" w:w="1344"/>
          </w:tcPr>
          <w:p>
            <w:pPr>
              <w:spacing w:after="20"/>
              <w:jc w:val="left"/>
            </w:pPr>
            <w:r/>
            <w:r>
              <w:t>Ring 2 exit criteria met; target block height reached; TS-007 NOMINAL for all Ring 2 nodes</w:t>
            </w:r>
          </w:p>
        </w:tc>
        <w:tc>
          <w:tcPr>
            <w:tcW w:type="dxa" w:w="1344"/>
          </w:tcPr>
          <w:p>
            <w:pPr>
              <w:spacing w:after="20"/>
              <w:jc w:val="left"/>
            </w:pPr>
            <w:r/>
            <w:r>
              <w:t>All 13 nodes healthy; no P0/P1 alerts; mean anomaly score &lt;0.40; no missed blocks attributable to upgrade</w:t>
            </w:r>
          </w:p>
        </w:tc>
        <w:tc>
          <w:tcPr>
            <w:tcW w:type="dxa" w:w="1344"/>
          </w:tcPr>
          <w:p>
            <w:pPr>
              <w:spacing w:after="20"/>
              <w:jc w:val="left"/>
            </w:pPr>
            <w:r/>
            <w:r>
              <w:t>Any node anomaly score &gt;0.85; &gt;3 nodes simultaneously degraded; liveness failure; explicit abort signal from governance multisig</w:t>
            </w:r>
          </w:p>
        </w:tc>
      </w:tr>
      <w:tr>
        <w:tc>
          <w:tcPr>
            <w:tcW w:type="dxa" w:w="1344"/>
          </w:tcPr>
          <w:p>
            <w:pPr>
              <w:spacing w:after="20"/>
              <w:jc w:val="left"/>
            </w:pPr>
            <w:r/>
            <w:r>
              <w:rPr>
                <w:b/>
              </w:rPr>
              <w:t>Ring 4</w:t>
            </w:r>
          </w:p>
        </w:tc>
        <w:tc>
          <w:tcPr>
            <w:tcW w:type="dxa" w:w="1344"/>
          </w:tcPr>
          <w:p>
            <w:pPr>
              <w:spacing w:after="20"/>
              <w:jc w:val="left"/>
            </w:pPr>
            <w:r/>
            <w:r>
              <w:t>Sequencer nodes (fallback first, then primary)</w:t>
            </w:r>
          </w:p>
        </w:tc>
        <w:tc>
          <w:tcPr>
            <w:tcW w:type="dxa" w:w="1344"/>
          </w:tcPr>
          <w:p>
            <w:pPr>
              <w:spacing w:after="20"/>
              <w:jc w:val="left"/>
            </w:pPr>
            <w:r/>
            <w:r>
              <w:t>2 (SQ-FALLBACK first, then SQ-PRIMARY)</w:t>
            </w:r>
          </w:p>
        </w:tc>
        <w:tc>
          <w:tcPr>
            <w:tcW w:type="dxa" w:w="1344"/>
          </w:tcPr>
          <w:p>
            <w:pPr>
              <w:spacing w:after="20"/>
              <w:jc w:val="left"/>
            </w:pPr>
            <w:r/>
            <w:r>
              <w:t>30 minutes per node</w:t>
            </w:r>
          </w:p>
        </w:tc>
        <w:tc>
          <w:tcPr>
            <w:tcW w:type="dxa" w:w="1344"/>
          </w:tcPr>
          <w:p>
            <w:pPr>
              <w:spacing w:after="20"/>
              <w:jc w:val="left"/>
            </w:pPr>
            <w:r/>
            <w:r>
              <w:t>Ring 3 exit criteria met; all validators confirmed healthy; TS-007 NOMINAL across full fleet; AUP-005 approval signal issued</w:t>
            </w:r>
          </w:p>
        </w:tc>
        <w:tc>
          <w:tcPr>
            <w:tcW w:type="dxa" w:w="1344"/>
          </w:tcPr>
          <w:p>
            <w:pPr>
              <w:spacing w:after="20"/>
              <w:jc w:val="left"/>
            </w:pPr>
            <w:r/>
            <w:r>
              <w:t>SQ-PRIMARY producing blocks within 250ms target; finality not regressed; anomaly score &lt;0.40; L2 batch inclusion latency nominal</w:t>
            </w:r>
          </w:p>
        </w:tc>
        <w:tc>
          <w:tcPr>
            <w:tcW w:type="dxa" w:w="1344"/>
          </w:tcPr>
          <w:p>
            <w:pPr>
              <w:spacing w:after="20"/>
              <w:jc w:val="left"/>
            </w:pPr>
            <w:r/>
            <w:r>
              <w:t>Any block production gap &gt;3 blocks; anomaly score &gt;0.71 on any sequencer; L2 batch poster failure</w:t>
            </w:r>
          </w:p>
        </w:tc>
      </w:tr>
    </w:tbl>
    <w:p/>
    <w:p>
      <w:pPr>
        <w:spacing w:after="80"/>
      </w:pPr>
      <w:r>
        <w:t>CRITICAL — RING 4 SEQUENCER UPGRADE PROCEDURE</w:t>
      </w:r>
    </w:p>
    <w:p>
      <w:pPr>
        <w:spacing w:after="120"/>
      </w:pPr>
      <w:r>
        <w:t>SQ-FALLBACK is always upgraded before SQ-PRIMARY. During the SQ-FALLBACK upgrade window, SQ-PRIMARY carries full sequencing load. SQ-PRIMARY is only upgraded after SQ-FALLBACK has completed its 30-minute observation window and returned to active hot-standby status. At no point during Ring 4 are both sequencer nodes simultaneously undergoing upgrade execution. Violation of this constraint is treated as an AUP-005 abort condition.</w:t>
      </w:r>
    </w:p>
    <w:p>
      <w:pPr>
        <w:pStyle w:val="Heading3"/>
        <w:spacing w:before="200" w:after="60"/>
      </w:pPr>
      <w:r>
        <w:t>2.2.3 Deterministic Execution Model</w:t>
      </w:r>
    </w:p>
    <w:p>
      <w:pPr>
        <w:spacing w:after="120"/>
      </w:pPr>
      <w:r>
        <w:t>The AUP enforces strict execution determinism through the following mechanisms. Any deviation from these constraints is treated as a system integrity failure and triggers an immediate AUP halt:</w:t>
      </w:r>
    </w:p>
    <w:p>
      <w:pPr>
        <w:pStyle w:val="ListBullet"/>
        <w:spacing w:after="40"/>
      </w:pPr>
      <w:r>
        <w:rPr>
          <w:b/>
        </w:rPr>
        <w:t>Content-Addressed Artifacts:</w:t>
      </w:r>
      <w:r>
        <w:t xml:space="preserve"> All upgrade artifacts (binaries, configuration files, migration scripts) are identified exclusively by their </w:t>
      </w:r>
      <w:r>
        <w:rPr>
          <w:b/>
        </w:rPr>
        <w:t>SHA3-256 hash</w:t>
      </w:r>
      <w:r>
        <w:t xml:space="preserve">, registered on Base via </w:t>
      </w:r>
      <w:r>
        <w:t>UpgradeRegistry.sol</w:t>
      </w:r>
      <w:r>
        <w:t xml:space="preserve"> prior to execution. No artifact is executed unless its hash matches the on-chain registration.</w:t>
      </w:r>
    </w:p>
    <w:p>
      <w:pPr>
        <w:pStyle w:val="ListBullet"/>
        <w:spacing w:after="40"/>
      </w:pPr>
      <w:r>
        <w:rPr>
          <w:b/>
        </w:rPr>
        <w:t>Declarative TOML Manifests:</w:t>
      </w:r>
      <w:r>
        <w:t xml:space="preserve"> Execution manifests are declarative TOML files specifying desired state, not imperative shell scripts. AUP-004 interprets manifests and translates them into atomic, idempotent operations. See Appendix A for the full manifest schema.</w:t>
      </w:r>
    </w:p>
    <w:p>
      <w:pPr>
        <w:pStyle w:val="ListBullet"/>
        <w:spacing w:after="40"/>
      </w:pPr>
      <w:r>
        <w:rPr>
          <w:b/>
        </w:rPr>
        <w:t>Idempotent Steps:</w:t>
      </w:r>
      <w:r>
        <w:t xml:space="preserve"> Every manifest step is idempotent. Re-execution of a step that has already completed successfully is a no-op. AUP-004 checks step completion state before executing any step, preventing double-application.</w:t>
      </w:r>
    </w:p>
    <w:p>
      <w:pPr>
        <w:pStyle w:val="ListBullet"/>
        <w:spacing w:after="40"/>
      </w:pPr>
      <w:r>
        <w:rPr>
          <w:b/>
        </w:rPr>
        <w:t>Topological Execution Order:</w:t>
      </w:r>
      <w:r>
        <w:t xml:space="preserve"> Steps within a manifest are topologically sorted by their declared dependency graph before execution. Circular dependency declarations are rejected by AUP-001 at ingestion time.</w:t>
      </w:r>
    </w:p>
    <w:p>
      <w:pPr>
        <w:pStyle w:val="ListBullet"/>
        <w:spacing w:after="40"/>
      </w:pPr>
      <w:r>
        <w:rPr>
          <w:b/>
        </w:rPr>
        <w:t>Block-Height-Gated Transitions:</w:t>
      </w:r>
      <w:r>
        <w:t xml:space="preserve"> All ring transitions are gated on reaching a specific L3 block height declared in the manifest. No wall-clock timing dependencies exist. This ensures that execution timing is deterministic and reproducible on any node with access to the canonical chain.</w:t>
      </w:r>
    </w:p>
    <w:p>
      <w:pPr>
        <w:pStyle w:val="ListBullet"/>
        <w:spacing w:after="40"/>
      </w:pPr>
      <w:r>
        <w:rPr>
          <w:b/>
        </w:rPr>
        <w:t>Controlled Parallelism:</w:t>
      </w:r>
      <w:r>
        <w:t xml:space="preserve"> Parallel execution is permitted only for nodes within the same ring that have no shared state dependencies. Cross-ring parallel execution is prohibited. Parallelism boundaries are declared explicitly in the manifest dependency graph.</w:t>
      </w:r>
    </w:p>
    <w:p>
      <w:pPr>
        <w:pStyle w:val="ListBullet"/>
        <w:spacing w:after="40"/>
      </w:pPr>
      <w:r>
        <w:rPr>
          <w:b/>
        </w:rPr>
        <w:t>Cryptographic Commitment:</w:t>
      </w:r>
      <w:r>
        <w:t xml:space="preserve"> Before executing any step, AUP-006 writes a pre-execution commitment record containing: manifest hash + target block height + target node ID + executing AUP module version, signed with the AUP execution key. This record is append-only and tamper-evident.</w:t>
      </w:r>
    </w:p>
    <w:p>
      <w:pPr>
        <w:pStyle w:val="Heading3"/>
        <w:spacing w:before="200" w:after="60"/>
      </w:pPr>
      <w:r>
        <w:t>2.2.4 Upgrade Sequencing</w:t>
      </w:r>
    </w:p>
    <w:p>
      <w:pPr>
        <w:spacing w:after="120"/>
      </w:pPr>
      <w:r>
        <w:t>The following numbered sequence describes the complete end-to-end lifecycle of a Sentinel-L3 protocol upgrade from governance proposal authoring through full fleet deployment:</w:t>
      </w:r>
    </w:p>
    <w:p>
      <w:pPr>
        <w:pStyle w:val="ListNumber"/>
        <w:spacing w:after="40"/>
      </w:pPr>
      <w:r>
        <w:rPr>
          <w:b/>
        </w:rPr>
        <w:t>Proposal Authoring:</w:t>
      </w:r>
      <w:r>
        <w:t xml:space="preserve"> A protocol engineer or community proposer authors an upgrade proposal. The proposal calldata includes the IPFS CID of the upgrade manifest and a human-readable description. The proposer must hold or have delegated to them at least </w:t>
      </w:r>
      <w:r>
        <w:rPr>
          <w:b/>
        </w:rPr>
        <w:t>100,000 SNTL</w:t>
      </w:r>
      <w:r>
        <w:t xml:space="preserve"> (the proposal threshold).</w:t>
      </w:r>
    </w:p>
    <w:p>
      <w:pPr>
        <w:pStyle w:val="ListNumber"/>
        <w:spacing w:after="40"/>
      </w:pPr>
      <w:r>
        <w:rPr>
          <w:b/>
        </w:rPr>
        <w:t>On-Chain Proposal Submission:</w:t>
      </w:r>
      <w:r>
        <w:t xml:space="preserve"> The proposer calls </w:t>
      </w:r>
      <w:r>
        <w:t>Governor.propose()</w:t>
      </w:r>
      <w:r>
        <w:t xml:space="preserve"> on </w:t>
      </w:r>
      <w:r>
        <w:t>SentinelGovernor.sol</w:t>
      </w:r>
      <w:r>
        <w:t xml:space="preserve"> on Base. The Governor records the proposal and opens the voting period.</w:t>
      </w:r>
    </w:p>
    <w:p>
      <w:pPr>
        <w:pStyle w:val="ListNumber"/>
        <w:spacing w:after="40"/>
      </w:pPr>
      <w:r>
        <w:rPr>
          <w:b/>
        </w:rPr>
        <w:t>Voting Period:</w:t>
      </w:r>
      <w:r>
        <w:t xml:space="preserve"> Token holders vote FOR, AGAINST, or ABSTAIN over a </w:t>
      </w:r>
      <w:r>
        <w:rPr>
          <w:b/>
        </w:rPr>
        <w:t>7,200 Base block</w:t>
      </w:r>
      <w:r>
        <w:t xml:space="preserve"> (~24-hour) voting window. Quorum threshold: </w:t>
      </w:r>
      <w:r>
        <w:rPr>
          <w:b/>
        </w:rPr>
        <w:t>4% of total SNTL supply</w:t>
      </w:r>
      <w:r>
        <w:t>. Votes are weighted by ve-SNTL lock balance.</w:t>
      </w:r>
    </w:p>
    <w:p>
      <w:pPr>
        <w:pStyle w:val="ListNumber"/>
        <w:spacing w:after="40"/>
      </w:pPr>
      <w:r>
        <w:rPr>
          <w:b/>
        </w:rPr>
        <w:t>Timelock Queue:</w:t>
      </w:r>
      <w:r>
        <w:t xml:space="preserve"> If the proposal passes quorum and achieves a FOR majority, it is queued in </w:t>
      </w:r>
      <w:r>
        <w:t>TimelockController.sol</w:t>
      </w:r>
      <w:r>
        <w:t xml:space="preserve">. A mandatory </w:t>
      </w:r>
      <w:r>
        <w:rPr>
          <w:b/>
        </w:rPr>
        <w:t>48-hour timelock delay</w:t>
      </w:r>
      <w:r>
        <w:t xml:space="preserve"> begins, providing a final window for emergency halt if a critical flaw is discovered.</w:t>
      </w:r>
    </w:p>
    <w:p>
      <w:pPr>
        <w:pStyle w:val="ListNumber"/>
        <w:spacing w:after="40"/>
      </w:pPr>
      <w:r>
        <w:rPr>
          <w:b/>
        </w:rPr>
        <w:t>AUP-007 Event Detection:</w:t>
      </w:r>
      <w:r>
        <w:t xml:space="preserve"> Upon timelock expiry, the proposal becomes executable. AUP-007 detects the </w:t>
      </w:r>
      <w:r>
        <w:t>ProposalPassed</w:t>
      </w:r>
      <w:r>
        <w:t xml:space="preserve"> event (or </w:t>
      </w:r>
      <w:r>
        <w:t>CallScheduled</w:t>
      </w:r>
      <w:r>
        <w:t xml:space="preserve"> event from the TimelockController) and extracts the manifest IPFS CID from calldata. AUP-007 calls </w:t>
      </w:r>
      <w:r>
        <w:t>Governor.execute()</w:t>
      </w:r>
      <w:r>
        <w:t xml:space="preserve"> as the whitelisted executor, atomically triggering the on-chain execution record.</w:t>
      </w:r>
    </w:p>
    <w:p>
      <w:pPr>
        <w:pStyle w:val="ListNumber"/>
        <w:spacing w:after="40"/>
      </w:pPr>
      <w:r>
        <w:rPr>
          <w:b/>
        </w:rPr>
        <w:t>Manifest Ingestion:</w:t>
      </w:r>
      <w:r>
        <w:t xml:space="preserve"> AUP-001 fetches the manifest from IPFS using the extracted CID. It validates the manifest schema, verifies the SHA3-256 hash against </w:t>
      </w:r>
      <w:r>
        <w:t>UpgradeRegistry.sol</w:t>
      </w:r>
      <w:r>
        <w:t xml:space="preserve"> on Base, and rejects any manifest with a hash mismatch.</w:t>
      </w:r>
    </w:p>
    <w:p>
      <w:pPr>
        <w:pStyle w:val="ListNumber"/>
        <w:spacing w:after="40"/>
      </w:pPr>
      <w:r>
        <w:rPr>
          <w:b/>
        </w:rPr>
        <w:t>Compatibility Validation:</w:t>
      </w:r>
      <w:r>
        <w:t xml:space="preserve"> AUP-002 performs static compatibility analysis: EVM opcode diff validation, bytecode compatibility checks, dependency version consistency against the current fleet state (queried from NA-005). A compatibility failure halts the pipeline and triggers an AUP-006 audit event.</w:t>
      </w:r>
    </w:p>
    <w:p>
      <w:pPr>
        <w:pStyle w:val="ListNumber"/>
        <w:spacing w:after="40"/>
      </w:pPr>
      <w:r>
        <w:rPr>
          <w:b/>
        </w:rPr>
        <w:t>Ring Scheduling:</w:t>
      </w:r>
      <w:r>
        <w:t xml:space="preserve"> AUP-003 schedules the ring progression sequence, computing the target L3 block height for each ring entry based on manifest declarations. The schedule is written to AUP-003's internal state store and audited by AUP-006.</w:t>
      </w:r>
    </w:p>
    <w:p>
      <w:pPr>
        <w:pStyle w:val="ListNumber"/>
        <w:spacing w:after="40"/>
      </w:pPr>
      <w:r>
        <w:rPr>
          <w:b/>
        </w:rPr>
        <w:t>Ring Execution Sequence:</w:t>
      </w:r>
      <w:r>
        <w:t xml:space="preserve"> Ring 0 is executed at the target block height. AUP-004 applies the manifest steps to Ring 0 nodes. TS-001 agents enter elevated sampling mode during ring execution. AUP-005 polls TS-007 throughout the observation window. Upon Ring 0 exit criteria being met, AUP-003 advances to Ring 1, and the sequence continues through Rings 1, 2, 3, and 4 per Section 2.2.2.</w:t>
      </w:r>
    </w:p>
    <w:p>
      <w:pPr>
        <w:pStyle w:val="ListNumber"/>
        <w:spacing w:after="40"/>
      </w:pPr>
      <w:r>
        <w:rPr>
          <w:b/>
        </w:rPr>
        <w:t>Final Audit Anchoring:</w:t>
      </w:r>
      <w:r>
        <w:t xml:space="preserve"> Upon successful Ring 4 completion, AUP-006 writes the final audit record to the append-only log and submits the Merkle root of the complete upgrade audit batch to </w:t>
      </w:r>
      <w:r>
        <w:t>AuditAnchor.sol</w:t>
      </w:r>
      <w:r>
        <w:t xml:space="preserve"> on Base.</w:t>
      </w:r>
    </w:p>
    <w:p>
      <w:pPr>
        <w:pStyle w:val="ListNumber"/>
        <w:spacing w:after="40"/>
      </w:pPr>
      <w:r>
        <w:rPr>
          <w:b/>
        </w:rPr>
        <w:t>Version Registry Update:</w:t>
      </w:r>
      <w:r>
        <w:t xml:space="preserve"> NA-003 (Version Registry) is updated by AUP-004 with the new client version and protocol version for all upgraded nodes. NA-007 publishes a new signed Atlas snapshot to IPFS and anchors the CID on </w:t>
      </w:r>
      <w:r>
        <w:t>AtlasRegistry.sol</w:t>
      </w:r>
      <w:r>
        <w:t xml:space="preserve"> on Base.</w:t>
      </w:r>
    </w:p>
    <w:p>
      <w:pPr>
        <w:pStyle w:val="Heading3"/>
        <w:spacing w:before="200" w:after="60"/>
      </w:pPr>
      <w:r>
        <w:t>2.2.5 Rollback Protocol</w:t>
      </w:r>
    </w:p>
    <w:p>
      <w:pPr>
        <w:spacing w:after="120"/>
      </w:pPr>
      <w:r>
        <w:t>The AUP rollback protocol is designed to restore the fleet to a known-good state atomically within any given ring. Rollback is never partial within a ring boundary.</w:t>
      </w:r>
    </w:p>
    <w:p>
      <w:pPr>
        <w:pStyle w:val="Heading4"/>
        <w:spacing w:before="160"/>
      </w:pPr>
      <w:r>
        <w:t>Trigger Conditions</w:t>
      </w:r>
    </w:p>
    <w:p>
      <w:pPr>
        <w:pStyle w:val="ListBullet"/>
        <w:spacing w:after="40"/>
      </w:pPr>
      <w:r>
        <w:t xml:space="preserve">Liveness failure: any AUP-managed node in the current ring misses </w:t>
      </w:r>
      <w:r>
        <w:rPr>
          <w:b/>
        </w:rPr>
        <w:t>&gt;3 consecutive blocks</w:t>
      </w:r>
      <w:r>
        <w:t xml:space="preserve"> (for sequencers) or fails to attest within the expected window (for validators)</w:t>
      </w:r>
    </w:p>
    <w:p>
      <w:pPr>
        <w:pStyle w:val="ListBullet"/>
        <w:spacing w:after="40"/>
      </w:pPr>
      <w:r>
        <w:t xml:space="preserve">Telemetry anomaly score: any node in the current ring reaches a TS-007 score of </w:t>
      </w:r>
      <w:r>
        <w:rPr>
          <w:b/>
        </w:rPr>
        <w:t>&gt;0.85</w:t>
      </w:r>
      <w:r>
        <w:t xml:space="preserve"> (CRITICAL threshold)</w:t>
      </w:r>
    </w:p>
    <w:p>
      <w:pPr>
        <w:pStyle w:val="ListBullet"/>
        <w:spacing w:after="40"/>
      </w:pPr>
      <w:r>
        <w:t xml:space="preserve">Explicit abort signal: 4-of-7 Security Council multisig submits a halt transaction to </w:t>
      </w:r>
      <w:r>
        <w:t>EmergencyCouncil.sol</w:t>
      </w:r>
      <w:r>
        <w:t xml:space="preserve"> on Base</w:t>
      </w:r>
    </w:p>
    <w:p>
      <w:pPr>
        <w:pStyle w:val="Heading4"/>
        <w:spacing w:before="160"/>
      </w:pPr>
      <w:r>
        <w:t>Rollback Mechanics</w:t>
      </w:r>
    </w:p>
    <w:p>
      <w:pPr>
        <w:pStyle w:val="ListBullet"/>
        <w:spacing w:after="40"/>
      </w:pPr>
      <w:r>
        <w:t xml:space="preserve">Rollback target is always the </w:t>
      </w:r>
      <w:r>
        <w:rPr>
          <w:b/>
        </w:rPr>
        <w:t>last-known-good manifest</w:t>
      </w:r>
      <w:r>
        <w:t xml:space="preserve">, identified by its SHA3-256 content hash stored in AUP-005 state and verifiable against </w:t>
      </w:r>
      <w:r>
        <w:t>UpgradeRegistry.sol</w:t>
      </w:r>
      <w:r>
        <w:t xml:space="preserve"> on Base.</w:t>
      </w:r>
    </w:p>
    <w:p>
      <w:pPr>
        <w:pStyle w:val="ListBullet"/>
        <w:spacing w:after="40"/>
      </w:pPr>
      <w:r>
        <w:t xml:space="preserve">Rollback scope is the </w:t>
      </w:r>
      <w:r>
        <w:rPr>
          <w:b/>
        </w:rPr>
        <w:t>current ring</w:t>
      </w:r>
      <w:r>
        <w:t>: all nodes in the ring that received the upgrade revert simultaneously. Nodes in rings that have not yet been executed are unaffected.</w:t>
      </w:r>
    </w:p>
    <w:p>
      <w:pPr>
        <w:pStyle w:val="ListBullet"/>
        <w:spacing w:after="40"/>
      </w:pPr>
      <w:r>
        <w:t xml:space="preserve">Rollback steps are declared explicitly in the manifest </w:t>
      </w:r>
      <w:r>
        <w:t>rollback_steps</w:t>
      </w:r>
      <w:r>
        <w:t xml:space="preserve"> array (see Appendix A). Rollback steps are also idempotent.</w:t>
      </w:r>
    </w:p>
    <w:p>
      <w:pPr>
        <w:pStyle w:val="ListBullet"/>
        <w:spacing w:after="40"/>
      </w:pPr>
      <w:r>
        <w:t>Rollback completion is verified by AUP-005 via TS-007 health check before the pipeline is marked as rolled back.</w:t>
      </w:r>
    </w:p>
    <w:p>
      <w:pPr>
        <w:pStyle w:val="ListBullet"/>
        <w:spacing w:after="40"/>
      </w:pPr>
      <w:r>
        <w:t xml:space="preserve">Post-rollback: a mandatory </w:t>
      </w:r>
      <w:r>
        <w:rPr>
          <w:b/>
        </w:rPr>
        <w:t>72-hour quarantine period</w:t>
      </w:r>
      <w:r>
        <w:t xml:space="preserve"> is enforced by AUP-003 before any new upgrade attempt may be scheduled. This window is for root cause analysis and remediation.</w:t>
      </w:r>
    </w:p>
    <w:p>
      <w:pPr>
        <w:pStyle w:val="Heading4"/>
        <w:spacing w:before="160"/>
      </w:pPr>
      <w:r>
        <w:t>Emergency Override</w:t>
      </w:r>
    </w:p>
    <w:p>
      <w:pPr>
        <w:spacing w:after="120"/>
      </w:pPr>
      <w:r>
        <w:t xml:space="preserve">A </w:t>
      </w:r>
      <w:r>
        <w:rPr>
          <w:b/>
        </w:rPr>
        <w:t>4-of-7 Security Council multisig</w:t>
      </w:r>
      <w:r>
        <w:t xml:space="preserve"> can force-halt the AUP mid-execution at any point via </w:t>
      </w:r>
      <w:r>
        <w:t>EmergencyCouncil.sol</w:t>
      </w:r>
      <w:r>
        <w:t xml:space="preserve"> on Base. The halt signal is detected by AUP-007 and propagated to AUP-003 within 1 block (~250ms on L3). All in-progress step executions are interrupted at the next safe checkpoint. The halt action is recorded in AUP-006 and is subject to mandatory post-hoc governance review within </w:t>
      </w:r>
      <w:r>
        <w:rPr>
          <w:b/>
        </w:rPr>
        <w:t>14 days</w:t>
      </w:r>
      <w:r>
        <w:t>.</w:t>
      </w:r>
    </w:p>
    <w:p>
      <w:pPr>
        <w:pStyle w:val="Heading2"/>
        <w:spacing w:before="280" w:after="80"/>
      </w:pPr>
      <w:r>
        <w:t>2.3 Governance Flow</w:t>
      </w:r>
    </w:p>
    <w:p>
      <w:pPr>
        <w:pStyle w:val="Heading3"/>
        <w:spacing w:before="200" w:after="60"/>
      </w:pPr>
      <w:r>
        <w:t>2.3.1 On-Chain Governance Architecture</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spacing w:after="20"/>
              <w:jc w:val="left"/>
            </w:pPr>
            <w:r>
              <w:rPr>
                <w:b/>
                <w:color w:val="FFFFFF"/>
              </w:rPr>
            </w:r>
            <w:r>
              <w:rPr>
                <w:b/>
                <w:color w:val="FFFFFF"/>
              </w:rPr>
              <w:t>Parameter</w:t>
            </w:r>
          </w:p>
        </w:tc>
        <w:tc>
          <w:tcPr>
            <w:tcW w:type="dxa" w:w="4703"/>
            <w:shd w:val="clear" w:color="auto" w:fill="1F3864"/>
          </w:tcPr>
          <w:p>
            <w:pPr>
              <w:spacing w:after="20"/>
              <w:jc w:val="left"/>
            </w:pPr>
            <w:r>
              <w:rPr>
                <w:b/>
                <w:color w:val="FFFFFF"/>
              </w:rPr>
            </w:r>
            <w:r>
              <w:rPr>
                <w:b/>
                <w:color w:val="FFFFFF"/>
              </w:rPr>
              <w:t>Value / Description</w:t>
            </w:r>
          </w:p>
        </w:tc>
      </w:tr>
      <w:tr>
        <w:tc>
          <w:tcPr>
            <w:tcW w:type="dxa" w:w="4703"/>
          </w:tcPr>
          <w:p>
            <w:pPr>
              <w:spacing w:after="20"/>
              <w:jc w:val="left"/>
            </w:pPr>
            <w:r/>
            <w:r>
              <w:t>Governor Contract</w:t>
            </w:r>
          </w:p>
        </w:tc>
        <w:tc>
          <w:tcPr>
            <w:tcW w:type="dxa" w:w="4703"/>
          </w:tcPr>
          <w:p>
            <w:pPr>
              <w:spacing w:after="20"/>
              <w:jc w:val="left"/>
            </w:pPr>
            <w:r/>
            <w:r>
              <w:t>SentinelGovernor.sol</w:t>
            </w:r>
            <w:r>
              <w:t xml:space="preserve"> — OpenZeppelin Governor extension, deployed on Base Mainnet</w:t>
            </w:r>
          </w:p>
        </w:tc>
      </w:tr>
      <w:tr>
        <w:tc>
          <w:tcPr>
            <w:tcW w:type="dxa" w:w="4703"/>
          </w:tcPr>
          <w:p>
            <w:pPr>
              <w:spacing w:after="20"/>
              <w:jc w:val="left"/>
            </w:pPr>
            <w:r/>
            <w:r>
              <w:t>Governance Token</w:t>
            </w:r>
          </w:p>
        </w:tc>
        <w:tc>
          <w:tcPr>
            <w:tcW w:type="dxa" w:w="4703"/>
          </w:tcPr>
          <w:p>
            <w:pPr>
              <w:spacing w:after="20"/>
              <w:jc w:val="left"/>
            </w:pPr>
            <w:r/>
            <w:r>
              <w:rPr>
                <w:b/>
              </w:rPr>
              <w:t>SNTL</w:t>
            </w:r>
            <w:r>
              <w:t xml:space="preserve"> — ERC-20 with vote-escrowed model (ve-SNTL). Votes are weighted by locked ve-SNTL balance.</w:t>
            </w:r>
          </w:p>
        </w:tc>
      </w:tr>
      <w:tr>
        <w:tc>
          <w:tcPr>
            <w:tcW w:type="dxa" w:w="4703"/>
          </w:tcPr>
          <w:p>
            <w:pPr>
              <w:spacing w:after="20"/>
              <w:jc w:val="left"/>
            </w:pPr>
            <w:r/>
            <w:r>
              <w:t>Proposal Threshold</w:t>
            </w:r>
          </w:p>
        </w:tc>
        <w:tc>
          <w:tcPr>
            <w:tcW w:type="dxa" w:w="4703"/>
          </w:tcPr>
          <w:p>
            <w:pPr>
              <w:spacing w:after="20"/>
              <w:jc w:val="left"/>
            </w:pPr>
            <w:r/>
            <w:r>
              <w:t>100,000 SNTL (or ve-SNTL equivalent, delegated or self-held)</w:t>
            </w:r>
          </w:p>
        </w:tc>
      </w:tr>
      <w:tr>
        <w:tc>
          <w:tcPr>
            <w:tcW w:type="dxa" w:w="4703"/>
          </w:tcPr>
          <w:p>
            <w:pPr>
              <w:spacing w:after="20"/>
              <w:jc w:val="left"/>
            </w:pPr>
            <w:r/>
            <w:r>
              <w:t>Quorum</w:t>
            </w:r>
          </w:p>
        </w:tc>
        <w:tc>
          <w:tcPr>
            <w:tcW w:type="dxa" w:w="4703"/>
          </w:tcPr>
          <w:p>
            <w:pPr>
              <w:spacing w:after="20"/>
              <w:jc w:val="left"/>
            </w:pPr>
            <w:r/>
            <w:r>
              <w:t>4% of total SNTL supply must participate (FOR + AGAINST, excluding ABSTAIN)</w:t>
            </w:r>
          </w:p>
        </w:tc>
      </w:tr>
      <w:tr>
        <w:tc>
          <w:tcPr>
            <w:tcW w:type="dxa" w:w="4703"/>
          </w:tcPr>
          <w:p>
            <w:pPr>
              <w:spacing w:after="20"/>
              <w:jc w:val="left"/>
            </w:pPr>
            <w:r/>
            <w:r>
              <w:t>Voting Period</w:t>
            </w:r>
          </w:p>
        </w:tc>
        <w:tc>
          <w:tcPr>
            <w:tcW w:type="dxa" w:w="4703"/>
          </w:tcPr>
          <w:p>
            <w:pPr>
              <w:spacing w:after="20"/>
              <w:jc w:val="left"/>
            </w:pPr>
            <w:r/>
            <w:r>
              <w:t>7,200 Base L2 blocks (~24 hours at ~12s Base block time)</w:t>
            </w:r>
          </w:p>
        </w:tc>
      </w:tr>
      <w:tr>
        <w:tc>
          <w:tcPr>
            <w:tcW w:type="dxa" w:w="4703"/>
          </w:tcPr>
          <w:p>
            <w:pPr>
              <w:spacing w:after="20"/>
              <w:jc w:val="left"/>
            </w:pPr>
            <w:r/>
            <w:r>
              <w:t>Timelock Delay</w:t>
            </w:r>
          </w:p>
        </w:tc>
        <w:tc>
          <w:tcPr>
            <w:tcW w:type="dxa" w:w="4703"/>
          </w:tcPr>
          <w:p>
            <w:pPr>
              <w:spacing w:after="20"/>
              <w:jc w:val="left"/>
            </w:pPr>
            <w:r/>
            <w:r>
              <w:t xml:space="preserve">48 hours (enforced by </w:t>
            </w:r>
            <w:r>
              <w:t>TimelockController.sol</w:t>
            </w:r>
            <w:r>
              <w:t>)</w:t>
            </w:r>
          </w:p>
        </w:tc>
      </w:tr>
      <w:tr>
        <w:tc>
          <w:tcPr>
            <w:tcW w:type="dxa" w:w="4703"/>
          </w:tcPr>
          <w:p>
            <w:pPr>
              <w:spacing w:after="20"/>
              <w:jc w:val="left"/>
            </w:pPr>
            <w:r/>
            <w:r>
              <w:t>Authorized Executor</w:t>
            </w:r>
          </w:p>
        </w:tc>
        <w:tc>
          <w:tcPr>
            <w:tcW w:type="dxa" w:w="4703"/>
          </w:tcPr>
          <w:p>
            <w:pPr>
              <w:spacing w:after="20"/>
              <w:jc w:val="left"/>
            </w:pPr>
            <w:r/>
            <w:r>
              <w:t>AUP-007 address only — whitelisted in Governor contract; no human executor addresses</w:t>
            </w:r>
          </w:p>
        </w:tc>
      </w:tr>
      <w:tr>
        <w:tc>
          <w:tcPr>
            <w:tcW w:type="dxa" w:w="4703"/>
          </w:tcPr>
          <w:p>
            <w:pPr>
              <w:spacing w:after="20"/>
              <w:jc w:val="left"/>
            </w:pPr>
            <w:r/>
            <w:r>
              <w:t>Cancellation</w:t>
            </w:r>
          </w:p>
        </w:tc>
        <w:tc>
          <w:tcPr>
            <w:tcW w:type="dxa" w:w="4703"/>
          </w:tcPr>
          <w:p>
            <w:pPr>
              <w:spacing w:after="20"/>
              <w:jc w:val="left"/>
            </w:pPr>
            <w:r/>
            <w:r>
              <w:t xml:space="preserve">Proposer can cancel before timelock expiry; Security Council can cancel via </w:t>
            </w:r>
            <w:r>
              <w:t>EmergencyCouncil.sol</w:t>
            </w:r>
            <w:r>
              <w:t xml:space="preserve"> after passage</w:t>
            </w:r>
          </w:p>
        </w:tc>
      </w:tr>
    </w:tbl>
    <w:p/>
    <w:p>
      <w:pPr>
        <w:pStyle w:val="Heading3"/>
        <w:spacing w:before="200" w:after="60"/>
      </w:pPr>
      <w:r>
        <w:t>2.3.2 Governance Flow Diagram (Textual)</w:t>
      </w:r>
    </w:p>
    <w:p>
      <w:pPr>
        <w:spacing w:after="120"/>
      </w:pPr>
      <w:r>
        <w:t>The following describes the complete on-chain governance lifecycle from proposal submission to fleet deployment:</w:t>
      </w:r>
    </w:p>
    <w:p>
      <w:pPr>
        <w:spacing w:after="80"/>
      </w:pPr>
      <w:r>
        <w:t>PROPOSER</w:t>
        <w:br/>
        <w:t xml:space="preserve">  │</w:t>
        <w:br/>
        <w:t xml:space="preserve">  ├─► Governor.propose(targets, values, calldatas, description)</w:t>
        <w:br/>
        <w:t xml:space="preserve">  │     calldata includes: IPFS CID of upgrade manifest</w:t>
        <w:br/>
        <w:t xml:space="preserve">  │     requires: ≥100,000 SNTL proposal threshold</w:t>
        <w:br/>
        <w:t xml:space="preserve">  │</w:t>
        <w:br/>
        <w:t xml:space="preserve">  ▼</w:t>
        <w:br/>
        <w:t>VOTING PERIOD (7,200 Base blocks ≈ 24 hours)</w:t>
        <w:br/>
        <w:t xml:space="preserve">  │  Token holders cast FOR / AGAINST / ABSTAIN votes</w:t>
        <w:br/>
        <w:t xml:space="preserve">  │  Votes weighted by ve-SNTL lock balance</w:t>
        <w:br/>
        <w:t xml:space="preserve">  │</w:t>
        <w:br/>
        <w:t xml:space="preserve">  ├─[QUORUM MET + FOR majority]─►</w:t>
        <w:br/>
        <w:t xml:space="preserve">  │</w:t>
        <w:br/>
        <w:t xml:space="preserve">  ▼</w:t>
        <w:br/>
        <w:t>Governor.queue() ─► TimelockController</w:t>
        <w:br/>
        <w:t xml:space="preserve">  │  48-hour mandatory delay begins</w:t>
        <w:br/>
        <w:t xml:space="preserve">  │  [Security Council may cancel within this window]</w:t>
        <w:br/>
        <w:t xml:space="preserve">  │</w:t>
        <w:br/>
        <w:t xml:space="preserve">  ▼</w:t>
        <w:br/>
        <w:t>[48 hours elapsed]</w:t>
        <w:br/>
        <w:t xml:space="preserve">  │</w:t>
        <w:br/>
        <w:t xml:space="preserve">  ▼</w:t>
        <w:br/>
        <w:t>AUP-007.execute() ─► Governor.execute()</w:t>
        <w:br/>
        <w:t xml:space="preserve">  │  AUP-007 is sole whitelisted executor</w:t>
        <w:br/>
        <w:t xml:space="preserve">  │  On-chain execution record created</w:t>
        <w:br/>
        <w:t xml:space="preserve">  │  IPFS CID extracted from calldata</w:t>
        <w:br/>
        <w:t xml:space="preserve">  │</w:t>
        <w:br/>
        <w:t xml:space="preserve">  ▼</w:t>
        <w:br/>
        <w:t>AUP PIPELINE ENTRY (AUP-001 → AUP-002 → AUP-003)</w:t>
        <w:br/>
        <w:t xml:space="preserve">  │</w:t>
        <w:br/>
        <w:t xml:space="preserve">  ▼</w:t>
        <w:br/>
        <w:t>RING EXECUTION SEQUENCE (Ring 0 → Ring 1 → Ring 2 → Ring 3 → Ring 4)</w:t>
        <w:br/>
        <w:t xml:space="preserve">  │  Telemetry health-gated at each ring boundary</w:t>
        <w:br/>
        <w:t xml:space="preserve">  │</w:t>
        <w:br/>
        <w:t xml:space="preserve">  ▼</w:t>
        <w:br/>
        <w:t>FLEET DEPLOYMENT COMPLETE</w:t>
        <w:br/>
        <w:t xml:space="preserve">  │</w:t>
        <w:br/>
        <w:t xml:space="preserve">  ▼</w:t>
        <w:br/>
        <w:t>AuditAnchor.sol ◄── AUP-006 (Merkle root of audit batch)</w:t>
        <w:br/>
        <w:t>AtlasRegistry.sol ◄── NA-007 (signed Atlas snapshot)</w:t>
      </w:r>
    </w:p>
    <w:p>
      <w:pPr>
        <w:pStyle w:val="Heading3"/>
        <w:spacing w:before="200" w:after="60"/>
      </w:pPr>
      <w:r>
        <w:t>2.3.3 Emergency Governance</w:t>
      </w:r>
    </w:p>
    <w:p>
      <w:pPr>
        <w:spacing w:after="120"/>
      </w:pPr>
      <w:r>
        <w:t xml:space="preserve">For </w:t>
      </w:r>
      <w:r>
        <w:rPr>
          <w:b/>
        </w:rPr>
        <w:t>critical security patches</w:t>
      </w:r>
      <w:r>
        <w:t xml:space="preserve"> requiring rapid deployment, the Security Council may invoke the emergency governance pathway. This pathway bypasses the standard voting period and timelock but retains all AUP execution controls and audit requirements:</w:t>
      </w:r>
    </w:p>
    <w:p>
      <w:pPr>
        <w:pStyle w:val="ListBullet"/>
        <w:spacing w:after="40"/>
      </w:pPr>
      <w:r>
        <w:t xml:space="preserve">A </w:t>
      </w:r>
      <w:r>
        <w:rPr>
          <w:b/>
        </w:rPr>
        <w:t>4-of-7 Security Council multisig</w:t>
      </w:r>
      <w:r>
        <w:t xml:space="preserve"> submits the emergency proposal directly to </w:t>
      </w:r>
      <w:r>
        <w:t>EmergencyCouncil.sol</w:t>
      </w:r>
      <w:r>
        <w:t xml:space="preserve"> on Base, which holds a separate executor role in the Governor with bypassed timelock.</w:t>
      </w:r>
    </w:p>
    <w:p>
      <w:pPr>
        <w:pStyle w:val="ListBullet"/>
        <w:spacing w:after="40"/>
      </w:pPr>
      <w:r>
        <w:t xml:space="preserve">Emergency upgrades </w:t>
      </w:r>
      <w:r>
        <w:rPr>
          <w:b/>
        </w:rPr>
        <w:t>skip Rings 0, 1, and 2</w:t>
      </w:r>
      <w:r>
        <w:t xml:space="preserve">, entering the AUP pipeline at </w:t>
      </w:r>
      <w:r>
        <w:rPr>
          <w:b/>
        </w:rPr>
        <w:t>Ring 3</w:t>
      </w:r>
      <w:r>
        <w:t xml:space="preserve"> with a compressed </w:t>
      </w:r>
      <w:r>
        <w:rPr>
          <w:b/>
        </w:rPr>
        <w:t>30-minute observation window</w:t>
      </w:r>
      <w:r>
        <w:t xml:space="preserve"> per ring (instead of 4 hours for Ring 3 and 30 minutes for Ring 4 in normal mode).</w:t>
      </w:r>
    </w:p>
    <w:p>
      <w:pPr>
        <w:pStyle w:val="ListBullet"/>
        <w:spacing w:after="40"/>
      </w:pPr>
      <w:r>
        <w:t xml:space="preserve">All emergency upgrade actions are recorded in AUP-006 with an </w:t>
      </w:r>
      <w:r>
        <w:t>EMERGENCY_OVERRIDE</w:t>
      </w:r>
      <w:r>
        <w:t xml:space="preserve"> flag and anchored on Base via </w:t>
      </w:r>
      <w:r>
        <w:t>AuditAnchor.sol</w:t>
      </w:r>
      <w:r>
        <w:t>.</w:t>
      </w:r>
    </w:p>
    <w:p>
      <w:pPr>
        <w:pStyle w:val="ListBullet"/>
        <w:spacing w:after="40"/>
      </w:pPr>
      <w:r>
        <w:t xml:space="preserve">Post-execution, the emergency action is subject to mandatory </w:t>
      </w:r>
      <w:r>
        <w:rPr>
          <w:b/>
        </w:rPr>
        <w:t>post-hoc governance review within 14 days</w:t>
      </w:r>
      <w:r>
        <w:t>. The community may vote to revert the emergency upgrade if deemed inappropriate.</w:t>
      </w:r>
    </w:p>
    <w:p>
      <w:pPr>
        <w:pStyle w:val="ListBullet"/>
        <w:spacing w:after="40"/>
      </w:pPr>
      <w:r>
        <w:t>Security Council members are required to use hardware wallets for all multisig signing operations. No software-only signers are permitted.</w:t>
      </w:r>
    </w:p>
    <w:p>
      <w:pPr>
        <w:pStyle w:val="Heading2"/>
        <w:spacing w:before="280" w:after="80"/>
      </w:pPr>
      <w:r>
        <w:t>2.4 AUP Integration Points with Base Mainnet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spacing w:after="20"/>
              <w:jc w:val="left"/>
            </w:pPr>
            <w:r>
              <w:rPr>
                <w:b/>
                <w:color w:val="FFFFFF"/>
              </w:rPr>
            </w:r>
            <w:r>
              <w:rPr>
                <w:b/>
                <w:color w:val="FFFFFF"/>
              </w:rPr>
              <w:t>Integration</w:t>
            </w:r>
          </w:p>
        </w:tc>
        <w:tc>
          <w:tcPr>
            <w:tcW w:type="dxa" w:w="1881"/>
            <w:shd w:val="clear" w:color="auto" w:fill="1F3864"/>
          </w:tcPr>
          <w:p>
            <w:pPr>
              <w:spacing w:after="20"/>
              <w:jc w:val="left"/>
            </w:pPr>
            <w:r>
              <w:rPr>
                <w:b/>
                <w:color w:val="FFFFFF"/>
              </w:rPr>
            </w:r>
            <w:r>
              <w:rPr>
                <w:b/>
                <w:color w:val="FFFFFF"/>
              </w:rPr>
              <w:t>Contract / API</w:t>
            </w:r>
          </w:p>
        </w:tc>
        <w:tc>
          <w:tcPr>
            <w:tcW w:type="dxa" w:w="1881"/>
            <w:shd w:val="clear" w:color="auto" w:fill="1F3864"/>
          </w:tcPr>
          <w:p>
            <w:pPr>
              <w:spacing w:after="20"/>
              <w:jc w:val="left"/>
            </w:pPr>
            <w:r>
              <w:rPr>
                <w:b/>
                <w:color w:val="FFFFFF"/>
              </w:rPr>
            </w:r>
            <w:r>
              <w:rPr>
                <w:b/>
                <w:color w:val="FFFFFF"/>
              </w:rPr>
              <w:t>Direction</w:t>
            </w:r>
          </w:p>
        </w:tc>
        <w:tc>
          <w:tcPr>
            <w:tcW w:type="dxa" w:w="1881"/>
            <w:shd w:val="clear" w:color="auto" w:fill="1F3864"/>
          </w:tcPr>
          <w:p>
            <w:pPr>
              <w:spacing w:after="20"/>
              <w:jc w:val="left"/>
            </w:pPr>
            <w:r>
              <w:rPr>
                <w:b/>
                <w:color w:val="FFFFFF"/>
              </w:rPr>
            </w:r>
            <w:r>
              <w:rPr>
                <w:b/>
                <w:color w:val="FFFFFF"/>
              </w:rPr>
              <w:t>Data Exchanged</w:t>
            </w:r>
          </w:p>
        </w:tc>
        <w:tc>
          <w:tcPr>
            <w:tcW w:type="dxa" w:w="1881"/>
            <w:shd w:val="clear" w:color="auto" w:fill="1F3864"/>
          </w:tcPr>
          <w:p>
            <w:pPr>
              <w:spacing w:after="20"/>
              <w:jc w:val="left"/>
            </w:pPr>
            <w:r>
              <w:rPr>
                <w:b/>
                <w:color w:val="FFFFFF"/>
              </w:rPr>
            </w:r>
            <w:r>
              <w:rPr>
                <w:b/>
                <w:color w:val="FFFFFF"/>
              </w:rPr>
              <w:t>Frequency</w:t>
            </w:r>
          </w:p>
        </w:tc>
      </w:tr>
      <w:tr>
        <w:tc>
          <w:tcPr>
            <w:tcW w:type="dxa" w:w="1881"/>
          </w:tcPr>
          <w:p>
            <w:pPr>
              <w:spacing w:after="20"/>
              <w:jc w:val="left"/>
            </w:pPr>
            <w:r/>
            <w:r>
              <w:t>Governance Event Listener</w:t>
            </w:r>
          </w:p>
        </w:tc>
        <w:tc>
          <w:tcPr>
            <w:tcW w:type="dxa" w:w="1881"/>
          </w:tcPr>
          <w:p>
            <w:pPr>
              <w:spacing w:after="20"/>
              <w:jc w:val="left"/>
            </w:pPr>
            <w:r/>
            <w:r>
              <w:t>SentinelGovernor.sol</w:t>
            </w:r>
            <w:r>
              <w:t xml:space="preserve"> on Base</w:t>
            </w:r>
          </w:p>
        </w:tc>
        <w:tc>
          <w:tcPr>
            <w:tcW w:type="dxa" w:w="1881"/>
          </w:tcPr>
          <w:p>
            <w:pPr>
              <w:spacing w:after="20"/>
              <w:jc w:val="left"/>
            </w:pPr>
            <w:r/>
            <w:r>
              <w:t>L2 → L3 (read)</w:t>
            </w:r>
          </w:p>
        </w:tc>
        <w:tc>
          <w:tcPr>
            <w:tcW w:type="dxa" w:w="1881"/>
          </w:tcPr>
          <w:p>
            <w:pPr>
              <w:spacing w:after="20"/>
              <w:jc w:val="left"/>
            </w:pPr>
            <w:r/>
            <w:r>
              <w:t>ProposalPassed</w:t>
            </w:r>
            <w:r>
              <w:t xml:space="preserve"> events; IPFS CID in calldata; proposal ID and block height</w:t>
            </w:r>
          </w:p>
        </w:tc>
        <w:tc>
          <w:tcPr>
            <w:tcW w:type="dxa" w:w="1881"/>
          </w:tcPr>
          <w:p>
            <w:pPr>
              <w:spacing w:after="20"/>
              <w:jc w:val="left"/>
            </w:pPr>
            <w:r/>
            <w:r>
              <w:t>On-event (per governance cycle)</w:t>
            </w:r>
          </w:p>
        </w:tc>
      </w:tr>
      <w:tr>
        <w:tc>
          <w:tcPr>
            <w:tcW w:type="dxa" w:w="1881"/>
          </w:tcPr>
          <w:p>
            <w:pPr>
              <w:spacing w:after="20"/>
              <w:jc w:val="left"/>
            </w:pPr>
            <w:r/>
            <w:r>
              <w:t>Artifact Hash Registration</w:t>
            </w:r>
          </w:p>
        </w:tc>
        <w:tc>
          <w:tcPr>
            <w:tcW w:type="dxa" w:w="1881"/>
          </w:tcPr>
          <w:p>
            <w:pPr>
              <w:spacing w:after="20"/>
              <w:jc w:val="left"/>
            </w:pPr>
            <w:r/>
            <w:r>
              <w:t>UpgradeRegistry.sol</w:t>
            </w:r>
            <w:r>
              <w:t xml:space="preserve"> on Base</w:t>
            </w:r>
          </w:p>
        </w:tc>
        <w:tc>
          <w:tcPr>
            <w:tcW w:type="dxa" w:w="1881"/>
          </w:tcPr>
          <w:p>
            <w:pPr>
              <w:spacing w:after="20"/>
              <w:jc w:val="left"/>
            </w:pPr>
            <w:r/>
            <w:r>
              <w:t>L3 → L2 (write)</w:t>
            </w:r>
          </w:p>
        </w:tc>
        <w:tc>
          <w:tcPr>
            <w:tcW w:type="dxa" w:w="1881"/>
          </w:tcPr>
          <w:p>
            <w:pPr>
              <w:spacing w:after="20"/>
              <w:jc w:val="left"/>
            </w:pPr>
            <w:r/>
            <w:r>
              <w:t>SHA3-256 manifest hashes; artifact content hashes; proposer attestation</w:t>
            </w:r>
          </w:p>
        </w:tc>
        <w:tc>
          <w:tcPr>
            <w:tcW w:type="dxa" w:w="1881"/>
          </w:tcPr>
          <w:p>
            <w:pPr>
              <w:spacing w:after="20"/>
              <w:jc w:val="left"/>
            </w:pPr>
            <w:r/>
            <w:r>
              <w:t>Per upgrade (prior to Ring 0 execution)</w:t>
            </w:r>
          </w:p>
        </w:tc>
      </w:tr>
      <w:tr>
        <w:tc>
          <w:tcPr>
            <w:tcW w:type="dxa" w:w="1881"/>
          </w:tcPr>
          <w:p>
            <w:pPr>
              <w:spacing w:after="20"/>
              <w:jc w:val="left"/>
            </w:pPr>
            <w:r/>
            <w:r>
              <w:t>Audit Log Anchoring</w:t>
            </w:r>
          </w:p>
        </w:tc>
        <w:tc>
          <w:tcPr>
            <w:tcW w:type="dxa" w:w="1881"/>
          </w:tcPr>
          <w:p>
            <w:pPr>
              <w:spacing w:after="20"/>
              <w:jc w:val="left"/>
            </w:pPr>
            <w:r/>
            <w:r>
              <w:t>AuditAnchor.sol</w:t>
            </w:r>
            <w:r>
              <w:t xml:space="preserve"> on Base</w:t>
            </w:r>
          </w:p>
        </w:tc>
        <w:tc>
          <w:tcPr>
            <w:tcW w:type="dxa" w:w="1881"/>
          </w:tcPr>
          <w:p>
            <w:pPr>
              <w:spacing w:after="20"/>
              <w:jc w:val="left"/>
            </w:pPr>
            <w:r/>
            <w:r>
              <w:t>L3 → L2 (write)</w:t>
            </w:r>
          </w:p>
        </w:tc>
        <w:tc>
          <w:tcPr>
            <w:tcW w:type="dxa" w:w="1881"/>
          </w:tcPr>
          <w:p>
            <w:pPr>
              <w:spacing w:after="20"/>
              <w:jc w:val="left"/>
            </w:pPr>
            <w:r/>
            <w:r>
              <w:t>Merkle root of audit log batch; upgrade ID; ring completion timestamps</w:t>
            </w:r>
          </w:p>
        </w:tc>
        <w:tc>
          <w:tcPr>
            <w:tcW w:type="dxa" w:w="1881"/>
          </w:tcPr>
          <w:p>
            <w:pPr>
              <w:spacing w:after="20"/>
              <w:jc w:val="left"/>
            </w:pPr>
            <w:r/>
            <w:r>
              <w:t>Per upgrade (post Ring 4 completion)</w:t>
            </w:r>
          </w:p>
        </w:tc>
      </w:tr>
      <w:tr>
        <w:tc>
          <w:tcPr>
            <w:tcW w:type="dxa" w:w="1881"/>
          </w:tcPr>
          <w:p>
            <w:pPr>
              <w:spacing w:after="20"/>
              <w:jc w:val="left"/>
            </w:pPr>
            <w:r/>
            <w:r>
              <w:t>Rollback / Halt Signal</w:t>
            </w:r>
          </w:p>
        </w:tc>
        <w:tc>
          <w:tcPr>
            <w:tcW w:type="dxa" w:w="1881"/>
          </w:tcPr>
          <w:p>
            <w:pPr>
              <w:spacing w:after="20"/>
              <w:jc w:val="left"/>
            </w:pPr>
            <w:r/>
            <w:r>
              <w:t>EmergencyCouncil.sol</w:t>
            </w:r>
            <w:r>
              <w:t xml:space="preserve"> on Base</w:t>
            </w:r>
          </w:p>
        </w:tc>
        <w:tc>
          <w:tcPr>
            <w:tcW w:type="dxa" w:w="1881"/>
          </w:tcPr>
          <w:p>
            <w:pPr>
              <w:spacing w:after="20"/>
              <w:jc w:val="left"/>
            </w:pPr>
            <w:r/>
            <w:r>
              <w:t>L2 → L3 (read)</w:t>
            </w:r>
          </w:p>
        </w:tc>
        <w:tc>
          <w:tcPr>
            <w:tcW w:type="dxa" w:w="1881"/>
          </w:tcPr>
          <w:p>
            <w:pPr>
              <w:spacing w:after="20"/>
              <w:jc w:val="left"/>
            </w:pPr>
            <w:r/>
            <w:r>
              <w:t>Halt command; rollback target manifest hash; Security Council multisig signatures</w:t>
            </w:r>
          </w:p>
        </w:tc>
        <w:tc>
          <w:tcPr>
            <w:tcW w:type="dxa" w:w="1881"/>
          </w:tcPr>
          <w:p>
            <w:pPr>
              <w:spacing w:after="20"/>
              <w:jc w:val="left"/>
            </w:pPr>
            <w:r/>
            <w:r>
              <w:t>On-demand (emergency use only)</w:t>
            </w:r>
          </w:p>
        </w:tc>
      </w:tr>
    </w:tbl>
    <w:p/>
    <w:p>
      <w:pPr>
        <w:spacing w:after="80"/>
      </w:pPr>
      <w:r>
        <w:t>============================================================</w:t>
      </w:r>
    </w:p>
    <w:p>
      <w:pPr>
        <w:spacing w:after="80"/>
      </w:pPr>
      <w:r>
        <w:t>SECTION 3 — TELEMETRY SYSTEM</w:t>
      </w:r>
    </w:p>
    <w:p>
      <w:pPr>
        <w:spacing w:after="80"/>
      </w:pPr>
      <w:r>
        <w:t>============================================================</w:t>
      </w:r>
    </w:p>
    <w:p>
      <w:pPr>
        <w:pStyle w:val="Heading1"/>
        <w:spacing w:before="360" w:after="120"/>
      </w:pPr>
      <w:r>
        <w:t>Section 3 — Telemetry System</w:t>
      </w:r>
    </w:p>
    <w:p>
      <w:pPr>
        <w:spacing w:after="40"/>
      </w:pPr>
    </w:p>
    <w:p>
      <w:pPr>
        <w:pStyle w:val="Heading2"/>
        <w:spacing w:before="280" w:after="80"/>
      </w:pPr>
      <w:r>
        <w:t>3.1 Telemetry System Overview</w:t>
      </w:r>
    </w:p>
    <w:p>
      <w:pPr>
        <w:spacing w:after="120"/>
      </w:pPr>
      <w:r>
        <w:t xml:space="preserve">The </w:t>
      </w:r>
      <w:r>
        <w:rPr>
          <w:b/>
        </w:rPr>
        <w:t>Sentinel-L3 Telemetry System (TS)</w:t>
      </w:r>
      <w:r>
        <w:t xml:space="preserve"> is the observability backbone of the network. It ingests, processes, aggregates, and routes structured metrics, distributed traces, and structured event logs from every AUP-managed node in the fleet. The TS is not a passive monitoring system: its anomaly scoring engine (TS-003) is an active participant in the AUP upgrade control loop, providing the health gate signals that determine whether an upgrade ring progresses or rolls back.</w:t>
      </w:r>
    </w:p>
    <w:p>
      <w:pPr>
        <w:spacing w:after="120"/>
      </w:pPr>
      <w:r>
        <w:t>The TS is designed for high availability (99.50% SLA), low-latency signal propagation (&lt;30 seconds from node event to AUP-005 health API), and strict operational data sovereignty — all telemetry data is stored within Sentinel-operated infrastructure. No third-party telemetry SaaS providers are used in the production data path.</w:t>
      </w:r>
    </w:p>
    <w:p>
      <w:pPr>
        <w:spacing w:after="120"/>
      </w:pPr>
      <w:r>
        <w:t xml:space="preserve">The TS feeds two primary consumer categories: the </w:t>
      </w:r>
      <w:r>
        <w:rPr>
          <w:b/>
        </w:rPr>
        <w:t>AUP Rollback Arbiter (AUP-005)</w:t>
      </w:r>
      <w:r>
        <w:t xml:space="preserve"> for automated upgrade safety gating, and </w:t>
      </w:r>
      <w:r>
        <w:rPr>
          <w:b/>
        </w:rPr>
        <w:t>human operators</w:t>
      </w:r>
      <w:r>
        <w:t xml:space="preserve"> via Grafana Enterprise dashboards and PagerDuty-integrated alerting.</w:t>
      </w:r>
    </w:p>
    <w:p>
      <w:pPr>
        <w:pStyle w:val="Heading2"/>
        <w:spacing w:before="280" w:after="80"/>
      </w:pPr>
      <w:r>
        <w:t>3.2 Telemetry Architecture</w:t>
      </w:r>
    </w:p>
    <w:p>
      <w:pPr>
        <w:pStyle w:val="Heading3"/>
        <w:spacing w:before="200" w:after="60"/>
      </w:pPr>
      <w:r>
        <w:t>3.2.1 Module Breakdown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spacing w:after="20"/>
              <w:jc w:val="left"/>
            </w:pPr>
            <w:r>
              <w:rPr>
                <w:b/>
                <w:color w:val="FFFFFF"/>
              </w:rPr>
            </w:r>
            <w:r>
              <w:rPr>
                <w:b/>
                <w:color w:val="FFFFFF"/>
              </w:rPr>
              <w:t>Module ID</w:t>
            </w:r>
          </w:p>
        </w:tc>
        <w:tc>
          <w:tcPr>
            <w:tcW w:type="dxa" w:w="2351"/>
            <w:shd w:val="clear" w:color="auto" w:fill="1F3864"/>
          </w:tcPr>
          <w:p>
            <w:pPr>
              <w:spacing w:after="20"/>
              <w:jc w:val="left"/>
            </w:pPr>
            <w:r>
              <w:rPr>
                <w:b/>
                <w:color w:val="FFFFFF"/>
              </w:rPr>
            </w:r>
            <w:r>
              <w:rPr>
                <w:b/>
                <w:color w:val="FFFFFF"/>
              </w:rPr>
              <w:t>Module Name</w:t>
            </w:r>
          </w:p>
        </w:tc>
        <w:tc>
          <w:tcPr>
            <w:tcW w:type="dxa" w:w="2351"/>
            <w:shd w:val="clear" w:color="auto" w:fill="1F3864"/>
          </w:tcPr>
          <w:p>
            <w:pPr>
              <w:spacing w:after="20"/>
              <w:jc w:val="left"/>
            </w:pPr>
            <w:r>
              <w:rPr>
                <w:b/>
                <w:color w:val="FFFFFF"/>
              </w:rPr>
            </w:r>
            <w:r>
              <w:rPr>
                <w:b/>
                <w:color w:val="FFFFFF"/>
              </w:rPr>
              <w:t>Technology</w:t>
            </w:r>
          </w:p>
        </w:tc>
        <w:tc>
          <w:tcPr>
            <w:tcW w:type="dxa" w:w="2351"/>
            <w:shd w:val="clear" w:color="auto" w:fill="1F3864"/>
          </w:tcPr>
          <w:p>
            <w:pPr>
              <w:spacing w:after="20"/>
              <w:jc w:val="left"/>
            </w:pPr>
            <w:r>
              <w:rPr>
                <w:b/>
                <w:color w:val="FFFFFF"/>
              </w:rPr>
            </w:r>
            <w:r>
              <w:rPr>
                <w:b/>
                <w:color w:val="FFFFFF"/>
              </w:rPr>
              <w:t>Responsibility</w:t>
            </w:r>
          </w:p>
        </w:tc>
      </w:tr>
      <w:tr>
        <w:tc>
          <w:tcPr>
            <w:tcW w:type="dxa" w:w="2351"/>
          </w:tcPr>
          <w:p>
            <w:pPr>
              <w:spacing w:after="20"/>
              <w:jc w:val="left"/>
            </w:pPr>
            <w:r/>
            <w:r>
              <w:t>TS-001</w:t>
            </w:r>
          </w:p>
        </w:tc>
        <w:tc>
          <w:tcPr>
            <w:tcW w:type="dxa" w:w="2351"/>
          </w:tcPr>
          <w:p>
            <w:pPr>
              <w:spacing w:after="20"/>
              <w:jc w:val="left"/>
            </w:pPr>
            <w:r/>
            <w:r>
              <w:t>Node Telemetry Agent</w:t>
            </w:r>
          </w:p>
        </w:tc>
        <w:tc>
          <w:tcPr>
            <w:tcW w:type="dxa" w:w="2351"/>
          </w:tcPr>
          <w:p>
            <w:pPr>
              <w:spacing w:after="20"/>
              <w:jc w:val="left"/>
            </w:pPr>
            <w:r/>
            <w:r>
              <w:t>Rust (sidecar process)</w:t>
            </w:r>
          </w:p>
        </w:tc>
        <w:tc>
          <w:tcPr>
            <w:tcW w:type="dxa" w:w="2351"/>
          </w:tcPr>
          <w:p>
            <w:pPr>
              <w:spacing w:after="20"/>
              <w:jc w:val="left"/>
            </w:pPr>
            <w:r/>
            <w:r>
              <w:t>Deployed as a sidecar on every AUP-managed node. Collects Prometheus-format metrics, OpenTelemetry traces, and structured log events from the local node process. Registers with NA-006 on startup. Enters elevated sampling mode during AUP ring execution.</w:t>
            </w:r>
          </w:p>
        </w:tc>
      </w:tr>
      <w:tr>
        <w:tc>
          <w:tcPr>
            <w:tcW w:type="dxa" w:w="2351"/>
          </w:tcPr>
          <w:p>
            <w:pPr>
              <w:spacing w:after="20"/>
              <w:jc w:val="left"/>
            </w:pPr>
            <w:r/>
            <w:r>
              <w:t>TS-002</w:t>
            </w:r>
          </w:p>
        </w:tc>
        <w:tc>
          <w:tcPr>
            <w:tcW w:type="dxa" w:w="2351"/>
          </w:tcPr>
          <w:p>
            <w:pPr>
              <w:spacing w:after="20"/>
              <w:jc w:val="left"/>
            </w:pPr>
            <w:r/>
            <w:r>
              <w:t>Aggregation Relay</w:t>
            </w:r>
          </w:p>
        </w:tc>
        <w:tc>
          <w:tcPr>
            <w:tcW w:type="dxa" w:w="2351"/>
          </w:tcPr>
          <w:p>
            <w:pPr>
              <w:spacing w:after="20"/>
              <w:jc w:val="left"/>
            </w:pPr>
            <w:r/>
            <w:r>
              <w:t>Go</w:t>
            </w:r>
          </w:p>
        </w:tc>
        <w:tc>
          <w:tcPr>
            <w:tcW w:type="dxa" w:w="2351"/>
          </w:tcPr>
          <w:p>
            <w:pPr>
              <w:spacing w:after="20"/>
              <w:jc w:val="left"/>
            </w:pPr>
            <w:r/>
            <w:r>
              <w:t>Regional aggregator service deployed at 3 geographic locations (US-East, EU-West, AP-Southeast). Receives streams from TS-001 agents in its region, deduplicates, batches, and forwards to TS-003 and TS-004. Queries NA-005 to enumerate expected node sources per region.</w:t>
            </w:r>
          </w:p>
        </w:tc>
      </w:tr>
      <w:tr>
        <w:tc>
          <w:tcPr>
            <w:tcW w:type="dxa" w:w="2351"/>
          </w:tcPr>
          <w:p>
            <w:pPr>
              <w:spacing w:after="20"/>
              <w:jc w:val="left"/>
            </w:pPr>
            <w:r/>
            <w:r>
              <w:t>TS-003</w:t>
            </w:r>
          </w:p>
        </w:tc>
        <w:tc>
          <w:tcPr>
            <w:tcW w:type="dxa" w:w="2351"/>
          </w:tcPr>
          <w:p>
            <w:pPr>
              <w:spacing w:after="20"/>
              <w:jc w:val="left"/>
            </w:pPr>
            <w:r/>
            <w:r>
              <w:t>Stream Processor</w:t>
            </w:r>
          </w:p>
        </w:tc>
        <w:tc>
          <w:tcPr>
            <w:tcW w:type="dxa" w:w="2351"/>
          </w:tcPr>
          <w:p>
            <w:pPr>
              <w:spacing w:after="20"/>
              <w:jc w:val="left"/>
            </w:pPr>
            <w:r/>
            <w:r>
              <w:t>Apache Flink on Kubernetes</w:t>
            </w:r>
          </w:p>
        </w:tc>
        <w:tc>
          <w:tcPr>
            <w:tcW w:type="dxa" w:w="2351"/>
          </w:tcPr>
          <w:p>
            <w:pPr>
              <w:spacing w:after="20"/>
              <w:jc w:val="left"/>
            </w:pPr>
            <w:r/>
            <w:r>
              <w:t>Stateful stream processing layer. Consumes metric streams from TS-002, computes per-node anomaly scores over rolling 10-second windows, detects anomaly patterns, and publishes scored results to TS-007 and TS-006. Runs continuous LSTM inference for time-series forecast residual computation.</w:t>
            </w:r>
          </w:p>
        </w:tc>
      </w:tr>
      <w:tr>
        <w:tc>
          <w:tcPr>
            <w:tcW w:type="dxa" w:w="2351"/>
          </w:tcPr>
          <w:p>
            <w:pPr>
              <w:spacing w:after="20"/>
              <w:jc w:val="left"/>
            </w:pPr>
            <w:r/>
            <w:r>
              <w:t>TS-004</w:t>
            </w:r>
          </w:p>
        </w:tc>
        <w:tc>
          <w:tcPr>
            <w:tcW w:type="dxa" w:w="2351"/>
          </w:tcPr>
          <w:p>
            <w:pPr>
              <w:spacing w:after="20"/>
              <w:jc w:val="left"/>
            </w:pPr>
            <w:r/>
            <w:r>
              <w:t>Time-Series Store</w:t>
            </w:r>
          </w:p>
        </w:tc>
        <w:tc>
          <w:tcPr>
            <w:tcW w:type="dxa" w:w="2351"/>
          </w:tcPr>
          <w:p>
            <w:pPr>
              <w:spacing w:after="20"/>
              <w:jc w:val="left"/>
            </w:pPr>
            <w:r/>
            <w:r>
              <w:t>VictoriaMetrics cluster</w:t>
            </w:r>
          </w:p>
        </w:tc>
        <w:tc>
          <w:tcPr>
            <w:tcW w:type="dxa" w:w="2351"/>
          </w:tcPr>
          <w:p>
            <w:pPr>
              <w:spacing w:after="20"/>
              <w:jc w:val="left"/>
            </w:pPr>
            <w:r/>
            <w:r>
              <w:t>Long-term metrics retention backend. Stores all Prometheus-format time-series data with per-stream retention policies. Serves queries for Grafana dashboards (TS-008) and ad-hoc operator queries.</w:t>
            </w:r>
          </w:p>
        </w:tc>
      </w:tr>
      <w:tr>
        <w:tc>
          <w:tcPr>
            <w:tcW w:type="dxa" w:w="2351"/>
          </w:tcPr>
          <w:p>
            <w:pPr>
              <w:spacing w:after="20"/>
              <w:jc w:val="left"/>
            </w:pPr>
            <w:r/>
            <w:r>
              <w:t>TS-005</w:t>
            </w:r>
          </w:p>
        </w:tc>
        <w:tc>
          <w:tcPr>
            <w:tcW w:type="dxa" w:w="2351"/>
          </w:tcPr>
          <w:p>
            <w:pPr>
              <w:spacing w:after="20"/>
              <w:jc w:val="left"/>
            </w:pPr>
            <w:r/>
            <w:r>
              <w:t>Event Log Store</w:t>
            </w:r>
          </w:p>
        </w:tc>
        <w:tc>
          <w:tcPr>
            <w:tcW w:type="dxa" w:w="2351"/>
          </w:tcPr>
          <w:p>
            <w:pPr>
              <w:spacing w:after="20"/>
              <w:jc w:val="left"/>
            </w:pPr>
            <w:r/>
            <w:r>
              <w:t>ClickHouse cluster</w:t>
            </w:r>
          </w:p>
        </w:tc>
        <w:tc>
          <w:tcPr>
            <w:tcW w:type="dxa" w:w="2351"/>
          </w:tcPr>
          <w:p>
            <w:pPr>
              <w:spacing w:after="20"/>
              <w:jc w:val="left"/>
            </w:pPr>
            <w:r/>
            <w:r>
              <w:t>Structured event and distributed trace storage. Ingests OpenTelemetry OTLP traces, AUP audit events from AUP-006, bridge contract events from L2, and upgrade execution events. Serves as the primary source for compliance audit queries.</w:t>
            </w:r>
          </w:p>
        </w:tc>
      </w:tr>
      <w:tr>
        <w:tc>
          <w:tcPr>
            <w:tcW w:type="dxa" w:w="2351"/>
          </w:tcPr>
          <w:p>
            <w:pPr>
              <w:spacing w:after="20"/>
              <w:jc w:val="left"/>
            </w:pPr>
            <w:r/>
            <w:r>
              <w:t>TS-006</w:t>
            </w:r>
          </w:p>
        </w:tc>
        <w:tc>
          <w:tcPr>
            <w:tcW w:type="dxa" w:w="2351"/>
          </w:tcPr>
          <w:p>
            <w:pPr>
              <w:spacing w:after="20"/>
              <w:jc w:val="left"/>
            </w:pPr>
            <w:r/>
            <w:r>
              <w:t>Alerting Engine</w:t>
            </w:r>
          </w:p>
        </w:tc>
        <w:tc>
          <w:tcPr>
            <w:tcW w:type="dxa" w:w="2351"/>
          </w:tcPr>
          <w:p>
            <w:pPr>
              <w:spacing w:after="20"/>
              <w:jc w:val="left"/>
            </w:pPr>
            <w:r/>
            <w:r>
              <w:t>Go</w:t>
            </w:r>
          </w:p>
        </w:tc>
        <w:tc>
          <w:tcPr>
            <w:tcW w:type="dxa" w:w="2351"/>
          </w:tcPr>
          <w:p>
            <w:pPr>
              <w:spacing w:after="20"/>
              <w:jc w:val="left"/>
            </w:pPr>
            <w:r/>
            <w:r>
              <w:t>Threshold-based and ML-assisted alert generation. Consumes anomaly score stream from TS-003 and raw metrics from TS-004. Integrates with PagerDuty (P0/P1 alerts) and Slack (P2/P3/P4 notifications). Routes alerts to regional on-call contacts using NA-004 geo data.</w:t>
            </w:r>
          </w:p>
        </w:tc>
      </w:tr>
      <w:tr>
        <w:tc>
          <w:tcPr>
            <w:tcW w:type="dxa" w:w="2351"/>
          </w:tcPr>
          <w:p>
            <w:pPr>
              <w:spacing w:after="20"/>
              <w:jc w:val="left"/>
            </w:pPr>
            <w:r/>
            <w:r>
              <w:t>TS-007</w:t>
            </w:r>
          </w:p>
        </w:tc>
        <w:tc>
          <w:tcPr>
            <w:tcW w:type="dxa" w:w="2351"/>
          </w:tcPr>
          <w:p>
            <w:pPr>
              <w:spacing w:after="20"/>
              <w:jc w:val="left"/>
            </w:pPr>
            <w:r/>
            <w:r>
              <w:t>AUP Telemetry Bridge</w:t>
            </w:r>
          </w:p>
        </w:tc>
        <w:tc>
          <w:tcPr>
            <w:tcW w:type="dxa" w:w="2351"/>
          </w:tcPr>
          <w:p>
            <w:pPr>
              <w:spacing w:after="20"/>
              <w:jc w:val="left"/>
            </w:pPr>
            <w:r/>
            <w:r>
              <w:t>Go</w:t>
            </w:r>
          </w:p>
        </w:tc>
        <w:tc>
          <w:tcPr>
            <w:tcW w:type="dxa" w:w="2351"/>
          </w:tcPr>
          <w:p>
            <w:pPr>
              <w:spacing w:after="20"/>
              <w:jc w:val="left"/>
            </w:pPr>
            <w:r/>
            <w:r>
              <w:t>Exposes a gRPC health API consumed exclusively by AUP-005 Rollback Arbiter. Provides per-node anomaly scores, aggregate ring health summaries, and liveness status. This is the sole interface between the Telemetry System and the AUP control loop. SLA: 99.99%.</w:t>
            </w:r>
          </w:p>
        </w:tc>
      </w:tr>
      <w:tr>
        <w:tc>
          <w:tcPr>
            <w:tcW w:type="dxa" w:w="2351"/>
          </w:tcPr>
          <w:p>
            <w:pPr>
              <w:spacing w:after="20"/>
              <w:jc w:val="left"/>
            </w:pPr>
            <w:r/>
            <w:r>
              <w:t>TS-008</w:t>
            </w:r>
          </w:p>
        </w:tc>
        <w:tc>
          <w:tcPr>
            <w:tcW w:type="dxa" w:w="2351"/>
          </w:tcPr>
          <w:p>
            <w:pPr>
              <w:spacing w:after="20"/>
              <w:jc w:val="left"/>
            </w:pPr>
            <w:r/>
            <w:r>
              <w:t>Dashboard Layer</w:t>
            </w:r>
          </w:p>
        </w:tc>
        <w:tc>
          <w:tcPr>
            <w:tcW w:type="dxa" w:w="2351"/>
          </w:tcPr>
          <w:p>
            <w:pPr>
              <w:spacing w:after="20"/>
              <w:jc w:val="left"/>
            </w:pPr>
            <w:r/>
            <w:r>
              <w:t>Grafana Enterprise</w:t>
            </w:r>
          </w:p>
        </w:tc>
        <w:tc>
          <w:tcPr>
            <w:tcW w:type="dxa" w:w="2351"/>
          </w:tcPr>
          <w:p>
            <w:pPr>
              <w:spacing w:after="20"/>
              <w:jc w:val="left"/>
            </w:pPr>
            <w:r/>
            <w:r>
              <w:t>Operator-facing dashboard suite. Provides real-time network health, per-ring upgrade status, anomaly score heatmaps, version distribution histograms (from NA-003), cross-layer bridge event timelines, and L2 batch inclusion latency tracking.</w:t>
            </w:r>
          </w:p>
        </w:tc>
      </w:tr>
    </w:tbl>
    <w:p/>
    <w:p>
      <w:pPr>
        <w:pStyle w:val="Heading3"/>
        <w:spacing w:before="200" w:after="60"/>
      </w:pPr>
      <w:r>
        <w:t>3.2.2 Telemetry Streams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864"/>
          </w:tcPr>
          <w:p>
            <w:pPr>
              <w:spacing w:after="20"/>
              <w:jc w:val="left"/>
            </w:pPr>
            <w:r>
              <w:rPr>
                <w:b/>
                <w:color w:val="FFFFFF"/>
              </w:rPr>
            </w:r>
            <w:r>
              <w:rPr>
                <w:b/>
                <w:color w:val="FFFFFF"/>
              </w:rPr>
              <w:t>Stream ID</w:t>
            </w:r>
          </w:p>
        </w:tc>
        <w:tc>
          <w:tcPr>
            <w:tcW w:type="dxa" w:w="1344"/>
            <w:shd w:val="clear" w:color="auto" w:fill="1F3864"/>
          </w:tcPr>
          <w:p>
            <w:pPr>
              <w:spacing w:after="20"/>
              <w:jc w:val="left"/>
            </w:pPr>
            <w:r>
              <w:rPr>
                <w:b/>
                <w:color w:val="FFFFFF"/>
              </w:rPr>
            </w:r>
            <w:r>
              <w:rPr>
                <w:b/>
                <w:color w:val="FFFFFF"/>
              </w:rPr>
              <w:t>Stream Name</w:t>
            </w:r>
          </w:p>
        </w:tc>
        <w:tc>
          <w:tcPr>
            <w:tcW w:type="dxa" w:w="1344"/>
            <w:shd w:val="clear" w:color="auto" w:fill="1F3864"/>
          </w:tcPr>
          <w:p>
            <w:pPr>
              <w:spacing w:after="20"/>
              <w:jc w:val="left"/>
            </w:pPr>
            <w:r>
              <w:rPr>
                <w:b/>
                <w:color w:val="FFFFFF"/>
              </w:rPr>
            </w:r>
            <w:r>
              <w:rPr>
                <w:b/>
                <w:color w:val="FFFFFF"/>
              </w:rPr>
              <w:t>Source</w:t>
            </w:r>
          </w:p>
        </w:tc>
        <w:tc>
          <w:tcPr>
            <w:tcW w:type="dxa" w:w="1344"/>
            <w:shd w:val="clear" w:color="auto" w:fill="1F3864"/>
          </w:tcPr>
          <w:p>
            <w:pPr>
              <w:spacing w:after="20"/>
              <w:jc w:val="left"/>
            </w:pPr>
            <w:r>
              <w:rPr>
                <w:b/>
                <w:color w:val="FFFFFF"/>
              </w:rPr>
            </w:r>
            <w:r>
              <w:rPr>
                <w:b/>
                <w:color w:val="FFFFFF"/>
              </w:rPr>
              <w:t>Format</w:t>
            </w:r>
          </w:p>
        </w:tc>
        <w:tc>
          <w:tcPr>
            <w:tcW w:type="dxa" w:w="1344"/>
            <w:shd w:val="clear" w:color="auto" w:fill="1F3864"/>
          </w:tcPr>
          <w:p>
            <w:pPr>
              <w:spacing w:after="20"/>
              <w:jc w:val="left"/>
            </w:pPr>
            <w:r>
              <w:rPr>
                <w:b/>
                <w:color w:val="FFFFFF"/>
              </w:rPr>
            </w:r>
            <w:r>
              <w:rPr>
                <w:b/>
                <w:color w:val="FFFFFF"/>
              </w:rPr>
              <w:t>Retention</w:t>
            </w:r>
          </w:p>
        </w:tc>
        <w:tc>
          <w:tcPr>
            <w:tcW w:type="dxa" w:w="1344"/>
            <w:shd w:val="clear" w:color="auto" w:fill="1F3864"/>
          </w:tcPr>
          <w:p>
            <w:pPr>
              <w:spacing w:after="20"/>
              <w:jc w:val="left"/>
            </w:pPr>
            <w:r>
              <w:rPr>
                <w:b/>
                <w:color w:val="FFFFFF"/>
              </w:rPr>
            </w:r>
            <w:r>
              <w:rPr>
                <w:b/>
                <w:color w:val="FFFFFF"/>
              </w:rPr>
              <w:t>Consumers</w:t>
            </w:r>
          </w:p>
        </w:tc>
        <w:tc>
          <w:tcPr>
            <w:tcW w:type="dxa" w:w="1344"/>
            <w:shd w:val="clear" w:color="auto" w:fill="1F3864"/>
          </w:tcPr>
          <w:p>
            <w:pPr>
              <w:spacing w:after="20"/>
              <w:jc w:val="left"/>
            </w:pPr>
            <w:r>
              <w:rPr>
                <w:b/>
                <w:color w:val="FFFFFF"/>
              </w:rPr>
            </w:r>
            <w:r>
              <w:rPr>
                <w:b/>
                <w:color w:val="FFFFFF"/>
              </w:rPr>
              <w:t>Cadence</w:t>
            </w:r>
          </w:p>
        </w:tc>
      </w:tr>
      <w:tr>
        <w:tc>
          <w:tcPr>
            <w:tcW w:type="dxa" w:w="1344"/>
          </w:tcPr>
          <w:p>
            <w:pPr>
              <w:spacing w:after="20"/>
              <w:jc w:val="left"/>
            </w:pPr>
            <w:r/>
            <w:r>
              <w:t>STR-001</w:t>
            </w:r>
          </w:p>
        </w:tc>
        <w:tc>
          <w:tcPr>
            <w:tcW w:type="dxa" w:w="1344"/>
          </w:tcPr>
          <w:p>
            <w:pPr>
              <w:spacing w:after="20"/>
              <w:jc w:val="left"/>
            </w:pPr>
            <w:r/>
            <w:r>
              <w:t>Block Production Metrics</w:t>
            </w:r>
          </w:p>
        </w:tc>
        <w:tc>
          <w:tcPr>
            <w:tcW w:type="dxa" w:w="1344"/>
          </w:tcPr>
          <w:p>
            <w:pPr>
              <w:spacing w:after="20"/>
              <w:jc w:val="left"/>
            </w:pPr>
            <w:r/>
            <w:r>
              <w:t>Sequencer nodes (SQ-PRIMARY, SQ-FALLBACK)</w:t>
            </w:r>
          </w:p>
        </w:tc>
        <w:tc>
          <w:tcPr>
            <w:tcW w:type="dxa" w:w="1344"/>
          </w:tcPr>
          <w:p>
            <w:pPr>
              <w:spacing w:after="20"/>
              <w:jc w:val="left"/>
            </w:pPr>
            <w:r/>
            <w:r>
              <w:t>Prometheus</w:t>
            </w:r>
          </w:p>
        </w:tc>
        <w:tc>
          <w:tcPr>
            <w:tcW w:type="dxa" w:w="1344"/>
          </w:tcPr>
          <w:p>
            <w:pPr>
              <w:spacing w:after="20"/>
              <w:jc w:val="left"/>
            </w:pPr>
            <w:r/>
            <w:r>
              <w:t>90 days</w:t>
            </w:r>
          </w:p>
        </w:tc>
        <w:tc>
          <w:tcPr>
            <w:tcW w:type="dxa" w:w="1344"/>
          </w:tcPr>
          <w:p>
            <w:pPr>
              <w:spacing w:after="20"/>
              <w:jc w:val="left"/>
            </w:pPr>
            <w:r/>
            <w:r>
              <w:t>TS-003, TS-004, TS-006</w:t>
            </w:r>
          </w:p>
        </w:tc>
        <w:tc>
          <w:tcPr>
            <w:tcW w:type="dxa" w:w="1344"/>
          </w:tcPr>
          <w:p>
            <w:pPr>
              <w:spacing w:after="20"/>
              <w:jc w:val="left"/>
            </w:pPr>
            <w:r/>
            <w:r>
              <w:t>1 second</w:t>
            </w:r>
          </w:p>
        </w:tc>
      </w:tr>
      <w:tr>
        <w:tc>
          <w:tcPr>
            <w:tcW w:type="dxa" w:w="1344"/>
          </w:tcPr>
          <w:p>
            <w:pPr>
              <w:spacing w:after="20"/>
              <w:jc w:val="left"/>
            </w:pPr>
            <w:r/>
            <w:r>
              <w:t>STR-002</w:t>
            </w:r>
          </w:p>
        </w:tc>
        <w:tc>
          <w:tcPr>
            <w:tcW w:type="dxa" w:w="1344"/>
          </w:tcPr>
          <w:p>
            <w:pPr>
              <w:spacing w:after="20"/>
              <w:jc w:val="left"/>
            </w:pPr>
            <w:r/>
            <w:r>
              <w:t>Validator Health</w:t>
            </w:r>
          </w:p>
        </w:tc>
        <w:tc>
          <w:tcPr>
            <w:tcW w:type="dxa" w:w="1344"/>
          </w:tcPr>
          <w:p>
            <w:pPr>
              <w:spacing w:after="20"/>
              <w:jc w:val="left"/>
            </w:pPr>
            <w:r/>
            <w:r>
              <w:t>All 12 validator nodes</w:t>
            </w:r>
          </w:p>
        </w:tc>
        <w:tc>
          <w:tcPr>
            <w:tcW w:type="dxa" w:w="1344"/>
          </w:tcPr>
          <w:p>
            <w:pPr>
              <w:spacing w:after="20"/>
              <w:jc w:val="left"/>
            </w:pPr>
            <w:r/>
            <w:r>
              <w:t>Prometheus</w:t>
            </w:r>
          </w:p>
        </w:tc>
        <w:tc>
          <w:tcPr>
            <w:tcW w:type="dxa" w:w="1344"/>
          </w:tcPr>
          <w:p>
            <w:pPr>
              <w:spacing w:after="20"/>
              <w:jc w:val="left"/>
            </w:pPr>
            <w:r/>
            <w:r>
              <w:t>90 days</w:t>
            </w:r>
          </w:p>
        </w:tc>
        <w:tc>
          <w:tcPr>
            <w:tcW w:type="dxa" w:w="1344"/>
          </w:tcPr>
          <w:p>
            <w:pPr>
              <w:spacing w:after="20"/>
              <w:jc w:val="left"/>
            </w:pPr>
            <w:r/>
            <w:r>
              <w:t>TS-003, TS-004</w:t>
            </w:r>
          </w:p>
        </w:tc>
        <w:tc>
          <w:tcPr>
            <w:tcW w:type="dxa" w:w="1344"/>
          </w:tcPr>
          <w:p>
            <w:pPr>
              <w:spacing w:after="20"/>
              <w:jc w:val="left"/>
            </w:pPr>
            <w:r/>
            <w:r>
              <w:t>5 seconds</w:t>
            </w:r>
          </w:p>
        </w:tc>
      </w:tr>
      <w:tr>
        <w:tc>
          <w:tcPr>
            <w:tcW w:type="dxa" w:w="1344"/>
          </w:tcPr>
          <w:p>
            <w:pPr>
              <w:spacing w:after="20"/>
              <w:jc w:val="left"/>
            </w:pPr>
            <w:r/>
            <w:r>
              <w:t>STR-003</w:t>
            </w:r>
          </w:p>
        </w:tc>
        <w:tc>
          <w:tcPr>
            <w:tcW w:type="dxa" w:w="1344"/>
          </w:tcPr>
          <w:p>
            <w:pPr>
              <w:spacing w:after="20"/>
              <w:jc w:val="left"/>
            </w:pPr>
            <w:r/>
            <w:r>
              <w:t>P2P Network Metrics</w:t>
            </w:r>
          </w:p>
        </w:tc>
        <w:tc>
          <w:tcPr>
            <w:tcW w:type="dxa" w:w="1344"/>
          </w:tcPr>
          <w:p>
            <w:pPr>
              <w:spacing w:after="20"/>
              <w:jc w:val="left"/>
            </w:pPr>
            <w:r/>
            <w:r>
              <w:t>All managed nodes</w:t>
            </w:r>
          </w:p>
        </w:tc>
        <w:tc>
          <w:tcPr>
            <w:tcW w:type="dxa" w:w="1344"/>
          </w:tcPr>
          <w:p>
            <w:pPr>
              <w:spacing w:after="20"/>
              <w:jc w:val="left"/>
            </w:pPr>
            <w:r/>
            <w:r>
              <w:t>Prometheus</w:t>
            </w:r>
          </w:p>
        </w:tc>
        <w:tc>
          <w:tcPr>
            <w:tcW w:type="dxa" w:w="1344"/>
          </w:tcPr>
          <w:p>
            <w:pPr>
              <w:spacing w:after="20"/>
              <w:jc w:val="left"/>
            </w:pPr>
            <w:r/>
            <w:r>
              <w:t>30 days</w:t>
            </w:r>
          </w:p>
        </w:tc>
        <w:tc>
          <w:tcPr>
            <w:tcW w:type="dxa" w:w="1344"/>
          </w:tcPr>
          <w:p>
            <w:pPr>
              <w:spacing w:after="20"/>
              <w:jc w:val="left"/>
            </w:pPr>
            <w:r/>
            <w:r>
              <w:t>TS-004</w:t>
            </w:r>
          </w:p>
        </w:tc>
        <w:tc>
          <w:tcPr>
            <w:tcW w:type="dxa" w:w="1344"/>
          </w:tcPr>
          <w:p>
            <w:pPr>
              <w:spacing w:after="20"/>
              <w:jc w:val="left"/>
            </w:pPr>
            <w:r/>
            <w:r>
              <w:t>10 seconds</w:t>
            </w:r>
          </w:p>
        </w:tc>
      </w:tr>
      <w:tr>
        <w:tc>
          <w:tcPr>
            <w:tcW w:type="dxa" w:w="1344"/>
          </w:tcPr>
          <w:p>
            <w:pPr>
              <w:spacing w:after="20"/>
              <w:jc w:val="left"/>
            </w:pPr>
            <w:r/>
            <w:r>
              <w:t>STR-004</w:t>
            </w:r>
          </w:p>
        </w:tc>
        <w:tc>
          <w:tcPr>
            <w:tcW w:type="dxa" w:w="1344"/>
          </w:tcPr>
          <w:p>
            <w:pPr>
              <w:spacing w:after="20"/>
              <w:jc w:val="left"/>
            </w:pPr>
            <w:r/>
            <w:r>
              <w:t>Execution Traces</w:t>
            </w:r>
          </w:p>
        </w:tc>
        <w:tc>
          <w:tcPr>
            <w:tcW w:type="dxa" w:w="1344"/>
          </w:tcPr>
          <w:p>
            <w:pPr>
              <w:spacing w:after="20"/>
              <w:jc w:val="left"/>
            </w:pPr>
            <w:r/>
            <w:r>
              <w:t>All AUP-managed nodes</w:t>
            </w:r>
          </w:p>
        </w:tc>
        <w:tc>
          <w:tcPr>
            <w:tcW w:type="dxa" w:w="1344"/>
          </w:tcPr>
          <w:p>
            <w:pPr>
              <w:spacing w:after="20"/>
              <w:jc w:val="left"/>
            </w:pPr>
            <w:r/>
            <w:r>
              <w:t>OpenTelemetry OTLP</w:t>
            </w:r>
          </w:p>
        </w:tc>
        <w:tc>
          <w:tcPr>
            <w:tcW w:type="dxa" w:w="1344"/>
          </w:tcPr>
          <w:p>
            <w:pPr>
              <w:spacing w:after="20"/>
              <w:jc w:val="left"/>
            </w:pPr>
            <w:r/>
            <w:r>
              <w:t>14 days</w:t>
            </w:r>
          </w:p>
        </w:tc>
        <w:tc>
          <w:tcPr>
            <w:tcW w:type="dxa" w:w="1344"/>
          </w:tcPr>
          <w:p>
            <w:pPr>
              <w:spacing w:after="20"/>
              <w:jc w:val="left"/>
            </w:pPr>
            <w:r/>
            <w:r>
              <w:t>TS-005</w:t>
            </w:r>
          </w:p>
        </w:tc>
        <w:tc>
          <w:tcPr>
            <w:tcW w:type="dxa" w:w="1344"/>
          </w:tcPr>
          <w:p>
            <w:pPr>
              <w:spacing w:after="20"/>
              <w:jc w:val="left"/>
            </w:pPr>
            <w:r/>
            <w:r>
              <w:t>On-event (per transaction batch)</w:t>
            </w:r>
          </w:p>
        </w:tc>
      </w:tr>
      <w:tr>
        <w:tc>
          <w:tcPr>
            <w:tcW w:type="dxa" w:w="1344"/>
          </w:tcPr>
          <w:p>
            <w:pPr>
              <w:spacing w:after="20"/>
              <w:jc w:val="left"/>
            </w:pPr>
            <w:r/>
            <w:r>
              <w:t>STR-005</w:t>
            </w:r>
          </w:p>
        </w:tc>
        <w:tc>
          <w:tcPr>
            <w:tcW w:type="dxa" w:w="1344"/>
          </w:tcPr>
          <w:p>
            <w:pPr>
              <w:spacing w:after="20"/>
              <w:jc w:val="left"/>
            </w:pPr>
            <w:r/>
            <w:r>
              <w:t>Upgrade Execution Events</w:t>
            </w:r>
          </w:p>
        </w:tc>
        <w:tc>
          <w:tcPr>
            <w:tcW w:type="dxa" w:w="1344"/>
          </w:tcPr>
          <w:p>
            <w:pPr>
              <w:spacing w:after="20"/>
              <w:jc w:val="left"/>
            </w:pPr>
            <w:r/>
            <w:r>
              <w:t>AUP modules (AUP-001 through AUP-007)</w:t>
            </w:r>
          </w:p>
        </w:tc>
        <w:tc>
          <w:tcPr>
            <w:tcW w:type="dxa" w:w="1344"/>
          </w:tcPr>
          <w:p>
            <w:pPr>
              <w:spacing w:after="20"/>
              <w:jc w:val="left"/>
            </w:pPr>
            <w:r/>
            <w:r>
              <w:t>JSON structured log (via Kafka)</w:t>
            </w:r>
          </w:p>
        </w:tc>
        <w:tc>
          <w:tcPr>
            <w:tcW w:type="dxa" w:w="1344"/>
          </w:tcPr>
          <w:p>
            <w:pPr>
              <w:spacing w:after="20"/>
              <w:jc w:val="left"/>
            </w:pPr>
            <w:r/>
            <w:r>
              <w:t>365 days</w:t>
            </w:r>
          </w:p>
        </w:tc>
        <w:tc>
          <w:tcPr>
            <w:tcW w:type="dxa" w:w="1344"/>
          </w:tcPr>
          <w:p>
            <w:pPr>
              <w:spacing w:after="20"/>
              <w:jc w:val="left"/>
            </w:pPr>
            <w:r/>
            <w:r>
              <w:t>TS-005, TS-007</w:t>
            </w:r>
          </w:p>
        </w:tc>
        <w:tc>
          <w:tcPr>
            <w:tcW w:type="dxa" w:w="1344"/>
          </w:tcPr>
          <w:p>
            <w:pPr>
              <w:spacing w:after="20"/>
              <w:jc w:val="left"/>
            </w:pPr>
            <w:r/>
            <w:r>
              <w:t>On-event (per AUP action)</w:t>
            </w:r>
          </w:p>
        </w:tc>
      </w:tr>
      <w:tr>
        <w:tc>
          <w:tcPr>
            <w:tcW w:type="dxa" w:w="1344"/>
          </w:tcPr>
          <w:p>
            <w:pPr>
              <w:spacing w:after="20"/>
              <w:jc w:val="left"/>
            </w:pPr>
            <w:r/>
            <w:r>
              <w:t>STR-006</w:t>
            </w:r>
          </w:p>
        </w:tc>
        <w:tc>
          <w:tcPr>
            <w:tcW w:type="dxa" w:w="1344"/>
          </w:tcPr>
          <w:p>
            <w:pPr>
              <w:spacing w:after="20"/>
              <w:jc w:val="left"/>
            </w:pPr>
            <w:r/>
            <w:r>
              <w:t>Anomaly Scores</w:t>
            </w:r>
          </w:p>
        </w:tc>
        <w:tc>
          <w:tcPr>
            <w:tcW w:type="dxa" w:w="1344"/>
          </w:tcPr>
          <w:p>
            <w:pPr>
              <w:spacing w:after="20"/>
              <w:jc w:val="left"/>
            </w:pPr>
            <w:r/>
            <w:r>
              <w:t>TS-003 output stream</w:t>
            </w:r>
          </w:p>
        </w:tc>
        <w:tc>
          <w:tcPr>
            <w:tcW w:type="dxa" w:w="1344"/>
          </w:tcPr>
          <w:p>
            <w:pPr>
              <w:spacing w:after="20"/>
              <w:jc w:val="left"/>
            </w:pPr>
            <w:r/>
            <w:r>
              <w:t>Internal binary (Protocol Buffers)</w:t>
            </w:r>
          </w:p>
        </w:tc>
        <w:tc>
          <w:tcPr>
            <w:tcW w:type="dxa" w:w="1344"/>
          </w:tcPr>
          <w:p>
            <w:pPr>
              <w:spacing w:after="20"/>
              <w:jc w:val="left"/>
            </w:pPr>
            <w:r/>
            <w:r>
              <w:t>30 days</w:t>
            </w:r>
          </w:p>
        </w:tc>
        <w:tc>
          <w:tcPr>
            <w:tcW w:type="dxa" w:w="1344"/>
          </w:tcPr>
          <w:p>
            <w:pPr>
              <w:spacing w:after="20"/>
              <w:jc w:val="left"/>
            </w:pPr>
            <w:r/>
            <w:r>
              <w:t>TS-007, TS-006</w:t>
            </w:r>
          </w:p>
        </w:tc>
        <w:tc>
          <w:tcPr>
            <w:tcW w:type="dxa" w:w="1344"/>
          </w:tcPr>
          <w:p>
            <w:pPr>
              <w:spacing w:after="20"/>
              <w:jc w:val="left"/>
            </w:pPr>
            <w:r/>
            <w:r>
              <w:t>10 seconds (per evaluation window)</w:t>
            </w:r>
          </w:p>
        </w:tc>
      </w:tr>
      <w:tr>
        <w:tc>
          <w:tcPr>
            <w:tcW w:type="dxa" w:w="1344"/>
          </w:tcPr>
          <w:p>
            <w:pPr>
              <w:spacing w:after="20"/>
              <w:jc w:val="left"/>
            </w:pPr>
            <w:r/>
            <w:r>
              <w:t>STR-007</w:t>
            </w:r>
          </w:p>
        </w:tc>
        <w:tc>
          <w:tcPr>
            <w:tcW w:type="dxa" w:w="1344"/>
          </w:tcPr>
          <w:p>
            <w:pPr>
              <w:spacing w:after="20"/>
              <w:jc w:val="left"/>
            </w:pPr>
            <w:r/>
            <w:r>
              <w:t>Cross-Layer Bridge Events</w:t>
            </w:r>
          </w:p>
        </w:tc>
        <w:tc>
          <w:tcPr>
            <w:tcW w:type="dxa" w:w="1344"/>
          </w:tcPr>
          <w:p>
            <w:pPr>
              <w:spacing w:after="20"/>
              <w:jc w:val="left"/>
            </w:pPr>
            <w:r/>
            <w:r>
              <w:t>Sentinel Bridge contracts on Base; L3 bridge emitters</w:t>
            </w:r>
          </w:p>
        </w:tc>
        <w:tc>
          <w:tcPr>
            <w:tcW w:type="dxa" w:w="1344"/>
          </w:tcPr>
          <w:p>
            <w:pPr>
              <w:spacing w:after="20"/>
              <w:jc w:val="left"/>
            </w:pPr>
            <w:r/>
            <w:r>
              <w:t>Ethereum event logs (decoded)</w:t>
            </w:r>
          </w:p>
        </w:tc>
        <w:tc>
          <w:tcPr>
            <w:tcW w:type="dxa" w:w="1344"/>
          </w:tcPr>
          <w:p>
            <w:pPr>
              <w:spacing w:after="20"/>
              <w:jc w:val="left"/>
            </w:pPr>
            <w:r/>
            <w:r>
              <w:t>365 days</w:t>
            </w:r>
          </w:p>
        </w:tc>
        <w:tc>
          <w:tcPr>
            <w:tcW w:type="dxa" w:w="1344"/>
          </w:tcPr>
          <w:p>
            <w:pPr>
              <w:spacing w:after="20"/>
              <w:jc w:val="left"/>
            </w:pPr>
            <w:r/>
            <w:r>
              <w:t>TS-005</w:t>
            </w:r>
          </w:p>
        </w:tc>
        <w:tc>
          <w:tcPr>
            <w:tcW w:type="dxa" w:w="1344"/>
          </w:tcPr>
          <w:p>
            <w:pPr>
              <w:spacing w:after="20"/>
              <w:jc w:val="left"/>
            </w:pPr>
            <w:r/>
            <w:r>
              <w:t>On-event (per bridge transaction)</w:t>
            </w:r>
          </w:p>
        </w:tc>
      </w:tr>
      <w:tr>
        <w:tc>
          <w:tcPr>
            <w:tcW w:type="dxa" w:w="1344"/>
          </w:tcPr>
          <w:p>
            <w:pPr>
              <w:spacing w:after="20"/>
              <w:jc w:val="left"/>
            </w:pPr>
            <w:r/>
            <w:r>
              <w:t>STR-008</w:t>
            </w:r>
          </w:p>
        </w:tc>
        <w:tc>
          <w:tcPr>
            <w:tcW w:type="dxa" w:w="1344"/>
          </w:tcPr>
          <w:p>
            <w:pPr>
              <w:spacing w:after="20"/>
              <w:jc w:val="left"/>
            </w:pPr>
            <w:r/>
            <w:r>
              <w:t>Resource Utilization</w:t>
            </w:r>
          </w:p>
        </w:tc>
        <w:tc>
          <w:tcPr>
            <w:tcW w:type="dxa" w:w="1344"/>
          </w:tcPr>
          <w:p>
            <w:pPr>
              <w:spacing w:after="20"/>
              <w:jc w:val="left"/>
            </w:pPr>
            <w:r/>
            <w:r>
              <w:t>All AUP-managed nodes (host-level metrics)</w:t>
            </w:r>
          </w:p>
        </w:tc>
        <w:tc>
          <w:tcPr>
            <w:tcW w:type="dxa" w:w="1344"/>
          </w:tcPr>
          <w:p>
            <w:pPr>
              <w:spacing w:after="20"/>
              <w:jc w:val="left"/>
            </w:pPr>
            <w:r/>
            <w:r>
              <w:t>Prometheus (node_exporter)</w:t>
            </w:r>
          </w:p>
        </w:tc>
        <w:tc>
          <w:tcPr>
            <w:tcW w:type="dxa" w:w="1344"/>
          </w:tcPr>
          <w:p>
            <w:pPr>
              <w:spacing w:after="20"/>
              <w:jc w:val="left"/>
            </w:pPr>
            <w:r/>
            <w:r>
              <w:t>30 days</w:t>
            </w:r>
          </w:p>
        </w:tc>
        <w:tc>
          <w:tcPr>
            <w:tcW w:type="dxa" w:w="1344"/>
          </w:tcPr>
          <w:p>
            <w:pPr>
              <w:spacing w:after="20"/>
              <w:jc w:val="left"/>
            </w:pPr>
            <w:r/>
            <w:r>
              <w:t>TS-004, TS-006</w:t>
            </w:r>
          </w:p>
        </w:tc>
        <w:tc>
          <w:tcPr>
            <w:tcW w:type="dxa" w:w="1344"/>
          </w:tcPr>
          <w:p>
            <w:pPr>
              <w:spacing w:after="20"/>
              <w:jc w:val="left"/>
            </w:pPr>
            <w:r/>
            <w:r>
              <w:t>15 seconds</w:t>
            </w:r>
          </w:p>
        </w:tc>
      </w:tr>
    </w:tbl>
    <w:p/>
    <w:p>
      <w:pPr>
        <w:pStyle w:val="Heading3"/>
        <w:spacing w:before="200" w:after="60"/>
      </w:pPr>
      <w:r>
        <w:t>3.2.3 Anomaly Scoring Model</w:t>
      </w:r>
    </w:p>
    <w:p>
      <w:pPr>
        <w:spacing w:after="120"/>
      </w:pPr>
      <w:r>
        <w:t xml:space="preserve">The TS-003 Stream Processor computes a </w:t>
      </w:r>
      <w:r>
        <w:rPr>
          <w:b/>
        </w:rPr>
        <w:t>composite anomaly score</w:t>
      </w:r>
      <w:r>
        <w:t xml:space="preserve"> per node per 10-second evaluation window. The score is a real number in the range </w:t>
      </w:r>
      <w:r>
        <w:rPr>
          <w:b/>
        </w:rPr>
        <w:t>[0.0, 1.0]</w:t>
      </w:r>
      <w:r>
        <w:t>, where higher values indicate greater deviation from baseline healthy behavior. The score is the primary decision signal consumed by AUP-005 for upgrade health gating and rollback triggering.</w:t>
      </w:r>
    </w:p>
    <w:p>
      <w:pPr>
        <w:pStyle w:val="Heading4"/>
        <w:spacing w:before="160"/>
      </w:pPr>
      <w:r>
        <w:t>Score Inputs</w:t>
      </w:r>
    </w:p>
    <w:p>
      <w:pPr>
        <w:pStyle w:val="ListBullet"/>
        <w:spacing w:after="40"/>
      </w:pPr>
      <w:r>
        <w:rPr>
          <w:b/>
        </w:rPr>
        <w:t>Block production rate deviation</w:t>
      </w:r>
      <w:r>
        <w:t xml:space="preserve"> — deviation from 250ms target block interval (STR-001)</w:t>
      </w:r>
    </w:p>
    <w:p>
      <w:pPr>
        <w:pStyle w:val="ListBullet"/>
        <w:spacing w:after="40"/>
      </w:pPr>
      <w:r>
        <w:rPr>
          <w:b/>
        </w:rPr>
        <w:t>Peer count delta</w:t>
      </w:r>
      <w:r>
        <w:t xml:space="preserve"> — rate of change in connected peer count (STR-003)</w:t>
      </w:r>
    </w:p>
    <w:p>
      <w:pPr>
        <w:pStyle w:val="ListBullet"/>
        <w:spacing w:after="40"/>
      </w:pPr>
      <w:r>
        <w:rPr>
          <w:b/>
        </w:rPr>
        <w:t>Mempool depth</w:t>
      </w:r>
      <w:r>
        <w:t xml:space="preserve"> — mempool transaction queue depth and growth rate (STR-001)</w:t>
      </w:r>
    </w:p>
    <w:p>
      <w:pPr>
        <w:pStyle w:val="ListBullet"/>
        <w:spacing w:after="40"/>
      </w:pPr>
      <w:r>
        <w:rPr>
          <w:b/>
        </w:rPr>
        <w:t>CPU/RAM percentiles</w:t>
      </w:r>
      <w:r>
        <w:t xml:space="preserve"> — p95 and p99 of CPU utilization and memory pressure (STR-008)</w:t>
      </w:r>
    </w:p>
    <w:p>
      <w:pPr>
        <w:pStyle w:val="ListBullet"/>
        <w:spacing w:after="40"/>
      </w:pPr>
      <w:r>
        <w:rPr>
          <w:b/>
        </w:rPr>
        <w:t>Execution latency p99</w:t>
      </w:r>
      <w:r>
        <w:t xml:space="preserve"> — transaction execution latency at the 99th percentile (STR-004)</w:t>
      </w:r>
    </w:p>
    <w:p>
      <w:pPr>
        <w:pStyle w:val="ListBullet"/>
        <w:spacing w:after="40"/>
      </w:pPr>
      <w:r>
        <w:rPr>
          <w:b/>
        </w:rPr>
        <w:t>Missed attestations</w:t>
      </w:r>
      <w:r>
        <w:t xml:space="preserve"> — count of missed validator attestations within the evaluation window (STR-002)</w:t>
      </w:r>
    </w:p>
    <w:p>
      <w:pPr>
        <w:pStyle w:val="Heading4"/>
        <w:spacing w:before="160"/>
      </w:pPr>
      <w:r>
        <w:t>Scoring Algorithm</w:t>
      </w:r>
    </w:p>
    <w:p>
      <w:pPr>
        <w:spacing w:after="120"/>
      </w:pPr>
      <w:r>
        <w:t xml:space="preserve">The composite score is computed as a </w:t>
      </w:r>
      <w:r>
        <w:rPr>
          <w:b/>
        </w:rPr>
        <w:t>weighted ensemble</w:t>
      </w:r>
      <w:r>
        <w:t xml:space="preserve"> of two sub-models:</w:t>
      </w:r>
    </w:p>
    <w:p>
      <w:pPr>
        <w:pStyle w:val="ListNumber"/>
        <w:spacing w:after="40"/>
      </w:pPr>
      <w:r>
        <w:rPr>
          <w:b/>
        </w:rPr>
        <w:t>Z-Score Deviation Component:</w:t>
      </w:r>
      <w:r>
        <w:t xml:space="preserve"> For each input metric, compute the Z-score relative to a rolling 30-minute baseline window. Normalize to [0.0, 1.0] via sigmoid transform. Weight each metric by its empirically calibrated importance coefficient.</w:t>
      </w:r>
    </w:p>
    <w:p>
      <w:pPr>
        <w:pStyle w:val="ListNumber"/>
        <w:spacing w:after="40"/>
      </w:pPr>
      <w:r>
        <w:rPr>
          <w:b/>
        </w:rPr>
        <w:t>LSTM Forecast Residual Component:</w:t>
      </w:r>
      <w:r>
        <w:t xml:space="preserve"> A continuously running LSTM time-series model forecasts expected metric values for the next evaluation window. The residual between the forecast and the actual observed value is normalized and contributes to the ensemble. The LSTM model is retrained monthly on historical telemetry data.</w:t>
      </w:r>
    </w:p>
    <w:p>
      <w:pPr>
        <w:spacing w:after="120"/>
      </w:pPr>
      <w:r>
        <w:t xml:space="preserve">The final composite score is: </w:t>
      </w:r>
      <w:r>
        <w:t>score = α × Z_score_component + (1 − α) × LSTM_residual_component</w:t>
      </w:r>
      <w:r>
        <w:t>, where α is tuned per deployment (default: 0.60 Z-score, 0.40 LSTM).</w:t>
      </w:r>
    </w:p>
    <w:p>
      <w:pPr>
        <w:pStyle w:val="Heading4"/>
        <w:spacing w:before="160"/>
      </w:pPr>
      <w:r>
        <w:t>Anomaly Score Threshold Table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spacing w:after="20"/>
              <w:jc w:val="left"/>
            </w:pPr>
            <w:r>
              <w:rPr>
                <w:b/>
                <w:color w:val="FFFFFF"/>
              </w:rPr>
            </w:r>
            <w:r>
              <w:rPr>
                <w:b/>
                <w:color w:val="FFFFFF"/>
              </w:rPr>
              <w:t>Score Range</w:t>
            </w:r>
          </w:p>
        </w:tc>
        <w:tc>
          <w:tcPr>
            <w:tcW w:type="dxa" w:w="2351"/>
            <w:shd w:val="clear" w:color="auto" w:fill="1F3864"/>
          </w:tcPr>
          <w:p>
            <w:pPr>
              <w:spacing w:after="20"/>
              <w:jc w:val="left"/>
            </w:pPr>
            <w:r>
              <w:rPr>
                <w:b/>
                <w:color w:val="FFFFFF"/>
              </w:rPr>
            </w:r>
            <w:r>
              <w:rPr>
                <w:b/>
                <w:color w:val="FFFFFF"/>
              </w:rPr>
              <w:t>Severity Level</w:t>
            </w:r>
          </w:p>
        </w:tc>
        <w:tc>
          <w:tcPr>
            <w:tcW w:type="dxa" w:w="2351"/>
            <w:shd w:val="clear" w:color="auto" w:fill="1F3864"/>
          </w:tcPr>
          <w:p>
            <w:pPr>
              <w:spacing w:after="20"/>
              <w:jc w:val="left"/>
            </w:pPr>
            <w:r>
              <w:rPr>
                <w:b/>
                <w:color w:val="FFFFFF"/>
              </w:rPr>
            </w:r>
            <w:r>
              <w:rPr>
                <w:b/>
                <w:color w:val="FFFFFF"/>
              </w:rPr>
              <w:t>Action</w:t>
            </w:r>
          </w:p>
        </w:tc>
        <w:tc>
          <w:tcPr>
            <w:tcW w:type="dxa" w:w="2351"/>
            <w:shd w:val="clear" w:color="auto" w:fill="1F3864"/>
          </w:tcPr>
          <w:p>
            <w:pPr>
              <w:spacing w:after="20"/>
              <w:jc w:val="left"/>
            </w:pPr>
            <w:r>
              <w:rPr>
                <w:b/>
                <w:color w:val="FFFFFF"/>
              </w:rPr>
            </w:r>
            <w:r>
              <w:rPr>
                <w:b/>
                <w:color w:val="FFFFFF"/>
              </w:rPr>
              <w:t>AUP Impact</w:t>
            </w:r>
          </w:p>
        </w:tc>
      </w:tr>
      <w:tr>
        <w:tc>
          <w:tcPr>
            <w:tcW w:type="dxa" w:w="2351"/>
          </w:tcPr>
          <w:p>
            <w:pPr>
              <w:spacing w:after="20"/>
              <w:jc w:val="left"/>
            </w:pPr>
            <w:r/>
            <w:r>
              <w:t>0.00 – 0.50</w:t>
            </w:r>
          </w:p>
        </w:tc>
        <w:tc>
          <w:tcPr>
            <w:tcW w:type="dxa" w:w="2351"/>
          </w:tcPr>
          <w:p>
            <w:pPr>
              <w:spacing w:after="20"/>
              <w:jc w:val="left"/>
            </w:pPr>
            <w:r/>
            <w:r>
              <w:rPr>
                <w:b/>
              </w:rPr>
              <w:t>NOMINAL</w:t>
            </w:r>
          </w:p>
        </w:tc>
        <w:tc>
          <w:tcPr>
            <w:tcW w:type="dxa" w:w="2351"/>
          </w:tcPr>
          <w:p>
            <w:pPr>
              <w:spacing w:after="20"/>
              <w:jc w:val="left"/>
            </w:pPr>
            <w:r/>
            <w:r>
              <w:t>No action required</w:t>
            </w:r>
          </w:p>
        </w:tc>
        <w:tc>
          <w:tcPr>
            <w:tcW w:type="dxa" w:w="2351"/>
          </w:tcPr>
          <w:p>
            <w:pPr>
              <w:spacing w:after="20"/>
              <w:jc w:val="left"/>
            </w:pPr>
            <w:r/>
            <w:r>
              <w:t>None — AUP proceeds normally</w:t>
            </w:r>
          </w:p>
        </w:tc>
      </w:tr>
      <w:tr>
        <w:tc>
          <w:tcPr>
            <w:tcW w:type="dxa" w:w="2351"/>
          </w:tcPr>
          <w:p>
            <w:pPr>
              <w:spacing w:after="20"/>
              <w:jc w:val="left"/>
            </w:pPr>
            <w:r/>
            <w:r>
              <w:t>0.51 – 0.70</w:t>
            </w:r>
          </w:p>
        </w:tc>
        <w:tc>
          <w:tcPr>
            <w:tcW w:type="dxa" w:w="2351"/>
          </w:tcPr>
          <w:p>
            <w:pPr>
              <w:spacing w:after="20"/>
              <w:jc w:val="left"/>
            </w:pPr>
            <w:r/>
            <w:r>
              <w:rPr>
                <w:b/>
              </w:rPr>
              <w:t>WARNING</w:t>
            </w:r>
          </w:p>
        </w:tc>
        <w:tc>
          <w:tcPr>
            <w:tcW w:type="dxa" w:w="2351"/>
          </w:tcPr>
          <w:p>
            <w:pPr>
              <w:spacing w:after="20"/>
              <w:jc w:val="left"/>
            </w:pPr>
            <w:r/>
            <w:r>
              <w:t>TS-006 generates operator notification alert (Slack); dashboard annotation created</w:t>
            </w:r>
          </w:p>
        </w:tc>
        <w:tc>
          <w:tcPr>
            <w:tcW w:type="dxa" w:w="2351"/>
          </w:tcPr>
          <w:p>
            <w:pPr>
              <w:spacing w:after="20"/>
              <w:jc w:val="left"/>
            </w:pPr>
            <w:r/>
            <w:r>
              <w:t>AUP logs WARNING event; does not pause or halt</w:t>
            </w:r>
          </w:p>
        </w:tc>
      </w:tr>
      <w:tr>
        <w:tc>
          <w:tcPr>
            <w:tcW w:type="dxa" w:w="2351"/>
          </w:tcPr>
          <w:p>
            <w:pPr>
              <w:spacing w:after="20"/>
              <w:jc w:val="left"/>
            </w:pPr>
            <w:r/>
            <w:r>
              <w:t>0.71 – 0.84</w:t>
            </w:r>
          </w:p>
        </w:tc>
        <w:tc>
          <w:tcPr>
            <w:tcW w:type="dxa" w:w="2351"/>
          </w:tcPr>
          <w:p>
            <w:pPr>
              <w:spacing w:after="20"/>
              <w:jc w:val="left"/>
            </w:pPr>
            <w:r/>
            <w:r>
              <w:rPr>
                <w:b/>
              </w:rPr>
              <w:t>DEGRADED</w:t>
            </w:r>
          </w:p>
        </w:tc>
        <w:tc>
          <w:tcPr>
            <w:tcW w:type="dxa" w:w="2351"/>
          </w:tcPr>
          <w:p>
            <w:pPr>
              <w:spacing w:after="20"/>
              <w:jc w:val="left"/>
            </w:pPr>
            <w:r/>
            <w:r>
              <w:t>TS-006 generates P2 alert (PagerDuty + Slack); TS-007 flags node as DEGRADED</w:t>
            </w:r>
          </w:p>
        </w:tc>
        <w:tc>
          <w:tcPr>
            <w:tcW w:type="dxa" w:w="2351"/>
          </w:tcPr>
          <w:p>
            <w:pPr>
              <w:spacing w:after="20"/>
              <w:jc w:val="left"/>
            </w:pPr>
            <w:r/>
            <w:r>
              <w:t>AUP-003 pauses upgrade ring progression for affected node; operator review required to resume</w:t>
            </w:r>
          </w:p>
        </w:tc>
      </w:tr>
      <w:tr>
        <w:tc>
          <w:tcPr>
            <w:tcW w:type="dxa" w:w="2351"/>
          </w:tcPr>
          <w:p>
            <w:pPr>
              <w:spacing w:after="20"/>
              <w:jc w:val="left"/>
            </w:pPr>
            <w:r/>
            <w:r>
              <w:t>0.85 – 1.00</w:t>
            </w:r>
          </w:p>
        </w:tc>
        <w:tc>
          <w:tcPr>
            <w:tcW w:type="dxa" w:w="2351"/>
          </w:tcPr>
          <w:p>
            <w:pPr>
              <w:spacing w:after="20"/>
              <w:jc w:val="left"/>
            </w:pPr>
            <w:r/>
            <w:r>
              <w:rPr>
                <w:b/>
              </w:rPr>
              <w:t>CRITICAL</w:t>
            </w:r>
          </w:p>
        </w:tc>
        <w:tc>
          <w:tcPr>
            <w:tcW w:type="dxa" w:w="2351"/>
          </w:tcPr>
          <w:p>
            <w:pPr>
              <w:spacing w:after="20"/>
              <w:jc w:val="left"/>
            </w:pPr>
            <w:r/>
            <w:r>
              <w:t>TS-006 generates P1 PagerDuty alert (5-minute response SLA); TS-007 flags node as CRITICAL; incident created</w:t>
            </w:r>
          </w:p>
        </w:tc>
        <w:tc>
          <w:tcPr>
            <w:tcW w:type="dxa" w:w="2351"/>
          </w:tcPr>
          <w:p>
            <w:pPr>
              <w:spacing w:after="20"/>
              <w:jc w:val="left"/>
            </w:pPr>
            <w:r/>
            <w:r>
              <w:t>AUP-005 initiates rollback sequence for current ring; AUP-003 halts further ring advancement</w:t>
            </w:r>
          </w:p>
        </w:tc>
      </w:tr>
    </w:tbl>
    <w:p/>
    <w:p>
      <w:pPr>
        <w:pStyle w:val="Heading3"/>
        <w:spacing w:before="200" w:after="60"/>
      </w:pPr>
      <w:r>
        <w:t>3.2.4 Data Retention and Compliance</w:t>
      </w:r>
    </w:p>
    <w:p>
      <w:pPr>
        <w:pStyle w:val="ListBullet"/>
        <w:spacing w:after="40"/>
      </w:pPr>
      <w:r>
        <w:rPr>
          <w:b/>
        </w:rPr>
        <w:t>Data Sovereignty:</w:t>
      </w:r>
      <w:r>
        <w:t xml:space="preserve"> All telemetry data is stored within Sentinel-operated infrastructure. No third-party telemetry SaaS providers (e.g., Datadog, New Relic) are used in the production data path. Self-hosted VictoriaMetrics and ClickHouse clusters are the sole storage backends.</w:t>
      </w:r>
    </w:p>
    <w:p>
      <w:pPr>
        <w:pStyle w:val="ListBullet"/>
        <w:spacing w:after="40"/>
      </w:pPr>
      <w:r>
        <w:rPr>
          <w:b/>
        </w:rPr>
        <w:t>Data Classification:</w:t>
      </w:r>
      <w:r>
        <w:t xml:space="preserve"> All TS data is classified as </w:t>
      </w:r>
      <w:r>
        <w:rPr>
          <w:b/>
        </w:rPr>
        <w:t>operational network data</w:t>
      </w:r>
      <w:r>
        <w:t>. No personally identifiable information (PII) is ingested at any point in the telemetry pipeline. Node identifiers are UUID-based and not linkable to natural persons.</w:t>
      </w:r>
    </w:p>
    <w:p>
      <w:pPr>
        <w:pStyle w:val="ListBullet"/>
        <w:spacing w:after="40"/>
      </w:pPr>
      <w:r>
        <w:rPr>
          <w:b/>
        </w:rPr>
        <w:t>Retention Schedule:</w:t>
      </w:r>
    </w:p>
    <w:p>
      <w:pPr>
        <w:pStyle w:val="ListBullet"/>
        <w:spacing w:after="40"/>
      </w:pPr>
      <w:r>
        <w:rPr>
          <w:b/>
        </w:rPr>
        <w:t>Encryption:</w:t>
      </w:r>
      <w:r>
        <w:t xml:space="preserve"> Data at rest is </w:t>
      </w:r>
      <w:r>
        <w:rPr>
          <w:b/>
        </w:rPr>
        <w:t>AES-256</w:t>
      </w:r>
      <w:r>
        <w:t xml:space="preserve"> encrypted across all TS storage systems. All inter-component communication (TS-001 → TS-002 → TS-003, etc.) is secured via </w:t>
      </w:r>
      <w:r>
        <w:rPr>
          <w:b/>
        </w:rPr>
        <w:t>mTLS</w:t>
      </w:r>
      <w:r>
        <w:t xml:space="preserve"> with SPIFFE/SPIRE-issued SVIDs.</w:t>
      </w:r>
    </w:p>
    <w:p>
      <w:pPr>
        <w:pStyle w:val="ListBullet"/>
        <w:spacing w:after="40"/>
      </w:pPr>
      <w:r>
        <w:rPr>
          <w:b/>
        </w:rPr>
        <w:t>Regulatory Scope:</w:t>
      </w:r>
      <w:r>
        <w:t xml:space="preserve"> GDPR and SOC2 compliance frameworks are not applicable to this operational network data. However, security controls applied are consistent with SOC2 Type II control objectives as an engineering standard.</w:t>
      </w:r>
    </w:p>
    <w:p>
      <w:pPr>
        <w:pStyle w:val="Heading2"/>
        <w:spacing w:before="280" w:after="80"/>
      </w:pPr>
      <w:r>
        <w:t>3.3 Telemetry Integration with AUP</w:t>
      </w:r>
    </w:p>
    <w:p>
      <w:pPr>
        <w:spacing w:after="120"/>
      </w:pPr>
      <w:r>
        <w:t>The Telemetry System is a direct participant in the AUP upgrade control loop. The following describes the operational data flow between the two subsystems:</w:t>
      </w:r>
    </w:p>
    <w:p>
      <w:pPr>
        <w:pStyle w:val="ListNumber"/>
        <w:spacing w:after="40"/>
      </w:pPr>
      <w:r>
        <w:rPr>
          <w:b/>
        </w:rPr>
        <w:t>Agent Reporting:</w:t>
      </w:r>
      <w:r>
        <w:t xml:space="preserve"> TS-001 agents on each AUP-managed node report metric streams to their regional TS-002 aggregator at cadences ranging from 1 second (STR-001 block production) to 15 seconds (STR-008 resource utilization). During AUP ring execution, TS-001 agents activate elevated sampling mode, reducing all cadences by 50% for the duration of the observation window.</w:t>
      </w:r>
    </w:p>
    <w:p>
      <w:pPr>
        <w:pStyle w:val="ListNumber"/>
        <w:spacing w:after="40"/>
      </w:pPr>
      <w:r>
        <w:rPr>
          <w:b/>
        </w:rPr>
        <w:t>Stream Processing:</w:t>
      </w:r>
      <w:r>
        <w:t xml:space="preserve"> TS-003 continuously computes per-node anomaly scores over rolling 10-second evaluation windows using the weighted ensemble model described in Section 3.2.3. Scores are published to the STR-006 internal stream within 2 seconds of the evaluation window close.</w:t>
      </w:r>
    </w:p>
    <w:p>
      <w:pPr>
        <w:pStyle w:val="ListNumber"/>
        <w:spacing w:after="40"/>
      </w:pPr>
      <w:r>
        <w:rPr>
          <w:b/>
        </w:rPr>
        <w:t>Health API Exposure:</w:t>
      </w:r>
      <w:r>
        <w:t xml:space="preserve"> TS-007 consumes STR-006 scores and exposes a gRPC health API with per-node anomaly scores, per-ring aggregate health summaries, and overall fleet liveness status. The API is updated within 5 seconds of a new STR-006 score batch.</w:t>
      </w:r>
    </w:p>
    <w:p>
      <w:pPr>
        <w:pStyle w:val="ListNumber"/>
        <w:spacing w:after="40"/>
      </w:pPr>
      <w:r>
        <w:rPr>
          <w:b/>
        </w:rPr>
        <w:t>AUP-005 Polling:</w:t>
      </w:r>
      <w:r>
        <w:t xml:space="preserve"> AUP-005 (Rollback Arbiter) polls TS-007 at each ring transition checkpoint and continuously throughout the observation window at 10-second intervals. AUP-005 maintains its own internal state of the most recent score per node to detect sudden degradations between polls.</w:t>
      </w:r>
    </w:p>
    <w:p>
      <w:pPr>
        <w:pStyle w:val="ListNumber"/>
        <w:spacing w:after="40"/>
      </w:pPr>
      <w:r>
        <w:rPr>
          <w:b/>
        </w:rPr>
        <w:t>Rollback Trigger:</w:t>
      </w:r>
      <w:r>
        <w:t xml:space="preserve"> If any node in the current ring reaches an anomaly score &gt;0.85, TS-007 sets that node's status to CRITICAL and AUP-005 immediately initiates the rollback sequence for the current ring. The rollback trigger event is written to STR-005 (Upgrade Execution Events) within 1 second of the trigger decision.</w:t>
      </w:r>
    </w:p>
    <w:p>
      <w:pPr>
        <w:pStyle w:val="ListNumber"/>
        <w:spacing w:after="40"/>
      </w:pPr>
      <w:r>
        <w:rPr>
          <w:b/>
        </w:rPr>
        <w:t>Rollback Audit:</w:t>
      </w:r>
      <w:r>
        <w:t xml:space="preserve"> All rollback events written to STR-005 are consumed by TS-005 (Event Log Store) and subsequently anchored on Base via </w:t>
      </w:r>
      <w:r>
        <w:t>AuditAnchor.sol</w:t>
      </w:r>
      <w:r>
        <w:t xml:space="preserve"> by AUP-006 as part of the post-rollback audit batch.</w:t>
      </w:r>
    </w:p>
    <w:p>
      <w:pPr>
        <w:pStyle w:val="Heading2"/>
        <w:spacing w:before="280" w:after="80"/>
      </w:pPr>
      <w:r>
        <w:t>3.4 Telemetry Integration with Base Mainnet</w:t>
      </w:r>
    </w:p>
    <w:p>
      <w:pPr>
        <w:pStyle w:val="ListBullet"/>
        <w:spacing w:after="40"/>
      </w:pPr>
      <w:r>
        <w:rPr>
          <w:b/>
        </w:rPr>
        <w:t>Bridge Event Monitoring:</w:t>
      </w:r>
      <w:r>
        <w:t xml:space="preserve"> TS-005 indexes all Sentinel Bridge contract events emitted on Base (withdrawal initiations, deposit completions, bridge pauses) via STR-007. These events are correlated with L3 state for cross-layer incident analysis. The indexer polls Base at every L2 block (~12-second intervals).</w:t>
      </w:r>
    </w:p>
    <w:p>
      <w:pPr>
        <w:pStyle w:val="ListBullet"/>
        <w:spacing w:after="40"/>
      </w:pPr>
      <w:r>
        <w:rPr>
          <w:b/>
        </w:rPr>
        <w:t>L2 Batch Inclusion Latency:</w:t>
      </w:r>
      <w:r>
        <w:t xml:space="preserve"> STR-001 (Block Production Metrics) includes </w:t>
      </w:r>
      <w:r>
        <w:t>l3_to_l2_batch_latency_seconds</w:t>
      </w:r>
      <w:r>
        <w:t xml:space="preserve"> as a first-class metric. This measures the elapsed time from L3 block finalization to inclusion of that block's transactions in an L2 batch. The target is &lt;30 seconds; values &gt;120 seconds trigger a TS-006 WARNING alert.</w:t>
      </w:r>
    </w:p>
    <w:p>
      <w:pPr>
        <w:pStyle w:val="ListBullet"/>
        <w:spacing w:after="40"/>
      </w:pPr>
      <w:r>
        <w:rPr>
          <w:b/>
        </w:rPr>
        <w:t>L2 Finality Tracking:</w:t>
      </w:r>
      <w:r>
        <w:t xml:space="preserve"> TS-003 includes continuous tracking of the Base L2 </w:t>
      </w:r>
      <w:r>
        <w:t>safe</w:t>
      </w:r>
      <w:r>
        <w:t xml:space="preserve"> and </w:t>
      </w:r>
      <w:r>
        <w:t>finalized</w:t>
      </w:r>
      <w:r>
        <w:t xml:space="preserve"> head block numbers. This enables TS to correlate L3 state claims with the Base finality frontier and detect scenarios where L3 is building ahead of L2 finality in an anomalous way.</w:t>
      </w:r>
    </w:p>
    <w:p>
      <w:pPr>
        <w:pStyle w:val="ListBullet"/>
        <w:spacing w:after="40"/>
      </w:pPr>
      <w:r>
        <w:rPr>
          <w:b/>
        </w:rPr>
        <w:t>Governance Event Correlation:</w:t>
      </w:r>
      <w:r>
        <w:t xml:space="preserve"> TS-005 stores AUP-007 event records alongside STR-005 upgrade events, enabling complete audit trails that correlate on-chain governance actions (with Base block numbers) to specific L3 upgrade execution events.</w:t>
      </w:r>
    </w:p>
    <w:p>
      <w:pPr>
        <w:spacing w:after="80"/>
      </w:pPr>
      <w:r>
        <w:t>============================================================</w:t>
      </w:r>
    </w:p>
    <w:p>
      <w:pPr>
        <w:spacing w:after="80"/>
      </w:pPr>
      <w:r>
        <w:t>SECTION 4 — NETWORK ATLAS</w:t>
      </w:r>
    </w:p>
    <w:p>
      <w:pPr>
        <w:spacing w:after="80"/>
      </w:pPr>
      <w:r>
        <w:t>============================================================</w:t>
      </w:r>
    </w:p>
    <w:p>
      <w:pPr>
        <w:pStyle w:val="Heading1"/>
        <w:spacing w:before="360" w:after="120"/>
      </w:pPr>
      <w:r>
        <w:t>Section 4 — Network Atlas</w:t>
      </w:r>
    </w:p>
    <w:p>
      <w:pPr>
        <w:spacing w:after="40"/>
      </w:pPr>
    </w:p>
    <w:p>
      <w:pPr>
        <w:pStyle w:val="Heading2"/>
        <w:spacing w:before="280" w:after="80"/>
      </w:pPr>
      <w:r>
        <w:t>4.1 Network Atlas Overview</w:t>
      </w:r>
    </w:p>
    <w:p>
      <w:pPr>
        <w:spacing w:after="120"/>
      </w:pPr>
      <w:r>
        <w:t xml:space="preserve">The </w:t>
      </w:r>
      <w:r>
        <w:rPr>
          <w:b/>
        </w:rPr>
        <w:t>Network Atlas</w:t>
      </w:r>
      <w:r>
        <w:t xml:space="preserve"> is the authoritative, real-time registry of all nodes, peer relationships, topology segments, geographic distribution, and protocol versions in the Sentinel-L3 network. It serves as the single source of truth for three distinct consumers: the </w:t>
      </w:r>
      <w:r>
        <w:rPr>
          <w:b/>
        </w:rPr>
        <w:t>Autonomous Upgrade Pipeline</w:t>
      </w:r>
      <w:r>
        <w:t xml:space="preserve"> (which queries the Atlas to enumerate and target nodes for upgrade ring execution), the </w:t>
      </w:r>
      <w:r>
        <w:rPr>
          <w:b/>
        </w:rPr>
        <w:t>Telemetry System</w:t>
      </w:r>
      <w:r>
        <w:t xml:space="preserve"> (which uses the Atlas to define its monitoring scope and route alerts geographically), and </w:t>
      </w:r>
      <w:r>
        <w:rPr>
          <w:b/>
        </w:rPr>
        <w:t>network operators</w:t>
      </w:r>
      <w:r>
        <w:t xml:space="preserve"> (who use the Atlas for topology planning, capacity management, and geographic distribution visibility).</w:t>
      </w:r>
    </w:p>
    <w:p>
      <w:pPr>
        <w:spacing w:after="120"/>
      </w:pPr>
      <w:r>
        <w:t>The Atlas is designed to be always consistent — it accepts writes only from authorized sources (AUP modules, TS-001 agents, NA-006 heartbeat agents) and exposes a strongly consistent read API (NA-005) backed by a PostgreSQL primary. Signed Atlas snapshots are published to IPFS and anchored on Base Mainnet every epoch (7,200 L2 blocks, approximately 24 hours), enabling any party to verify on-chain claims about network topology without trusting the Atlas operator.</w:t>
      </w:r>
    </w:p>
    <w:p>
      <w:pPr>
        <w:pStyle w:val="Heading2"/>
        <w:spacing w:before="280" w:after="80"/>
      </w:pPr>
      <w:r>
        <w:t>4.2 Atlas Architecture</w:t>
      </w:r>
    </w:p>
    <w:p>
      <w:pPr>
        <w:pStyle w:val="Heading3"/>
        <w:spacing w:before="200" w:after="60"/>
      </w:pPr>
      <w:r>
        <w:t>4.2.1 Module Breakdown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spacing w:after="20"/>
              <w:jc w:val="left"/>
            </w:pPr>
            <w:r>
              <w:rPr>
                <w:b/>
                <w:color w:val="FFFFFF"/>
              </w:rPr>
            </w:r>
            <w:r>
              <w:rPr>
                <w:b/>
                <w:color w:val="FFFFFF"/>
              </w:rPr>
              <w:t>Module ID</w:t>
            </w:r>
          </w:p>
        </w:tc>
        <w:tc>
          <w:tcPr>
            <w:tcW w:type="dxa" w:w="2351"/>
            <w:shd w:val="clear" w:color="auto" w:fill="1F3864"/>
          </w:tcPr>
          <w:p>
            <w:pPr>
              <w:spacing w:after="20"/>
              <w:jc w:val="left"/>
            </w:pPr>
            <w:r>
              <w:rPr>
                <w:b/>
                <w:color w:val="FFFFFF"/>
              </w:rPr>
            </w:r>
            <w:r>
              <w:rPr>
                <w:b/>
                <w:color w:val="FFFFFF"/>
              </w:rPr>
              <w:t>Module Name</w:t>
            </w:r>
          </w:p>
        </w:tc>
        <w:tc>
          <w:tcPr>
            <w:tcW w:type="dxa" w:w="2351"/>
            <w:shd w:val="clear" w:color="auto" w:fill="1F3864"/>
          </w:tcPr>
          <w:p>
            <w:pPr>
              <w:spacing w:after="20"/>
              <w:jc w:val="left"/>
            </w:pPr>
            <w:r>
              <w:rPr>
                <w:b/>
                <w:color w:val="FFFFFF"/>
              </w:rPr>
            </w:r>
            <w:r>
              <w:rPr>
                <w:b/>
                <w:color w:val="FFFFFF"/>
              </w:rPr>
              <w:t>Technology</w:t>
            </w:r>
          </w:p>
        </w:tc>
        <w:tc>
          <w:tcPr>
            <w:tcW w:type="dxa" w:w="2351"/>
            <w:shd w:val="clear" w:color="auto" w:fill="1F3864"/>
          </w:tcPr>
          <w:p>
            <w:pPr>
              <w:spacing w:after="20"/>
              <w:jc w:val="left"/>
            </w:pPr>
            <w:r>
              <w:rPr>
                <w:b/>
                <w:color w:val="FFFFFF"/>
              </w:rPr>
            </w:r>
            <w:r>
              <w:rPr>
                <w:b/>
                <w:color w:val="FFFFFF"/>
              </w:rPr>
              <w:t>Responsibility</w:t>
            </w:r>
          </w:p>
        </w:tc>
      </w:tr>
      <w:tr>
        <w:tc>
          <w:tcPr>
            <w:tcW w:type="dxa" w:w="2351"/>
          </w:tcPr>
          <w:p>
            <w:pPr>
              <w:spacing w:after="20"/>
              <w:jc w:val="left"/>
            </w:pPr>
            <w:r/>
            <w:r>
              <w:t>NA-001</w:t>
            </w:r>
          </w:p>
        </w:tc>
        <w:tc>
          <w:tcPr>
            <w:tcW w:type="dxa" w:w="2351"/>
          </w:tcPr>
          <w:p>
            <w:pPr>
              <w:spacing w:after="20"/>
              <w:jc w:val="left"/>
            </w:pPr>
            <w:r/>
            <w:r>
              <w:t>Node Registry</w:t>
            </w:r>
          </w:p>
        </w:tc>
        <w:tc>
          <w:tcPr>
            <w:tcW w:type="dxa" w:w="2351"/>
          </w:tcPr>
          <w:p>
            <w:pPr>
              <w:spacing w:after="20"/>
              <w:jc w:val="left"/>
            </w:pPr>
            <w:r/>
            <w:r>
              <w:t>Go + PostgreSQL (primary + replica)</w:t>
            </w:r>
          </w:p>
        </w:tc>
        <w:tc>
          <w:tcPr>
            <w:tcW w:type="dxa" w:w="2351"/>
          </w:tcPr>
          <w:p>
            <w:pPr>
              <w:spacing w:after="20"/>
              <w:jc w:val="left"/>
            </w:pPr>
            <w:r/>
            <w:r>
              <w:t>Maintains the canonical record of all network nodes: UUID, segment, hardware class, registration timestamp, current status. Receives registration events from NA-006. Updated by TS-007 for node status field.</w:t>
            </w:r>
          </w:p>
        </w:tc>
      </w:tr>
      <w:tr>
        <w:tc>
          <w:tcPr>
            <w:tcW w:type="dxa" w:w="2351"/>
          </w:tcPr>
          <w:p>
            <w:pPr>
              <w:spacing w:after="20"/>
              <w:jc w:val="left"/>
            </w:pPr>
            <w:r/>
            <w:r>
              <w:t>NA-002</w:t>
            </w:r>
          </w:p>
        </w:tc>
        <w:tc>
          <w:tcPr>
            <w:tcW w:type="dxa" w:w="2351"/>
          </w:tcPr>
          <w:p>
            <w:pPr>
              <w:spacing w:after="20"/>
              <w:jc w:val="left"/>
            </w:pPr>
            <w:r/>
            <w:r>
              <w:t>Topology Mapper</w:t>
            </w:r>
          </w:p>
        </w:tc>
        <w:tc>
          <w:tcPr>
            <w:tcW w:type="dxa" w:w="2351"/>
          </w:tcPr>
          <w:p>
            <w:pPr>
              <w:spacing w:after="20"/>
              <w:jc w:val="left"/>
            </w:pPr>
            <w:r/>
            <w:r>
              <w:t>Go</w:t>
            </w:r>
          </w:p>
        </w:tc>
        <w:tc>
          <w:tcPr>
            <w:tcW w:type="dxa" w:w="2351"/>
          </w:tcPr>
          <w:p>
            <w:pPr>
              <w:spacing w:after="20"/>
              <w:jc w:val="left"/>
            </w:pPr>
            <w:r/>
            <w:r>
              <w:t>Derives the peer connection graph from libp2p discovery events reported by NA-006 heartbeat agents. Maintains a live adjacency representation of all peer-to-peer connections. Detects topology anomalies (isolated nodes, unexpected partition events).</w:t>
            </w:r>
          </w:p>
        </w:tc>
      </w:tr>
      <w:tr>
        <w:tc>
          <w:tcPr>
            <w:tcW w:type="dxa" w:w="2351"/>
          </w:tcPr>
          <w:p>
            <w:pPr>
              <w:spacing w:after="20"/>
              <w:jc w:val="left"/>
            </w:pPr>
            <w:r/>
            <w:r>
              <w:t>NA-003</w:t>
            </w:r>
          </w:p>
        </w:tc>
        <w:tc>
          <w:tcPr>
            <w:tcW w:type="dxa" w:w="2351"/>
          </w:tcPr>
          <w:p>
            <w:pPr>
              <w:spacing w:after="20"/>
              <w:jc w:val="left"/>
            </w:pPr>
            <w:r/>
            <w:r>
              <w:t>Version Registry</w:t>
            </w:r>
          </w:p>
        </w:tc>
        <w:tc>
          <w:tcPr>
            <w:tcW w:type="dxa" w:w="2351"/>
          </w:tcPr>
          <w:p>
            <w:pPr>
              <w:spacing w:after="20"/>
              <w:jc w:val="left"/>
            </w:pPr>
            <w:r/>
            <w:r>
              <w:t>Go (backed by NA-001 PostgreSQL)</w:t>
            </w:r>
          </w:p>
        </w:tc>
        <w:tc>
          <w:tcPr>
            <w:tcW w:type="dxa" w:w="2351"/>
          </w:tcPr>
          <w:p>
            <w:pPr>
              <w:spacing w:after="20"/>
              <w:jc w:val="left"/>
            </w:pPr>
            <w:r/>
            <w:r>
              <w:t>Tracks the protocol version, client binary version, telemetry agent version, and Atlas agent version per node. Updated by AUP-004 post-upgrade. Self-reported by TS-001 and NA-006 on startup and heartbeat. See Section 4.2.5 for full schema.</w:t>
            </w:r>
          </w:p>
        </w:tc>
      </w:tr>
      <w:tr>
        <w:tc>
          <w:tcPr>
            <w:tcW w:type="dxa" w:w="2351"/>
          </w:tcPr>
          <w:p>
            <w:pPr>
              <w:spacing w:after="20"/>
              <w:jc w:val="left"/>
            </w:pPr>
            <w:r/>
            <w:r>
              <w:t>NA-004</w:t>
            </w:r>
          </w:p>
        </w:tc>
        <w:tc>
          <w:tcPr>
            <w:tcW w:type="dxa" w:w="2351"/>
          </w:tcPr>
          <w:p>
            <w:pPr>
              <w:spacing w:after="20"/>
              <w:jc w:val="left"/>
            </w:pPr>
            <w:r/>
            <w:r>
              <w:t>Geo-Distribution Tracker</w:t>
            </w:r>
          </w:p>
        </w:tc>
        <w:tc>
          <w:tcPr>
            <w:tcW w:type="dxa" w:w="2351"/>
          </w:tcPr>
          <w:p>
            <w:pPr>
              <w:spacing w:after="20"/>
              <w:jc w:val="left"/>
            </w:pPr>
            <w:r/>
            <w:r>
              <w:t>Go + MaxMind GeoIP2 (self-hosted)</w:t>
            </w:r>
          </w:p>
        </w:tc>
        <w:tc>
          <w:tcPr>
            <w:tcW w:type="dxa" w:w="2351"/>
          </w:tcPr>
          <w:p>
            <w:pPr>
              <w:spacing w:after="20"/>
              <w:jc w:val="left"/>
            </w:pPr>
            <w:r/>
            <w:r>
              <w:t>Maps each node's outbound IP address to a geographic region using MaxMind GeoIP2 Enterprise database (updated weekly). Provides regional distribution metrics. Feeds TS-006 for geographic alert routing to regional on-call contacts.</w:t>
            </w:r>
          </w:p>
        </w:tc>
      </w:tr>
      <w:tr>
        <w:tc>
          <w:tcPr>
            <w:tcW w:type="dxa" w:w="2351"/>
          </w:tcPr>
          <w:p>
            <w:pPr>
              <w:spacing w:after="20"/>
              <w:jc w:val="left"/>
            </w:pPr>
            <w:r/>
            <w:r>
              <w:t>NA-005</w:t>
            </w:r>
          </w:p>
        </w:tc>
        <w:tc>
          <w:tcPr>
            <w:tcW w:type="dxa" w:w="2351"/>
          </w:tcPr>
          <w:p>
            <w:pPr>
              <w:spacing w:after="20"/>
              <w:jc w:val="left"/>
            </w:pPr>
            <w:r/>
            <w:r>
              <w:t>Atlas API</w:t>
            </w:r>
          </w:p>
        </w:tc>
        <w:tc>
          <w:tcPr>
            <w:tcW w:type="dxa" w:w="2351"/>
          </w:tcPr>
          <w:p>
            <w:pPr>
              <w:spacing w:after="20"/>
              <w:jc w:val="left"/>
            </w:pPr>
            <w:r/>
            <w:r>
              <w:t>Go gRPC server + REST gateway (grpc-gateway)</w:t>
            </w:r>
          </w:p>
        </w:tc>
        <w:tc>
          <w:tcPr>
            <w:tcW w:type="dxa" w:w="2351"/>
          </w:tcPr>
          <w:p>
            <w:pPr>
              <w:spacing w:after="20"/>
              <w:jc w:val="left"/>
            </w:pPr>
            <w:r/>
            <w:r>
              <w:t>Primary read/write API for the Atlas. Serves node lists, topology queries, version histograms, and segment maps to consumers (AUP-003, TS-002, operators). Enforces mTLS + SPIFFE SVID authentication. All writes are audited.</w:t>
            </w:r>
          </w:p>
        </w:tc>
      </w:tr>
      <w:tr>
        <w:tc>
          <w:tcPr>
            <w:tcW w:type="dxa" w:w="2351"/>
          </w:tcPr>
          <w:p>
            <w:pPr>
              <w:spacing w:after="20"/>
              <w:jc w:val="left"/>
            </w:pPr>
            <w:r/>
            <w:r>
              <w:t>NA-006</w:t>
            </w:r>
          </w:p>
        </w:tc>
        <w:tc>
          <w:tcPr>
            <w:tcW w:type="dxa" w:w="2351"/>
          </w:tcPr>
          <w:p>
            <w:pPr>
              <w:spacing w:after="20"/>
              <w:jc w:val="left"/>
            </w:pPr>
            <w:r/>
            <w:r>
              <w:t>Atlas Sync Agent</w:t>
            </w:r>
          </w:p>
        </w:tc>
        <w:tc>
          <w:tcPr>
            <w:tcW w:type="dxa" w:w="2351"/>
          </w:tcPr>
          <w:p>
            <w:pPr>
              <w:spacing w:after="20"/>
              <w:jc w:val="left"/>
            </w:pPr>
            <w:r/>
            <w:r>
              <w:t>Go (lightweight agent)</w:t>
            </w:r>
          </w:p>
        </w:tc>
        <w:tc>
          <w:tcPr>
            <w:tcW w:type="dxa" w:w="2351"/>
          </w:tcPr>
          <w:p>
            <w:pPr>
              <w:spacing w:after="20"/>
              <w:jc w:val="left"/>
            </w:pPr>
            <w:r/>
            <w:r>
              <w:t>Deployed on each managed node. Sends periodic heartbeats (30-second interval) to NA-001 containing: node ID, current peer list, software versions, and operational status. Registers new nodes with NA-001 on first startup. Serves as the TS-001 registration trigger.</w:t>
            </w:r>
          </w:p>
        </w:tc>
      </w:tr>
      <w:tr>
        <w:tc>
          <w:tcPr>
            <w:tcW w:type="dxa" w:w="2351"/>
          </w:tcPr>
          <w:p>
            <w:pPr>
              <w:spacing w:after="20"/>
              <w:jc w:val="left"/>
            </w:pPr>
            <w:r/>
            <w:r>
              <w:t>NA-007</w:t>
            </w:r>
          </w:p>
        </w:tc>
        <w:tc>
          <w:tcPr>
            <w:tcW w:type="dxa" w:w="2351"/>
          </w:tcPr>
          <w:p>
            <w:pPr>
              <w:spacing w:after="20"/>
              <w:jc w:val="left"/>
            </w:pPr>
            <w:r/>
            <w:r>
              <w:t>Atlas Snapshot Publisher</w:t>
            </w:r>
          </w:p>
        </w:tc>
        <w:tc>
          <w:tcPr>
            <w:tcW w:type="dxa" w:w="2351"/>
          </w:tcPr>
          <w:p>
            <w:pPr>
              <w:spacing w:after="20"/>
              <w:jc w:val="left"/>
            </w:pPr>
            <w:r/>
            <w:r>
              <w:t>Rust</w:t>
            </w:r>
          </w:p>
        </w:tc>
        <w:tc>
          <w:tcPr>
            <w:tcW w:type="dxa" w:w="2351"/>
          </w:tcPr>
          <w:p>
            <w:pPr>
              <w:spacing w:after="20"/>
              <w:jc w:val="left"/>
            </w:pPr>
            <w:r/>
            <w:r>
              <w:t xml:space="preserve">Generates signed Atlas snapshots every epoch (7,200 L2 blocks). Snapshots include: node count, segment counts, version histogram, Merkle root of the full node registry. Publishes to IPFS. Submits the IPFS CID and Merkle root to </w:t>
            </w:r>
            <w:r>
              <w:t>AtlasRegistry.sol</w:t>
            </w:r>
            <w:r>
              <w:t xml:space="preserve"> on Base, signed by 2-of-3 Atlas Aggregator node keys.</w:t>
            </w:r>
          </w:p>
        </w:tc>
      </w:tr>
    </w:tbl>
    <w:p/>
    <w:p>
      <w:pPr>
        <w:pStyle w:val="Heading3"/>
        <w:spacing w:before="200" w:after="60"/>
      </w:pPr>
      <w:r>
        <w:t>4.2.2 Node Topology</w:t>
      </w:r>
    </w:p>
    <w:p>
      <w:pPr>
        <w:pStyle w:val="Heading4"/>
        <w:spacing w:before="160"/>
      </w:pPr>
      <w:r>
        <w:t>Sequencer Cluster</w:t>
      </w:r>
    </w:p>
    <w:p>
      <w:pPr>
        <w:pStyle w:val="ListBullet"/>
        <w:spacing w:after="40"/>
      </w:pPr>
      <w:r>
        <w:rPr>
          <w:b/>
        </w:rPr>
        <w:t>SQ-PRIMARY:</w:t>
      </w:r>
      <w:r>
        <w:t xml:space="preserve"> The single active sequencer. Located in Allen, TX datacenter (Tier-1, HSM-equipped, bare-metal). Maintains dedicated private link to SQ-FALLBACK and outbound p2p connections to all 12 validators. Sequencer key is HSM-protected; private key never leaves the hardware boundary.</w:t>
      </w:r>
    </w:p>
    <w:p>
      <w:pPr>
        <w:pStyle w:val="ListBullet"/>
        <w:spacing w:after="40"/>
      </w:pPr>
      <w:r>
        <w:rPr>
          <w:b/>
        </w:rPr>
        <w:t>SQ-FALLBACK:</w:t>
      </w:r>
      <w:r>
        <w:t xml:space="preserve"> Hot standby sequencer. Located in Chicago, IL datacenter (geographically separated from SQ-PRIMARY). Maintains a dedicated private link to SQ-PRIMARY and an independent set of validator connections. Auto-promotion is triggered by the AUP if SQ-PRIMARY misses &gt;3 consecutive blocks. Promotion is an atomic operation coordinated by AUP-003 and recorded in NA-003.</w:t>
      </w:r>
    </w:p>
    <w:p>
      <w:pPr>
        <w:pStyle w:val="Heading4"/>
        <w:spacing w:before="160"/>
      </w:pPr>
      <w:r>
        <w:t>Validator Ring</w:t>
      </w:r>
    </w:p>
    <w:p>
      <w:pPr>
        <w:pStyle w:val="ListBullet"/>
        <w:spacing w:after="40"/>
      </w:pPr>
      <w:r>
        <w:t xml:space="preserve">12 validator nodes distributed globally across five regions: </w:t>
      </w:r>
      <w:r>
        <w:rPr>
          <w:b/>
        </w:rPr>
        <w:t>3× US-East</w:t>
      </w:r>
      <w:r>
        <w:t xml:space="preserve">, </w:t>
      </w:r>
      <w:r>
        <w:rPr>
          <w:b/>
        </w:rPr>
        <w:t>3× US-West</w:t>
      </w:r>
      <w:r>
        <w:t xml:space="preserve">, </w:t>
      </w:r>
      <w:r>
        <w:rPr>
          <w:b/>
        </w:rPr>
        <w:t>3× EU-West</w:t>
      </w:r>
      <w:r>
        <w:t xml:space="preserve">, </w:t>
      </w:r>
      <w:r>
        <w:rPr>
          <w:b/>
        </w:rPr>
        <w:t>2× AP-Southeast</w:t>
      </w:r>
      <w:r>
        <w:t xml:space="preserve">, </w:t>
      </w:r>
      <w:r>
        <w:rPr>
          <w:b/>
        </w:rPr>
        <w:t>1× AP-Northeast</w:t>
      </w:r>
      <w:r>
        <w:t>.</w:t>
      </w:r>
    </w:p>
    <w:p>
      <w:pPr>
        <w:pStyle w:val="ListBullet"/>
        <w:spacing w:after="40"/>
      </w:pPr>
      <w:r>
        <w:t>Full mesh topology: each validator maintains peer connections to all other 11 validators (66 peer pairs total: 12×11/2).</w:t>
      </w:r>
    </w:p>
    <w:p>
      <w:pPr>
        <w:pStyle w:val="ListBullet"/>
        <w:spacing w:after="40"/>
      </w:pPr>
      <w:r>
        <w:t>Each validator maintains bidirectional connections to both SQ-PRIMARY and SQ-FALLBACK.</w:t>
      </w:r>
    </w:p>
    <w:p>
      <w:pPr>
        <w:pStyle w:val="ListBullet"/>
        <w:spacing w:after="40"/>
      </w:pPr>
      <w:r>
        <w:t>No single geographic region hosts a majority of validators (&gt;6), preventing regional network partition from halting attestation.</w:t>
      </w:r>
    </w:p>
    <w:p>
      <w:pPr>
        <w:pStyle w:val="ListBullet"/>
        <w:spacing w:after="40"/>
      </w:pPr>
      <w:r>
        <w:t>Minimum viable network: attestation continues with ≥7 of 12 validators active (see SLA, Section 6.2).</w:t>
      </w:r>
    </w:p>
    <w:p>
      <w:pPr>
        <w:pStyle w:val="Heading4"/>
        <w:spacing w:before="160"/>
      </w:pPr>
      <w:r>
        <w:t>Archive Cluster</w:t>
      </w:r>
    </w:p>
    <w:p>
      <w:pPr>
        <w:pStyle w:val="ListBullet"/>
        <w:spacing w:after="40"/>
      </w:pPr>
      <w:r>
        <w:t xml:space="preserve">4 archive nodes distributed across: </w:t>
      </w:r>
      <w:r>
        <w:rPr>
          <w:b/>
        </w:rPr>
        <w:t>2× US-East</w:t>
      </w:r>
      <w:r>
        <w:t xml:space="preserve">, </w:t>
      </w:r>
      <w:r>
        <w:rPr>
          <w:b/>
        </w:rPr>
        <w:t>1× EU-West</w:t>
      </w:r>
      <w:r>
        <w:t xml:space="preserve">, </w:t>
      </w:r>
      <w:r>
        <w:rPr>
          <w:b/>
        </w:rPr>
        <w:t>1× AP-Southeast</w:t>
      </w:r>
      <w:r>
        <w:t>.</w:t>
      </w:r>
    </w:p>
    <w:p>
      <w:pPr>
        <w:pStyle w:val="ListBullet"/>
        <w:spacing w:after="40"/>
      </w:pPr>
      <w:r>
        <w:t>Store full chain history from genesis block. Serve historical state queries (eth_getStorageAt for historical blocks, debug_traceTransaction, etc.).</w:t>
      </w:r>
    </w:p>
    <w:p>
      <w:pPr>
        <w:pStyle w:val="ListBullet"/>
        <w:spacing w:after="40"/>
      </w:pPr>
      <w:r>
        <w:t>Peer-connected to validators via gossip subscription (read-only data path). Archive nodes do not connect directly to sequencers — they receive block data via validator gossip.</w:t>
      </w:r>
    </w:p>
    <w:p>
      <w:pPr>
        <w:pStyle w:val="ListBullet"/>
        <w:spacing w:after="40"/>
      </w:pPr>
      <w:r>
        <w:t>Not connected to public p2p by default; accessible only via authenticated RPC endpoints.</w:t>
      </w:r>
    </w:p>
    <w:p>
      <w:pPr>
        <w:pStyle w:val="Heading4"/>
        <w:spacing w:before="160"/>
      </w:pPr>
      <w:r>
        <w:t>Telemetry Aggregators</w:t>
      </w:r>
    </w:p>
    <w:p>
      <w:pPr>
        <w:pStyle w:val="ListBullet"/>
        <w:spacing w:after="40"/>
      </w:pPr>
      <w:r>
        <w:t xml:space="preserve">3 regional aggregators (TS-002 instances): </w:t>
      </w:r>
      <w:r>
        <w:rPr>
          <w:b/>
        </w:rPr>
        <w:t>US-East</w:t>
      </w:r>
      <w:r>
        <w:t xml:space="preserve">, </w:t>
      </w:r>
      <w:r>
        <w:rPr>
          <w:b/>
        </w:rPr>
        <w:t>EU-West</w:t>
      </w:r>
      <w:r>
        <w:t xml:space="preserve">, </w:t>
      </w:r>
      <w:r>
        <w:rPr>
          <w:b/>
        </w:rPr>
        <w:t>AP-Southeast</w:t>
      </w:r>
      <w:r>
        <w:t>.</w:t>
      </w:r>
    </w:p>
    <w:p>
      <w:pPr>
        <w:pStyle w:val="ListBullet"/>
        <w:spacing w:after="40"/>
      </w:pPr>
      <w:r>
        <w:t>Each aggregator peers with all AUP-managed nodes in its geographic region for metric collection.</w:t>
      </w:r>
    </w:p>
    <w:p>
      <w:pPr>
        <w:pStyle w:val="ListBullet"/>
        <w:spacing w:after="40"/>
      </w:pPr>
      <w:r>
        <w:t>Aggregators do not participate in L3 consensus. They have no block production or attestation role.</w:t>
      </w:r>
    </w:p>
    <w:p>
      <w:pPr>
        <w:pStyle w:val="ListBullet"/>
        <w:spacing w:after="40"/>
      </w:pPr>
      <w:r>
        <w:t>Aggregators are registered in NA-001 as segment SEG-004 nodes and are themselves monitored by cross-region TS-002 instances to prevent blind spots.</w:t>
      </w:r>
    </w:p>
    <w:p>
      <w:pPr>
        <w:pStyle w:val="Heading4"/>
        <w:spacing w:before="160"/>
      </w:pPr>
      <w:r>
        <w:t>Full Nodes and Light Nodes</w:t>
      </w:r>
    </w:p>
    <w:p>
      <w:pPr>
        <w:pStyle w:val="ListBullet"/>
        <w:spacing w:after="40"/>
      </w:pPr>
      <w:r>
        <w:rPr>
          <w:b/>
        </w:rPr>
        <w:t>Full Nodes:</w:t>
      </w:r>
      <w:r>
        <w:t xml:space="preserve"> Unlimited count; tracked in NA-001 but not AUP-managed. Connect to up to 50 peers: up to 25 validators + up to 25 other full nodes. Serve public JSON-RPC endpoints.</w:t>
      </w:r>
    </w:p>
    <w:p>
      <w:pPr>
        <w:pStyle w:val="ListBullet"/>
        <w:spacing w:after="40"/>
      </w:pPr>
      <w:r>
        <w:rPr>
          <w:b/>
        </w:rPr>
        <w:t>Light Nodes:</w:t>
      </w:r>
      <w:r>
        <w:t xml:space="preserve"> Unlimited count; tracked in NA-001 if they register via NA-006 (optional for non-managed nodes). Connect to 3–5 full nodes via the snap sync protocol. Do not contribute to consensus or attestation.</w:t>
      </w:r>
    </w:p>
    <w:p>
      <w:pPr>
        <w:pStyle w:val="Heading3"/>
        <w:spacing w:before="200" w:after="60"/>
      </w:pPr>
      <w:r>
        <w:t>4.2.3 Network Segment Map</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3864"/>
          </w:tcPr>
          <w:p>
            <w:pPr>
              <w:spacing w:after="20"/>
              <w:jc w:val="left"/>
            </w:pPr>
            <w:r>
              <w:rPr>
                <w:b/>
                <w:color w:val="FFFFFF"/>
              </w:rPr>
            </w:r>
            <w:r>
              <w:rPr>
                <w:b/>
                <w:color w:val="FFFFFF"/>
              </w:rPr>
              <w:t>Segment ID</w:t>
            </w:r>
          </w:p>
        </w:tc>
        <w:tc>
          <w:tcPr>
            <w:tcW w:type="dxa" w:w="1568"/>
            <w:shd w:val="clear" w:color="auto" w:fill="1F3864"/>
          </w:tcPr>
          <w:p>
            <w:pPr>
              <w:spacing w:after="20"/>
              <w:jc w:val="left"/>
            </w:pPr>
            <w:r>
              <w:rPr>
                <w:b/>
                <w:color w:val="FFFFFF"/>
              </w:rPr>
            </w:r>
            <w:r>
              <w:rPr>
                <w:b/>
                <w:color w:val="FFFFFF"/>
              </w:rPr>
              <w:t>Segment Name</w:t>
            </w:r>
          </w:p>
        </w:tc>
        <w:tc>
          <w:tcPr>
            <w:tcW w:type="dxa" w:w="1568"/>
            <w:shd w:val="clear" w:color="auto" w:fill="1F3864"/>
          </w:tcPr>
          <w:p>
            <w:pPr>
              <w:spacing w:after="20"/>
              <w:jc w:val="left"/>
            </w:pPr>
            <w:r>
              <w:rPr>
                <w:b/>
                <w:color w:val="FFFFFF"/>
              </w:rPr>
            </w:r>
            <w:r>
              <w:rPr>
                <w:b/>
                <w:color w:val="FFFFFF"/>
              </w:rPr>
              <w:t>Node Count</w:t>
            </w:r>
          </w:p>
        </w:tc>
        <w:tc>
          <w:tcPr>
            <w:tcW w:type="dxa" w:w="1568"/>
            <w:shd w:val="clear" w:color="auto" w:fill="1F3864"/>
          </w:tcPr>
          <w:p>
            <w:pPr>
              <w:spacing w:after="20"/>
              <w:jc w:val="left"/>
            </w:pPr>
            <w:r>
              <w:rPr>
                <w:b/>
                <w:color w:val="FFFFFF"/>
              </w:rPr>
            </w:r>
            <w:r>
              <w:rPr>
                <w:b/>
                <w:color w:val="FFFFFF"/>
              </w:rPr>
              <w:t>Region</w:t>
            </w:r>
          </w:p>
        </w:tc>
        <w:tc>
          <w:tcPr>
            <w:tcW w:type="dxa" w:w="1568"/>
            <w:shd w:val="clear" w:color="auto" w:fill="1F3864"/>
          </w:tcPr>
          <w:p>
            <w:pPr>
              <w:spacing w:after="20"/>
              <w:jc w:val="left"/>
            </w:pPr>
            <w:r>
              <w:rPr>
                <w:b/>
                <w:color w:val="FFFFFF"/>
              </w:rPr>
            </w:r>
            <w:r>
              <w:rPr>
                <w:b/>
                <w:color w:val="FFFFFF"/>
              </w:rPr>
              <w:t>Role</w:t>
            </w:r>
          </w:p>
        </w:tc>
        <w:tc>
          <w:tcPr>
            <w:tcW w:type="dxa" w:w="1568"/>
            <w:shd w:val="clear" w:color="auto" w:fill="1F3864"/>
          </w:tcPr>
          <w:p>
            <w:pPr>
              <w:spacing w:after="20"/>
              <w:jc w:val="left"/>
            </w:pPr>
            <w:r>
              <w:rPr>
                <w:b/>
                <w:color w:val="FFFFFF"/>
              </w:rPr>
            </w:r>
            <w:r>
              <w:rPr>
                <w:b/>
                <w:color w:val="FFFFFF"/>
              </w:rPr>
              <w:t>AUP-Managed</w:t>
            </w:r>
          </w:p>
        </w:tc>
      </w:tr>
      <w:tr>
        <w:tc>
          <w:tcPr>
            <w:tcW w:type="dxa" w:w="1568"/>
          </w:tcPr>
          <w:p>
            <w:pPr>
              <w:spacing w:after="20"/>
              <w:jc w:val="left"/>
            </w:pPr>
            <w:r/>
            <w:r>
              <w:t>SEG-001</w:t>
            </w:r>
          </w:p>
        </w:tc>
        <w:tc>
          <w:tcPr>
            <w:tcW w:type="dxa" w:w="1568"/>
          </w:tcPr>
          <w:p>
            <w:pPr>
              <w:spacing w:after="20"/>
              <w:jc w:val="left"/>
            </w:pPr>
            <w:r/>
            <w:r>
              <w:t>Core Sequencer Cluster</w:t>
            </w:r>
          </w:p>
        </w:tc>
        <w:tc>
          <w:tcPr>
            <w:tcW w:type="dxa" w:w="1568"/>
          </w:tcPr>
          <w:p>
            <w:pPr>
              <w:spacing w:after="20"/>
              <w:jc w:val="left"/>
            </w:pPr>
            <w:r/>
            <w:r>
              <w:t>2</w:t>
            </w:r>
          </w:p>
        </w:tc>
        <w:tc>
          <w:tcPr>
            <w:tcW w:type="dxa" w:w="1568"/>
          </w:tcPr>
          <w:p>
            <w:pPr>
              <w:spacing w:after="20"/>
              <w:jc w:val="left"/>
            </w:pPr>
            <w:r/>
            <w:r>
              <w:t>US-Central (Allen TX + Chicago IL)</w:t>
            </w:r>
          </w:p>
        </w:tc>
        <w:tc>
          <w:tcPr>
            <w:tcW w:type="dxa" w:w="1568"/>
          </w:tcPr>
          <w:p>
            <w:pPr>
              <w:spacing w:after="20"/>
              <w:jc w:val="left"/>
            </w:pPr>
            <w:r/>
            <w:r>
              <w:t>Block production and transaction ordering</w:t>
            </w:r>
          </w:p>
        </w:tc>
        <w:tc>
          <w:tcPr>
            <w:tcW w:type="dxa" w:w="1568"/>
          </w:tcPr>
          <w:p>
            <w:pPr>
              <w:spacing w:after="20"/>
              <w:jc w:val="left"/>
            </w:pPr>
            <w:r/>
            <w:r>
              <w:rPr>
                <w:b/>
              </w:rPr>
              <w:t>Yes</w:t>
            </w:r>
            <w:r>
              <w:t xml:space="preserve"> (Ring 4)</w:t>
            </w:r>
          </w:p>
        </w:tc>
      </w:tr>
      <w:tr>
        <w:tc>
          <w:tcPr>
            <w:tcW w:type="dxa" w:w="1568"/>
          </w:tcPr>
          <w:p>
            <w:pPr>
              <w:spacing w:after="20"/>
              <w:jc w:val="left"/>
            </w:pPr>
            <w:r/>
            <w:r>
              <w:t>SEG-002</w:t>
            </w:r>
          </w:p>
        </w:tc>
        <w:tc>
          <w:tcPr>
            <w:tcW w:type="dxa" w:w="1568"/>
          </w:tcPr>
          <w:p>
            <w:pPr>
              <w:spacing w:after="20"/>
              <w:jc w:val="left"/>
            </w:pPr>
            <w:r/>
            <w:r>
              <w:t>Validator Ring</w:t>
            </w:r>
          </w:p>
        </w:tc>
        <w:tc>
          <w:tcPr>
            <w:tcW w:type="dxa" w:w="1568"/>
          </w:tcPr>
          <w:p>
            <w:pPr>
              <w:spacing w:after="20"/>
              <w:jc w:val="left"/>
            </w:pPr>
            <w:r/>
            <w:r>
              <w:t>12</w:t>
            </w:r>
          </w:p>
        </w:tc>
        <w:tc>
          <w:tcPr>
            <w:tcW w:type="dxa" w:w="1568"/>
          </w:tcPr>
          <w:p>
            <w:pPr>
              <w:spacing w:after="20"/>
              <w:jc w:val="left"/>
            </w:pPr>
            <w:r/>
            <w:r>
              <w:t>Global (5 regions)</w:t>
            </w:r>
          </w:p>
        </w:tc>
        <w:tc>
          <w:tcPr>
            <w:tcW w:type="dxa" w:w="1568"/>
          </w:tcPr>
          <w:p>
            <w:pPr>
              <w:spacing w:after="20"/>
              <w:jc w:val="left"/>
            </w:pPr>
            <w:r/>
            <w:r>
              <w:t>Attestation, fault proof participation, canonical chain validation</w:t>
            </w:r>
          </w:p>
        </w:tc>
        <w:tc>
          <w:tcPr>
            <w:tcW w:type="dxa" w:w="1568"/>
          </w:tcPr>
          <w:p>
            <w:pPr>
              <w:spacing w:after="20"/>
              <w:jc w:val="left"/>
            </w:pPr>
            <w:r/>
            <w:r>
              <w:rPr>
                <w:b/>
              </w:rPr>
              <w:t>Yes</w:t>
            </w:r>
            <w:r>
              <w:t xml:space="preserve"> (Rings 1–3)</w:t>
            </w:r>
          </w:p>
        </w:tc>
      </w:tr>
      <w:tr>
        <w:tc>
          <w:tcPr>
            <w:tcW w:type="dxa" w:w="1568"/>
          </w:tcPr>
          <w:p>
            <w:pPr>
              <w:spacing w:after="20"/>
              <w:jc w:val="left"/>
            </w:pPr>
            <w:r/>
            <w:r>
              <w:t>SEG-003</w:t>
            </w:r>
          </w:p>
        </w:tc>
        <w:tc>
          <w:tcPr>
            <w:tcW w:type="dxa" w:w="1568"/>
          </w:tcPr>
          <w:p>
            <w:pPr>
              <w:spacing w:after="20"/>
              <w:jc w:val="left"/>
            </w:pPr>
            <w:r/>
            <w:r>
              <w:t>Archive Cluster</w:t>
            </w:r>
          </w:p>
        </w:tc>
        <w:tc>
          <w:tcPr>
            <w:tcW w:type="dxa" w:w="1568"/>
          </w:tcPr>
          <w:p>
            <w:pPr>
              <w:spacing w:after="20"/>
              <w:jc w:val="left"/>
            </w:pPr>
            <w:r/>
            <w:r>
              <w:t>4</w:t>
            </w:r>
          </w:p>
        </w:tc>
        <w:tc>
          <w:tcPr>
            <w:tcW w:type="dxa" w:w="1568"/>
          </w:tcPr>
          <w:p>
            <w:pPr>
              <w:spacing w:after="20"/>
              <w:jc w:val="left"/>
            </w:pPr>
            <w:r/>
            <w:r>
              <w:t>US-East (×2), EU-West (×1), AP-Southeast (×1)</w:t>
            </w:r>
          </w:p>
        </w:tc>
        <w:tc>
          <w:tcPr>
            <w:tcW w:type="dxa" w:w="1568"/>
          </w:tcPr>
          <w:p>
            <w:pPr>
              <w:spacing w:after="20"/>
              <w:jc w:val="left"/>
            </w:pPr>
            <w:r/>
            <w:r>
              <w:t>Full historical state storage and historical RPC serving</w:t>
            </w:r>
          </w:p>
        </w:tc>
        <w:tc>
          <w:tcPr>
            <w:tcW w:type="dxa" w:w="1568"/>
          </w:tcPr>
          <w:p>
            <w:pPr>
              <w:spacing w:after="20"/>
              <w:jc w:val="left"/>
            </w:pPr>
            <w:r/>
            <w:r>
              <w:rPr>
                <w:b/>
              </w:rPr>
              <w:t>Yes</w:t>
            </w:r>
            <w:r>
              <w:t xml:space="preserve"> (Ring 3)</w:t>
            </w:r>
          </w:p>
        </w:tc>
      </w:tr>
      <w:tr>
        <w:tc>
          <w:tcPr>
            <w:tcW w:type="dxa" w:w="1568"/>
          </w:tcPr>
          <w:p>
            <w:pPr>
              <w:spacing w:after="20"/>
              <w:jc w:val="left"/>
            </w:pPr>
            <w:r/>
            <w:r>
              <w:t>SEG-004</w:t>
            </w:r>
          </w:p>
        </w:tc>
        <w:tc>
          <w:tcPr>
            <w:tcW w:type="dxa" w:w="1568"/>
          </w:tcPr>
          <w:p>
            <w:pPr>
              <w:spacing w:after="20"/>
              <w:jc w:val="left"/>
            </w:pPr>
            <w:r/>
            <w:r>
              <w:t>Telemetry Aggregation Tier</w:t>
            </w:r>
          </w:p>
        </w:tc>
        <w:tc>
          <w:tcPr>
            <w:tcW w:type="dxa" w:w="1568"/>
          </w:tcPr>
          <w:p>
            <w:pPr>
              <w:spacing w:after="20"/>
              <w:jc w:val="left"/>
            </w:pPr>
            <w:r/>
            <w:r>
              <w:t>3</w:t>
            </w:r>
          </w:p>
        </w:tc>
        <w:tc>
          <w:tcPr>
            <w:tcW w:type="dxa" w:w="1568"/>
          </w:tcPr>
          <w:p>
            <w:pPr>
              <w:spacing w:after="20"/>
              <w:jc w:val="left"/>
            </w:pPr>
            <w:r/>
            <w:r>
              <w:t>US-East, EU-West, AP-Southeast</w:t>
            </w:r>
          </w:p>
        </w:tc>
        <w:tc>
          <w:tcPr>
            <w:tcW w:type="dxa" w:w="1568"/>
          </w:tcPr>
          <w:p>
            <w:pPr>
              <w:spacing w:after="20"/>
              <w:jc w:val="left"/>
            </w:pPr>
            <w:r/>
            <w:r>
              <w:t>Regional metric aggregation and observability routing</w:t>
            </w:r>
          </w:p>
        </w:tc>
        <w:tc>
          <w:tcPr>
            <w:tcW w:type="dxa" w:w="1568"/>
          </w:tcPr>
          <w:p>
            <w:pPr>
              <w:spacing w:after="20"/>
              <w:jc w:val="left"/>
            </w:pPr>
            <w:r/>
            <w:r>
              <w:rPr>
                <w:b/>
              </w:rPr>
              <w:t>Yes</w:t>
            </w:r>
            <w:r>
              <w:t xml:space="preserve"> (Ring 3)</w:t>
            </w:r>
          </w:p>
        </w:tc>
      </w:tr>
      <w:tr>
        <w:tc>
          <w:tcPr>
            <w:tcW w:type="dxa" w:w="1568"/>
          </w:tcPr>
          <w:p>
            <w:pPr>
              <w:spacing w:after="20"/>
              <w:jc w:val="left"/>
            </w:pPr>
            <w:r/>
            <w:r>
              <w:t>SEG-005</w:t>
            </w:r>
          </w:p>
        </w:tc>
        <w:tc>
          <w:tcPr>
            <w:tcW w:type="dxa" w:w="1568"/>
          </w:tcPr>
          <w:p>
            <w:pPr>
              <w:spacing w:after="20"/>
              <w:jc w:val="left"/>
            </w:pPr>
            <w:r/>
            <w:r>
              <w:t>Public Full Node Layer</w:t>
            </w:r>
          </w:p>
        </w:tc>
        <w:tc>
          <w:tcPr>
            <w:tcW w:type="dxa" w:w="1568"/>
          </w:tcPr>
          <w:p>
            <w:pPr>
              <w:spacing w:after="20"/>
              <w:jc w:val="left"/>
            </w:pPr>
            <w:r/>
            <w:r>
              <w:t>Variable (unbounded)</w:t>
            </w:r>
          </w:p>
        </w:tc>
        <w:tc>
          <w:tcPr>
            <w:tcW w:type="dxa" w:w="1568"/>
          </w:tcPr>
          <w:p>
            <w:pPr>
              <w:spacing w:after="20"/>
              <w:jc w:val="left"/>
            </w:pPr>
            <w:r/>
            <w:r>
              <w:t>Global</w:t>
            </w:r>
          </w:p>
        </w:tc>
        <w:tc>
          <w:tcPr>
            <w:tcW w:type="dxa" w:w="1568"/>
          </w:tcPr>
          <w:p>
            <w:pPr>
              <w:spacing w:after="20"/>
              <w:jc w:val="left"/>
            </w:pPr>
            <w:r/>
            <w:r>
              <w:t>Public RPC access, peer diversity, decentralization surface</w:t>
            </w:r>
          </w:p>
        </w:tc>
        <w:tc>
          <w:tcPr>
            <w:tcW w:type="dxa" w:w="1568"/>
          </w:tcPr>
          <w:p>
            <w:pPr>
              <w:spacing w:after="20"/>
              <w:jc w:val="left"/>
            </w:pPr>
            <w:r/>
            <w:r>
              <w:rPr>
                <w:b/>
              </w:rPr>
              <w:t>No</w:t>
            </w:r>
            <w:r>
              <w:t xml:space="preserve"> (self-managed)</w:t>
            </w:r>
          </w:p>
        </w:tc>
      </w:tr>
      <w:tr>
        <w:tc>
          <w:tcPr>
            <w:tcW w:type="dxa" w:w="1568"/>
          </w:tcPr>
          <w:p>
            <w:pPr>
              <w:spacing w:after="20"/>
              <w:jc w:val="left"/>
            </w:pPr>
            <w:r/>
            <w:r>
              <w:t>SEG-006</w:t>
            </w:r>
          </w:p>
        </w:tc>
        <w:tc>
          <w:tcPr>
            <w:tcW w:type="dxa" w:w="1568"/>
          </w:tcPr>
          <w:p>
            <w:pPr>
              <w:spacing w:after="20"/>
              <w:jc w:val="left"/>
            </w:pPr>
            <w:r/>
            <w:r>
              <w:t>Light Node Layer</w:t>
            </w:r>
          </w:p>
        </w:tc>
        <w:tc>
          <w:tcPr>
            <w:tcW w:type="dxa" w:w="1568"/>
          </w:tcPr>
          <w:p>
            <w:pPr>
              <w:spacing w:after="20"/>
              <w:jc w:val="left"/>
            </w:pPr>
            <w:r/>
            <w:r>
              <w:t>Variable (unbounded)</w:t>
            </w:r>
          </w:p>
        </w:tc>
        <w:tc>
          <w:tcPr>
            <w:tcW w:type="dxa" w:w="1568"/>
          </w:tcPr>
          <w:p>
            <w:pPr>
              <w:spacing w:after="20"/>
              <w:jc w:val="left"/>
            </w:pPr>
            <w:r/>
            <w:r>
              <w:t>Global</w:t>
            </w:r>
          </w:p>
        </w:tc>
        <w:tc>
          <w:tcPr>
            <w:tcW w:type="dxa" w:w="1568"/>
          </w:tcPr>
          <w:p>
            <w:pPr>
              <w:spacing w:after="20"/>
              <w:jc w:val="left"/>
            </w:pPr>
            <w:r/>
            <w:r>
              <w:t>Lightweight client chain access via snap sync</w:t>
            </w:r>
          </w:p>
        </w:tc>
        <w:tc>
          <w:tcPr>
            <w:tcW w:type="dxa" w:w="1568"/>
          </w:tcPr>
          <w:p>
            <w:pPr>
              <w:spacing w:after="20"/>
              <w:jc w:val="left"/>
            </w:pPr>
            <w:r/>
            <w:r>
              <w:rPr>
                <w:b/>
              </w:rPr>
              <w:t>No</w:t>
            </w:r>
            <w:r>
              <w:t xml:space="preserve"> (self-operated)</w:t>
            </w:r>
          </w:p>
        </w:tc>
      </w:tr>
    </w:tbl>
    <w:p/>
    <w:p>
      <w:pPr>
        <w:pStyle w:val="Heading3"/>
        <w:spacing w:before="200" w:after="60"/>
      </w:pPr>
      <w:r>
        <w:t>4.2.4 Peer Connectivity Matrix</w:t>
      </w:r>
    </w:p>
    <w:p>
      <w:pPr>
        <w:spacing w:after="120"/>
      </w:pPr>
      <w:r>
        <w:t xml:space="preserve">The following defines all canonical peer connection paths in the Sentinel-L3 network. Connections marked as </w:t>
      </w:r>
      <w:r>
        <w:rPr>
          <w:b/>
        </w:rPr>
        <w:t>dedicated private link</w:t>
      </w:r>
      <w:r>
        <w:t xml:space="preserve"> are point-to-point VPN tunnels in addition to public p2p. All p2p connections use the libp2p stack with Noise protocol handshake and TLS 1.3 transport encryption.</w:t>
      </w:r>
    </w:p>
    <w:p>
      <w:pPr>
        <w:pStyle w:val="ListBullet"/>
        <w:spacing w:after="40"/>
      </w:pPr>
      <w:r>
        <w:rPr>
          <w:b/>
        </w:rPr>
        <w:t>SQ-PRIMARY ↔ SQ-FALLBACK:</w:t>
      </w:r>
      <w:r>
        <w:t xml:space="preserve"> Dedicated private link (VLAN-isolated VPN tunnel) + redundant public p2p connection. Heartbeat interval: 100ms. Used for sequencer state replication and failover signaling.</w:t>
      </w:r>
    </w:p>
    <w:p>
      <w:pPr>
        <w:pStyle w:val="ListBullet"/>
        <w:spacing w:after="40"/>
      </w:pPr>
      <w:r>
        <w:rPr>
          <w:b/>
        </w:rPr>
        <w:t>SQ-PRIMARY → All Validators (SEG-002):</w:t>
      </w:r>
      <w:r>
        <w:t xml:space="preserve"> Outbound connections from SQ-PRIMARY to all 12 validators. Block propagation path for newly produced blocks. Connection maintained persistently; reconnect-on-failure with exponential backoff.</w:t>
      </w:r>
    </w:p>
    <w:p>
      <w:pPr>
        <w:pStyle w:val="ListBullet"/>
        <w:spacing w:after="40"/>
      </w:pPr>
      <w:r>
        <w:rPr>
          <w:b/>
        </w:rPr>
        <w:t>SQ-FALLBACK → All Validators (SEG-002):</w:t>
      </w:r>
      <w:r>
        <w:t xml:space="preserve"> Same as SQ-PRIMARY; SQ-FALLBACK maintains its own independent connection set to all 12 validators to enable zero-lag promotion.</w:t>
      </w:r>
    </w:p>
    <w:p>
      <w:pPr>
        <w:pStyle w:val="ListBullet"/>
        <w:spacing w:after="40"/>
      </w:pPr>
      <w:r>
        <w:rPr>
          <w:b/>
        </w:rPr>
        <w:t>Validators ↔ Validators (Full Mesh):</w:t>
      </w:r>
      <w:r>
        <w:t xml:space="preserve"> 66 bidirectional peer pairs (12×11/2). All validators maintain persistent connections to all other validators for attestation gossip and fault proof coordination. No validator is a hub — all connections are peer-equivalent.</w:t>
      </w:r>
    </w:p>
    <w:p>
      <w:pPr>
        <w:pStyle w:val="ListBullet"/>
        <w:spacing w:after="40"/>
      </w:pPr>
      <w:r>
        <w:rPr>
          <w:b/>
        </w:rPr>
        <w:t>Validators → Archive Nodes (SEG-003):</w:t>
      </w:r>
      <w:r>
        <w:t xml:space="preserve"> One-directional gossip subscription. Archive nodes subscribe to validator gossip for block data ingestion. Archive nodes do not push data to validators.</w:t>
      </w:r>
    </w:p>
    <w:p>
      <w:pPr>
        <w:pStyle w:val="ListBullet"/>
        <w:spacing w:after="40"/>
      </w:pPr>
      <w:r>
        <w:rPr>
          <w:b/>
        </w:rPr>
        <w:t>TS Aggregators → All Regional Nodes:</w:t>
      </w:r>
      <w:r>
        <w:t xml:space="preserve"> Pull-based metric collection from TS-002 aggregators to all TS-001 agents in their region. Each aggregator is responsible for all managed nodes within its geographic region boundary.</w:t>
      </w:r>
    </w:p>
    <w:p>
      <w:pPr>
        <w:pStyle w:val="ListBullet"/>
        <w:spacing w:after="40"/>
      </w:pPr>
      <w:r>
        <w:rPr>
          <w:b/>
        </w:rPr>
        <w:t>Full Nodes (SEG-005) → Peers:</w:t>
      </w:r>
      <w:r>
        <w:t xml:space="preserve"> Each full node connects to up to 25 validators (from SEG-002) + up to 25 other full nodes (from SEG-005). Maximum 50 concurrent peer connections per full node enforced at the libp2p connection manager level.</w:t>
      </w:r>
    </w:p>
    <w:p>
      <w:pPr>
        <w:pStyle w:val="ListBullet"/>
        <w:spacing w:after="40"/>
      </w:pPr>
      <w:r>
        <w:rPr>
          <w:b/>
        </w:rPr>
        <w:t>Light Nodes (SEG-006) → Full Nodes:</w:t>
      </w:r>
      <w:r>
        <w:t xml:space="preserve"> Light nodes connect to 3–5 full nodes using the snap sync protocol. Light nodes do not connect to validators or sequencers directly.</w:t>
      </w:r>
    </w:p>
    <w:p>
      <w:pPr>
        <w:pStyle w:val="Heading3"/>
        <w:spacing w:before="200" w:after="60"/>
      </w:pPr>
      <w:r>
        <w:t>4.2.5 Version Registry Schema</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spacing w:after="20"/>
              <w:jc w:val="left"/>
            </w:pPr>
            <w:r>
              <w:rPr>
                <w:b/>
                <w:color w:val="FFFFFF"/>
              </w:rPr>
            </w:r>
            <w:r>
              <w:rPr>
                <w:b/>
                <w:color w:val="FFFFFF"/>
              </w:rPr>
              <w:t>Field</w:t>
            </w:r>
          </w:p>
        </w:tc>
        <w:tc>
          <w:tcPr>
            <w:tcW w:type="dxa" w:w="2351"/>
            <w:shd w:val="clear" w:color="auto" w:fill="1F3864"/>
          </w:tcPr>
          <w:p>
            <w:pPr>
              <w:spacing w:after="20"/>
              <w:jc w:val="left"/>
            </w:pPr>
            <w:r>
              <w:rPr>
                <w:b/>
                <w:color w:val="FFFFFF"/>
              </w:rPr>
            </w:r>
            <w:r>
              <w:rPr>
                <w:b/>
                <w:color w:val="FFFFFF"/>
              </w:rPr>
              <w:t>Type</w:t>
            </w:r>
          </w:p>
        </w:tc>
        <w:tc>
          <w:tcPr>
            <w:tcW w:type="dxa" w:w="2351"/>
            <w:shd w:val="clear" w:color="auto" w:fill="1F3864"/>
          </w:tcPr>
          <w:p>
            <w:pPr>
              <w:spacing w:after="20"/>
              <w:jc w:val="left"/>
            </w:pPr>
            <w:r>
              <w:rPr>
                <w:b/>
                <w:color w:val="FFFFFF"/>
              </w:rPr>
            </w:r>
            <w:r>
              <w:rPr>
                <w:b/>
                <w:color w:val="FFFFFF"/>
              </w:rPr>
              <w:t>Description</w:t>
            </w:r>
          </w:p>
        </w:tc>
        <w:tc>
          <w:tcPr>
            <w:tcW w:type="dxa" w:w="2351"/>
            <w:shd w:val="clear" w:color="auto" w:fill="1F3864"/>
          </w:tcPr>
          <w:p>
            <w:pPr>
              <w:spacing w:after="20"/>
              <w:jc w:val="left"/>
            </w:pPr>
            <w:r>
              <w:rPr>
                <w:b/>
                <w:color w:val="FFFFFF"/>
              </w:rPr>
            </w:r>
            <w:r>
              <w:rPr>
                <w:b/>
                <w:color w:val="FFFFFF"/>
              </w:rPr>
              <w:t>Updated By</w:t>
            </w:r>
          </w:p>
        </w:tc>
      </w:tr>
      <w:tr>
        <w:tc>
          <w:tcPr>
            <w:tcW w:type="dxa" w:w="2351"/>
          </w:tcPr>
          <w:p>
            <w:pPr>
              <w:spacing w:after="20"/>
              <w:jc w:val="left"/>
            </w:pPr>
            <w:r/>
            <w:r>
              <w:t>node_id</w:t>
            </w:r>
          </w:p>
        </w:tc>
        <w:tc>
          <w:tcPr>
            <w:tcW w:type="dxa" w:w="2351"/>
          </w:tcPr>
          <w:p>
            <w:pPr>
              <w:spacing w:after="20"/>
              <w:jc w:val="left"/>
            </w:pPr>
            <w:r/>
            <w:r>
              <w:t>UUID (v4)</w:t>
            </w:r>
          </w:p>
        </w:tc>
        <w:tc>
          <w:tcPr>
            <w:tcW w:type="dxa" w:w="2351"/>
          </w:tcPr>
          <w:p>
            <w:pPr>
              <w:spacing w:after="20"/>
              <w:jc w:val="left"/>
            </w:pPr>
            <w:r/>
            <w:r>
              <w:t>Globally unique identifier for the node. Assigned by NA-001 on first registration. Immutable after assignment.</w:t>
            </w:r>
          </w:p>
        </w:tc>
        <w:tc>
          <w:tcPr>
            <w:tcW w:type="dxa" w:w="2351"/>
          </w:tcPr>
          <w:p>
            <w:pPr>
              <w:spacing w:after="20"/>
              <w:jc w:val="left"/>
            </w:pPr>
            <w:r/>
            <w:r>
              <w:t>NA-001 (on first registration via NA-006 heartbeat)</w:t>
            </w:r>
          </w:p>
        </w:tc>
      </w:tr>
      <w:tr>
        <w:tc>
          <w:tcPr>
            <w:tcW w:type="dxa" w:w="2351"/>
          </w:tcPr>
          <w:p>
            <w:pPr>
              <w:spacing w:after="20"/>
              <w:jc w:val="left"/>
            </w:pPr>
            <w:r/>
            <w:r>
              <w:t>segment_id</w:t>
            </w:r>
          </w:p>
        </w:tc>
        <w:tc>
          <w:tcPr>
            <w:tcW w:type="dxa" w:w="2351"/>
          </w:tcPr>
          <w:p>
            <w:pPr>
              <w:spacing w:after="20"/>
              <w:jc w:val="left"/>
            </w:pPr>
            <w:r/>
            <w:r>
              <w:t>ENUM (SEG-001 through SEG-006)</w:t>
            </w:r>
          </w:p>
        </w:tc>
        <w:tc>
          <w:tcPr>
            <w:tcW w:type="dxa" w:w="2351"/>
          </w:tcPr>
          <w:p>
            <w:pPr>
              <w:spacing w:after="20"/>
              <w:jc w:val="left"/>
            </w:pPr>
            <w:r/>
            <w:r>
              <w:t>Network segment classification. Determines AUP ring eligibility and TS monitoring scope.</w:t>
            </w:r>
          </w:p>
        </w:tc>
        <w:tc>
          <w:tcPr>
            <w:tcW w:type="dxa" w:w="2351"/>
          </w:tcPr>
          <w:p>
            <w:pPr>
              <w:spacing w:after="20"/>
              <w:jc w:val="left"/>
            </w:pPr>
            <w:r/>
            <w:r>
              <w:t>NA-001 (static configuration at registration)</w:t>
            </w:r>
          </w:p>
        </w:tc>
      </w:tr>
      <w:tr>
        <w:tc>
          <w:tcPr>
            <w:tcW w:type="dxa" w:w="2351"/>
          </w:tcPr>
          <w:p>
            <w:pPr>
              <w:spacing w:after="20"/>
              <w:jc w:val="left"/>
            </w:pPr>
            <w:r/>
            <w:r>
              <w:t>client_version</w:t>
            </w:r>
          </w:p>
        </w:tc>
        <w:tc>
          <w:tcPr>
            <w:tcW w:type="dxa" w:w="2351"/>
          </w:tcPr>
          <w:p>
            <w:pPr>
              <w:spacing w:after="20"/>
              <w:jc w:val="left"/>
            </w:pPr>
            <w:r/>
            <w:r>
              <w:t xml:space="preserve">SemVer string (e.g., </w:t>
            </w:r>
            <w:r>
              <w:t>1.4.2</w:t>
            </w:r>
            <w:r>
              <w:t>)</w:t>
            </w:r>
          </w:p>
        </w:tc>
        <w:tc>
          <w:tcPr>
            <w:tcW w:type="dxa" w:w="2351"/>
          </w:tcPr>
          <w:p>
            <w:pPr>
              <w:spacing w:after="20"/>
              <w:jc w:val="left"/>
            </w:pPr>
            <w:r/>
            <w:r>
              <w:t>Current go-ethereum fork binary version running on the node.</w:t>
            </w:r>
          </w:p>
        </w:tc>
        <w:tc>
          <w:tcPr>
            <w:tcW w:type="dxa" w:w="2351"/>
          </w:tcPr>
          <w:p>
            <w:pPr>
              <w:spacing w:after="20"/>
              <w:jc w:val="left"/>
            </w:pPr>
            <w:r/>
            <w:r>
              <w:t>AUP-004 (post-upgrade execution); AUP-003 (pre-upgrade baseline query)</w:t>
            </w:r>
          </w:p>
        </w:tc>
      </w:tr>
      <w:tr>
        <w:tc>
          <w:tcPr>
            <w:tcW w:type="dxa" w:w="2351"/>
          </w:tcPr>
          <w:p>
            <w:pPr>
              <w:spacing w:after="20"/>
              <w:jc w:val="left"/>
            </w:pPr>
            <w:r/>
            <w:r>
              <w:t>protocol_version</w:t>
            </w:r>
          </w:p>
        </w:tc>
        <w:tc>
          <w:tcPr>
            <w:tcW w:type="dxa" w:w="2351"/>
          </w:tcPr>
          <w:p>
            <w:pPr>
              <w:spacing w:after="20"/>
              <w:jc w:val="left"/>
            </w:pPr>
            <w:r/>
            <w:r>
              <w:t xml:space="preserve">SemVer string (e.g., </w:t>
            </w:r>
            <w:r>
              <w:t>3.1.0</w:t>
            </w:r>
            <w:r>
              <w:t>)</w:t>
            </w:r>
          </w:p>
        </w:tc>
        <w:tc>
          <w:tcPr>
            <w:tcW w:type="dxa" w:w="2351"/>
          </w:tcPr>
          <w:p>
            <w:pPr>
              <w:spacing w:after="20"/>
              <w:jc w:val="left"/>
            </w:pPr>
            <w:r/>
            <w:r>
              <w:t>Sentinel L3 protocol version. May differ from client version in configurations where a single client binary supports multiple protocol versions.</w:t>
            </w:r>
          </w:p>
        </w:tc>
        <w:tc>
          <w:tcPr>
            <w:tcW w:type="dxa" w:w="2351"/>
          </w:tcPr>
          <w:p>
            <w:pPr>
              <w:spacing w:after="20"/>
              <w:jc w:val="left"/>
            </w:pPr>
            <w:r/>
            <w:r>
              <w:t>AUP-004 (post-upgrade execution)</w:t>
            </w:r>
          </w:p>
        </w:tc>
      </w:tr>
      <w:tr>
        <w:tc>
          <w:tcPr>
            <w:tcW w:type="dxa" w:w="2351"/>
          </w:tcPr>
          <w:p>
            <w:pPr>
              <w:spacing w:after="20"/>
              <w:jc w:val="left"/>
            </w:pPr>
            <w:r/>
            <w:r>
              <w:t>last_upgraded_at</w:t>
            </w:r>
          </w:p>
        </w:tc>
        <w:tc>
          <w:tcPr>
            <w:tcW w:type="dxa" w:w="2351"/>
          </w:tcPr>
          <w:p>
            <w:pPr>
              <w:spacing w:after="20"/>
              <w:jc w:val="left"/>
            </w:pPr>
            <w:r/>
            <w:r>
              <w:t>Unix timestamp (int64, seconds)</w:t>
            </w:r>
          </w:p>
        </w:tc>
        <w:tc>
          <w:tcPr>
            <w:tcW w:type="dxa" w:w="2351"/>
          </w:tcPr>
          <w:p>
            <w:pPr>
              <w:spacing w:after="20"/>
              <w:jc w:val="left"/>
            </w:pPr>
            <w:r/>
            <w:r>
              <w:t>Unix timestamp of the most recent successful AUP upgrade completion on this node.</w:t>
            </w:r>
          </w:p>
        </w:tc>
        <w:tc>
          <w:tcPr>
            <w:tcW w:type="dxa" w:w="2351"/>
          </w:tcPr>
          <w:p>
            <w:pPr>
              <w:spacing w:after="20"/>
              <w:jc w:val="left"/>
            </w:pPr>
            <w:r/>
            <w:r>
              <w:t>AUP-006 (on successful ring completion for this node)</w:t>
            </w:r>
          </w:p>
        </w:tc>
      </w:tr>
      <w:tr>
        <w:tc>
          <w:tcPr>
            <w:tcW w:type="dxa" w:w="2351"/>
          </w:tcPr>
          <w:p>
            <w:pPr>
              <w:spacing w:after="20"/>
              <w:jc w:val="left"/>
            </w:pPr>
            <w:r/>
            <w:r>
              <w:t>last_upgrade_manifest_hash</w:t>
            </w:r>
          </w:p>
        </w:tc>
        <w:tc>
          <w:tcPr>
            <w:tcW w:type="dxa" w:w="2351"/>
          </w:tcPr>
          <w:p>
            <w:pPr>
              <w:spacing w:after="20"/>
              <w:jc w:val="left"/>
            </w:pPr>
            <w:r/>
            <w:r>
              <w:t>SHA3-256 hex string (64 chars)</w:t>
            </w:r>
          </w:p>
        </w:tc>
        <w:tc>
          <w:tcPr>
            <w:tcW w:type="dxa" w:w="2351"/>
          </w:tcPr>
          <w:p>
            <w:pPr>
              <w:spacing w:after="20"/>
              <w:jc w:val="left"/>
            </w:pPr>
            <w:r/>
            <w:r>
              <w:t xml:space="preserve">Content hash of the most recently applied upgrade manifest. Verifiable against </w:t>
            </w:r>
            <w:r>
              <w:t>UpgradeRegistry.sol</w:t>
            </w:r>
            <w:r>
              <w:t xml:space="preserve"> on Base.</w:t>
            </w:r>
          </w:p>
        </w:tc>
        <w:tc>
          <w:tcPr>
            <w:tcW w:type="dxa" w:w="2351"/>
          </w:tcPr>
          <w:p>
            <w:pPr>
              <w:spacing w:after="20"/>
              <w:jc w:val="left"/>
            </w:pPr>
            <w:r/>
            <w:r>
              <w:t>AUP-006 (on successful ring completion for this node)</w:t>
            </w:r>
          </w:p>
        </w:tc>
      </w:tr>
      <w:tr>
        <w:tc>
          <w:tcPr>
            <w:tcW w:type="dxa" w:w="2351"/>
          </w:tcPr>
          <w:p>
            <w:pPr>
              <w:spacing w:after="20"/>
              <w:jc w:val="left"/>
            </w:pPr>
            <w:r/>
            <w:r>
              <w:t>telemetry_agent_version</w:t>
            </w:r>
          </w:p>
        </w:tc>
        <w:tc>
          <w:tcPr>
            <w:tcW w:type="dxa" w:w="2351"/>
          </w:tcPr>
          <w:p>
            <w:pPr>
              <w:spacing w:after="20"/>
              <w:jc w:val="left"/>
            </w:pPr>
            <w:r/>
            <w:r>
              <w:t>SemVer string</w:t>
            </w:r>
          </w:p>
        </w:tc>
        <w:tc>
          <w:tcPr>
            <w:tcW w:type="dxa" w:w="2351"/>
          </w:tcPr>
          <w:p>
            <w:pPr>
              <w:spacing w:after="20"/>
              <w:jc w:val="left"/>
            </w:pPr>
            <w:r/>
            <w:r>
              <w:t>Version of the TS-001 Telemetry Agent sidecar running on this node. Self-reported at startup and on each NA-006 heartbeat.</w:t>
            </w:r>
          </w:p>
        </w:tc>
        <w:tc>
          <w:tcPr>
            <w:tcW w:type="dxa" w:w="2351"/>
          </w:tcPr>
          <w:p>
            <w:pPr>
              <w:spacing w:after="20"/>
              <w:jc w:val="left"/>
            </w:pPr>
            <w:r/>
            <w:r>
              <w:t>TS-001 (self-report on startup and heartbeat)</w:t>
            </w:r>
          </w:p>
        </w:tc>
      </w:tr>
      <w:tr>
        <w:tc>
          <w:tcPr>
            <w:tcW w:type="dxa" w:w="2351"/>
          </w:tcPr>
          <w:p>
            <w:pPr>
              <w:spacing w:after="20"/>
              <w:jc w:val="left"/>
            </w:pPr>
            <w:r/>
            <w:r>
              <w:t>atlas_agent_version</w:t>
            </w:r>
          </w:p>
        </w:tc>
        <w:tc>
          <w:tcPr>
            <w:tcW w:type="dxa" w:w="2351"/>
          </w:tcPr>
          <w:p>
            <w:pPr>
              <w:spacing w:after="20"/>
              <w:jc w:val="left"/>
            </w:pPr>
            <w:r/>
            <w:r>
              <w:t>SemVer string</w:t>
            </w:r>
          </w:p>
        </w:tc>
        <w:tc>
          <w:tcPr>
            <w:tcW w:type="dxa" w:w="2351"/>
          </w:tcPr>
          <w:p>
            <w:pPr>
              <w:spacing w:after="20"/>
              <w:jc w:val="left"/>
            </w:pPr>
            <w:r/>
            <w:r>
              <w:t>Version of the NA-006 Atlas Sync Agent running on this node. Self-reported.</w:t>
            </w:r>
          </w:p>
        </w:tc>
        <w:tc>
          <w:tcPr>
            <w:tcW w:type="dxa" w:w="2351"/>
          </w:tcPr>
          <w:p>
            <w:pPr>
              <w:spacing w:after="20"/>
              <w:jc w:val="left"/>
            </w:pPr>
            <w:r/>
            <w:r>
              <w:t>NA-006 (self-report on startup and heartbeat)</w:t>
            </w:r>
          </w:p>
        </w:tc>
      </w:tr>
      <w:tr>
        <w:tc>
          <w:tcPr>
            <w:tcW w:type="dxa" w:w="2351"/>
          </w:tcPr>
          <w:p>
            <w:pPr>
              <w:spacing w:after="20"/>
              <w:jc w:val="left"/>
            </w:pPr>
            <w:r/>
            <w:r>
              <w:t>status</w:t>
            </w:r>
          </w:p>
        </w:tc>
        <w:tc>
          <w:tcPr>
            <w:tcW w:type="dxa" w:w="2351"/>
          </w:tcPr>
          <w:p>
            <w:pPr>
              <w:spacing w:after="20"/>
              <w:jc w:val="left"/>
            </w:pPr>
            <w:r/>
            <w:r>
              <w:t xml:space="preserve">ENUM: </w:t>
            </w:r>
            <w:r>
              <w:t>ACTIVE</w:t>
            </w:r>
            <w:r>
              <w:t xml:space="preserve"> / </w:t>
            </w:r>
            <w:r>
              <w:t>UPGRADING</w:t>
            </w:r>
            <w:r>
              <w:t xml:space="preserve"> / </w:t>
            </w:r>
            <w:r>
              <w:t>DEGRADED</w:t>
            </w:r>
            <w:r>
              <w:t xml:space="preserve"> / </w:t>
            </w:r>
            <w:r>
              <w:t>OFFLINE</w:t>
            </w:r>
          </w:p>
        </w:tc>
        <w:tc>
          <w:tcPr>
            <w:tcW w:type="dxa" w:w="2351"/>
          </w:tcPr>
          <w:p>
            <w:pPr>
              <w:spacing w:after="20"/>
              <w:jc w:val="left"/>
            </w:pPr>
            <w:r/>
            <w:r>
              <w:t>Current operational status of the node. Drives AUP targeting eligibility and TS alert severity context.</w:t>
            </w:r>
          </w:p>
        </w:tc>
        <w:tc>
          <w:tcPr>
            <w:tcW w:type="dxa" w:w="2351"/>
          </w:tcPr>
          <w:p>
            <w:pPr>
              <w:spacing w:after="20"/>
              <w:jc w:val="left"/>
            </w:pPr>
            <w:r/>
            <w:r>
              <w:t>TS-007 (anomaly score crossing thresholds); AUP-003 (sets UPGRADING during ring execution); AUP-005 (sets DEGRADED on rollback); NA-006 heartbeat timeout (sets OFFLINE)</w:t>
            </w:r>
          </w:p>
        </w:tc>
      </w:tr>
      <w:tr>
        <w:tc>
          <w:tcPr>
            <w:tcW w:type="dxa" w:w="2351"/>
          </w:tcPr>
          <w:p>
            <w:pPr>
              <w:spacing w:after="20"/>
              <w:jc w:val="left"/>
            </w:pPr>
            <w:r/>
            <w:r>
              <w:t>geo_region</w:t>
            </w:r>
          </w:p>
        </w:tc>
        <w:tc>
          <w:tcPr>
            <w:tcW w:type="dxa" w:w="2351"/>
          </w:tcPr>
          <w:p>
            <w:pPr>
              <w:spacing w:after="20"/>
              <w:jc w:val="left"/>
            </w:pPr>
            <w:r/>
            <w:r>
              <w:t xml:space="preserve">String (region code, e.g., </w:t>
            </w:r>
            <w:r>
              <w:t>us-east-1</w:t>
            </w:r>
            <w:r>
              <w:t>)</w:t>
            </w:r>
          </w:p>
        </w:tc>
        <w:tc>
          <w:tcPr>
            <w:tcW w:type="dxa" w:w="2351"/>
          </w:tcPr>
          <w:p>
            <w:pPr>
              <w:spacing w:after="20"/>
              <w:jc w:val="left"/>
            </w:pPr>
            <w:r/>
            <w:r>
              <w:t>Geographic region code derived from node IP via MaxMind GeoIP2. Used by TS-006 for regional alert routing and by NA-007 for geographic distribution histogram in Atlas snapshots.</w:t>
            </w:r>
          </w:p>
        </w:tc>
        <w:tc>
          <w:tcPr>
            <w:tcW w:type="dxa" w:w="2351"/>
          </w:tcPr>
          <w:p>
            <w:pPr>
              <w:spacing w:after="20"/>
              <w:jc w:val="left"/>
            </w:pPr>
            <w:r/>
            <w:r>
              <w:t>NA-004 (derived from node registration IP; re-evaluated on IP change)</w:t>
            </w:r>
          </w:p>
        </w:tc>
      </w:tr>
    </w:tbl>
    <w:p/>
    <w:p>
      <w:pPr>
        <w:pStyle w:val="Heading2"/>
        <w:spacing w:before="280" w:after="80"/>
      </w:pPr>
      <w:r>
        <w:t>4.3 Atlas Integration Points</w:t>
      </w:r>
    </w:p>
    <w:p>
      <w:pPr>
        <w:pStyle w:val="Heading3"/>
        <w:spacing w:before="200" w:after="60"/>
      </w:pPr>
      <w:r>
        <w:t>4.3.1 Atlas ↔ AUP Integration</w:t>
      </w:r>
    </w:p>
    <w:p>
      <w:pPr>
        <w:pStyle w:val="ListBullet"/>
        <w:spacing w:after="40"/>
      </w:pPr>
      <w:r>
        <w:rPr>
          <w:b/>
        </w:rPr>
        <w:t>Upgrade Targeting:</w:t>
      </w:r>
      <w:r>
        <w:t xml:space="preserve"> Before scheduling each ring, AUP-003 queries NA-005 for the enumerated list of nodes in the target ring's segment(s) with status ACTIVE. AUP-003 will not target nodes with status DEGRADED, OFFLINE, or already UPGRADING. This ensures the AUP never applies an upgrade to an already-compromised node.</w:t>
      </w:r>
    </w:p>
    <w:p>
      <w:pPr>
        <w:pStyle w:val="ListBullet"/>
        <w:spacing w:after="40"/>
      </w:pPr>
      <w:r>
        <w:rPr>
          <w:b/>
        </w:rPr>
        <w:t>Version Registry Updates:</w:t>
      </w:r>
      <w:r>
        <w:t xml:space="preserve"> AUP-004 writes updated </w:t>
      </w:r>
      <w:r>
        <w:t>client_version</w:t>
      </w:r>
      <w:r>
        <w:t xml:space="preserve"> and </w:t>
      </w:r>
      <w:r>
        <w:t>protocol_version</w:t>
      </w:r>
      <w:r>
        <w:t xml:space="preserve"> to NA-003 via NA-005 gRPC API immediately after each node's upgrade execution completes. This write is authenticated with the AUP signing key.</w:t>
      </w:r>
    </w:p>
    <w:p>
      <w:pPr>
        <w:pStyle w:val="ListBullet"/>
        <w:spacing w:after="40"/>
      </w:pPr>
      <w:r>
        <w:rPr>
          <w:b/>
        </w:rPr>
        <w:t>Rollback Scope Determination:</w:t>
      </w:r>
      <w:r>
        <w:t xml:space="preserve"> AUP-005 uses the Atlas node list (queried at ring entry time and cached for the ring duration) to determine the exact scope of nodes to which rollback must be applied. The cached list is used rather than a live query to prevent scope drift during rollback execution.</w:t>
      </w:r>
    </w:p>
    <w:p>
      <w:pPr>
        <w:pStyle w:val="ListBullet"/>
        <w:spacing w:after="40"/>
      </w:pPr>
      <w:r>
        <w:rPr>
          <w:b/>
        </w:rPr>
        <w:t>Topology Snapshot on Upgrade Completion:</w:t>
      </w:r>
      <w:r>
        <w:t xml:space="preserve"> NA-007 publishes a new signed Atlas snapshot to IPFS after every successful full upgrade cycle (all rings complete). The IPFS CID of this snapshot is submitted to </w:t>
      </w:r>
      <w:r>
        <w:t>AtlasRegistry.sol</w:t>
      </w:r>
      <w:r>
        <w:t xml:space="preserve"> on Base by AUP-006 as part of the post-upgrade audit record.</w:t>
      </w:r>
    </w:p>
    <w:p>
      <w:pPr>
        <w:pStyle w:val="Heading3"/>
        <w:spacing w:before="200" w:after="60"/>
      </w:pPr>
      <w:r>
        <w:t>4.3.2 Atlas ↔ Telemetry Integration</w:t>
      </w:r>
    </w:p>
    <w:p>
      <w:pPr>
        <w:pStyle w:val="ListBullet"/>
        <w:spacing w:after="40"/>
      </w:pPr>
      <w:r>
        <w:rPr>
          <w:b/>
        </w:rPr>
        <w:t>Node Registration:</w:t>
      </w:r>
      <w:r>
        <w:t xml:space="preserve"> When a new managed node starts up, NA-006 sends a registration heartbeat to NA-001, which creates the node record. TS-001, co-located on the same node, registers with NA-006 on startup, triggering NA-001 to set the </w:t>
      </w:r>
      <w:r>
        <w:t>telemetry_agent_version</w:t>
      </w:r>
      <w:r>
        <w:t xml:space="preserve"> field. TS-002 aggregators query NA-005 to build their expected-node inventory for their region.</w:t>
      </w:r>
    </w:p>
    <w:p>
      <w:pPr>
        <w:pStyle w:val="ListBullet"/>
        <w:spacing w:after="40"/>
      </w:pPr>
      <w:r>
        <w:rPr>
          <w:b/>
        </w:rPr>
        <w:t>Monitoring Scope Enumeration:</w:t>
      </w:r>
      <w:r>
        <w:t xml:space="preserve"> TS-002 aggregators poll NA-005 every 60 seconds to refresh their list of expected nodes in their geographic region. If a node appears in NA-001 with no corresponding TS-001 data arriving at the regional aggregator within 30 seconds of expected cadence, TS-006 generates a monitoring gap alert.</w:t>
      </w:r>
    </w:p>
    <w:p>
      <w:pPr>
        <w:pStyle w:val="ListBullet"/>
        <w:spacing w:after="40"/>
      </w:pPr>
      <w:r>
        <w:rPr>
          <w:b/>
        </w:rPr>
        <w:t>Geographic Alert Routing:</w:t>
      </w:r>
      <w:r>
        <w:t xml:space="preserve"> TS-006 queries NA-004 geo data (exposed via NA-005) to determine the geographic region of any node generating an alert. Regional on-call contact routing tables in TS-006 are keyed by NA-004 region codes, ensuring alerts are routed to the operator team geographically responsible for the affected node's datacenter.</w:t>
      </w:r>
    </w:p>
    <w:p>
      <w:pPr>
        <w:pStyle w:val="ListBullet"/>
        <w:spacing w:after="40"/>
      </w:pPr>
      <w:r>
        <w:rPr>
          <w:b/>
        </w:rPr>
        <w:t>Status Field Synchronization:</w:t>
      </w:r>
      <w:r>
        <w:t xml:space="preserve"> TS-007 pushes node status updates (NOMINAL → DEGRADED → CRITICAL) back to NA-001 via NA-005 API, updating the </w:t>
      </w:r>
      <w:r>
        <w:t>status</w:t>
      </w:r>
      <w:r>
        <w:t xml:space="preserve"> field in the Version Registry. This creates a unified health view in the Atlas visible to both AUP and human operators.</w:t>
      </w:r>
    </w:p>
    <w:p>
      <w:pPr>
        <w:pStyle w:val="Heading3"/>
        <w:spacing w:before="200" w:after="60"/>
      </w:pPr>
      <w:r>
        <w:t>4.3.3 Atlas Integration with Base Mainnet</w:t>
      </w:r>
    </w:p>
    <w:p>
      <w:pPr>
        <w:pStyle w:val="ListBullet"/>
        <w:spacing w:after="40"/>
      </w:pPr>
      <w:r>
        <w:rPr>
          <w:b/>
        </w:rPr>
        <w:t>Epoch Snapshot Publishing:</w:t>
      </w:r>
      <w:r>
        <w:t xml:space="preserve"> NA-007 publishes signed Atlas snapshots to IPFS every epoch (7,200 L2 blocks, ~24 hours). The snapshot is signed by keys held by 2-of-3 Atlas Aggregator nodes (SEG-004), requiring a threshold signature before publication is accepted by </w:t>
      </w:r>
      <w:r>
        <w:t>AtlasRegistry.sol</w:t>
      </w:r>
      <w:r>
        <w:t>.</w:t>
      </w:r>
    </w:p>
    <w:p>
      <w:pPr>
        <w:pStyle w:val="ListBullet"/>
        <w:spacing w:after="40"/>
      </w:pPr>
      <w:r>
        <w:rPr>
          <w:b/>
        </w:rPr>
        <w:t>Snapshot Contents:</w:t>
      </w:r>
      <w:r>
        <w:t xml:space="preserve"> Each snapshot contains: total node count by segment, version histogram (distribution of protocol versions across fleet), Merkle root of the full node registry (enabling third-party verification of individual node entries), and the L2 block number at which the snapshot was generated.</w:t>
      </w:r>
    </w:p>
    <w:p>
      <w:pPr>
        <w:pStyle w:val="ListBullet"/>
        <w:spacing w:after="40"/>
      </w:pPr>
      <w:r>
        <w:rPr>
          <w:b/>
        </w:rPr>
        <w:t>On-Chain Verifiability:</w:t>
      </w:r>
      <w:r>
        <w:t xml:space="preserve"> Any party can verify network topology claims by fetching the snapshot CID from </w:t>
      </w:r>
      <w:r>
        <w:t>AtlasRegistry.sol</w:t>
      </w:r>
      <w:r>
        <w:t>, downloading the snapshot from IPFS, and verifying the Merkle proof for any specific node entry. This enables trustless verification of fleet composition without access to the Atlas API.</w:t>
      </w:r>
    </w:p>
    <w:p>
      <w:pPr>
        <w:pStyle w:val="ListBullet"/>
        <w:spacing w:after="40"/>
      </w:pPr>
      <w:r>
        <w:rPr>
          <w:b/>
        </w:rPr>
        <w:t>L2 Contract Enforcement:</w:t>
      </w:r>
      <w:r>
        <w:t>AtlasRegistry.sol</w:t>
      </w:r>
      <w:r>
        <w:t xml:space="preserve"> enforces that submitted snapshots must be signed by a valid 2-of-3 threshold signature from the registered Atlas Aggregator node keys. Invalid or stale snapshots (more than 2 epochs old) are rejected by the contract.</w:t>
      </w:r>
    </w:p>
    <w:p>
      <w:pPr>
        <w:spacing w:after="80"/>
      </w:pPr>
      <w:r>
        <w:t>============================================================</w:t>
      </w:r>
    </w:p>
    <w:p>
      <w:pPr>
        <w:spacing w:after="80"/>
      </w:pPr>
      <w:r>
        <w:t>SECTION 5 — CROSS-SUBSYSTEM INTEGRATION MATRIX</w:t>
      </w:r>
    </w:p>
    <w:p>
      <w:pPr>
        <w:spacing w:after="80"/>
      </w:pPr>
      <w:r>
        <w:t>============================================================</w:t>
      </w:r>
    </w:p>
    <w:p>
      <w:pPr>
        <w:pStyle w:val="Heading1"/>
        <w:spacing w:before="360" w:after="120"/>
      </w:pPr>
      <w:r>
        <w:t>Section 5 — Cross-Subsystem Integration Matrix</w:t>
      </w:r>
    </w:p>
    <w:p>
      <w:pPr>
        <w:spacing w:after="40"/>
      </w:pPr>
    </w:p>
    <w:p>
      <w:pPr>
        <w:pStyle w:val="Heading2"/>
        <w:spacing w:before="280" w:after="80"/>
      </w:pPr>
      <w:r>
        <w:t>5.1 Integration Overview</w:t>
      </w:r>
    </w:p>
    <w:p>
      <w:pPr>
        <w:spacing w:after="120"/>
      </w:pPr>
      <w:r>
        <w:t xml:space="preserve">The three Sentinel-L3 subsystems — the Autonomous Upgrade Pipeline (AUP), the Telemetry System (TS), and the Network Atlas (NA) — are not independent systems. They form an </w:t>
      </w:r>
      <w:r>
        <w:rPr>
          <w:b/>
        </w:rPr>
        <w:t>integrated operational control loop</w:t>
      </w:r>
      <w:r>
        <w:t xml:space="preserve"> in which each subsystem is both a producer and consumer of data from the others. No subsystem can fulfill its core function without the other two operating correctly. This tight integration is by design: it eliminates silos between upgrade execution, observability, and topology awareness that would otherwise require manual coordination.</w:t>
      </w:r>
    </w:p>
    <w:p>
      <w:pPr>
        <w:spacing w:after="120"/>
      </w:pPr>
      <w:r>
        <w:t>The dependency structure is as follows:</w:t>
      </w:r>
    </w:p>
    <w:p>
      <w:pPr>
        <w:pStyle w:val="ListBullet"/>
        <w:spacing w:after="40"/>
      </w:pPr>
      <w:r>
        <w:rPr>
          <w:b/>
        </w:rPr>
        <w:t>AUP depends on Atlas</w:t>
      </w:r>
      <w:r>
        <w:t xml:space="preserve"> for node enumeration and upgrade targeting (which nodes to upgrade, in which order, at which ring boundary). AUP depends on </w:t>
      </w:r>
      <w:r>
        <w:rPr>
          <w:b/>
        </w:rPr>
        <w:t>Telemetry</w:t>
      </w:r>
      <w:r>
        <w:t xml:space="preserve"> for upgrade health gating (whether to proceed, pause, or roll back at each ring boundary).</w:t>
      </w:r>
    </w:p>
    <w:p>
      <w:pPr>
        <w:pStyle w:val="ListBullet"/>
        <w:spacing w:after="40"/>
      </w:pPr>
      <w:r>
        <w:rPr>
          <w:b/>
        </w:rPr>
        <w:t>Telemetry depends on Atlas</w:t>
      </w:r>
      <w:r>
        <w:t xml:space="preserve"> for monitoring scope definition (which nodes to expect data from, which regions to route alerts to). Telemetry depends on </w:t>
      </w:r>
      <w:r>
        <w:rPr>
          <w:b/>
        </w:rPr>
        <w:t>AUP</w:t>
      </w:r>
      <w:r>
        <w:t xml:space="preserve"> for upgrade event stream ingestion (STR-005), enabling correlation of anomaly spikes with specific upgrade steps.</w:t>
      </w:r>
    </w:p>
    <w:p>
      <w:pPr>
        <w:pStyle w:val="ListBullet"/>
        <w:spacing w:after="40"/>
      </w:pPr>
      <w:r>
        <w:rPr>
          <w:b/>
        </w:rPr>
        <w:t>Atlas depends on AUP</w:t>
      </w:r>
      <w:r>
        <w:t xml:space="preserve"> for version registry updates (what version is each node running after each upgrade). Atlas depends on </w:t>
      </w:r>
      <w:r>
        <w:rPr>
          <w:b/>
        </w:rPr>
        <w:t>Telemetry</w:t>
      </w:r>
      <w:r>
        <w:t xml:space="preserve"> for node status updates (the TS-007 → NA-001 status feedback loop is the primary mechanism for marking nodes DEGRADED or OFFLINE in the Atlas).</w:t>
      </w:r>
    </w:p>
    <w:p>
      <w:pPr>
        <w:spacing w:after="120"/>
      </w:pPr>
      <w:r>
        <w:t>The result is a closed-loop system where upgrade execution is fully observed by Telemetry, topology state is continuously updated by both AUP and Telemetry, and the Atlas provides the ground truth that both AUP and Telemetry use to scope their operations.</w:t>
      </w:r>
    </w:p>
    <w:p>
      <w:pPr>
        <w:pStyle w:val="Heading2"/>
        <w:spacing w:before="280" w:after="80"/>
      </w:pPr>
      <w:r>
        <w:t>5.2 End-to-End Integration Flow (Upgrade Scenario)</w:t>
      </w:r>
    </w:p>
    <w:p>
      <w:pPr>
        <w:spacing w:after="120"/>
      </w:pPr>
      <w:r>
        <w:t>The following numbered walkthrough traces a complete upgrade lifecycle, identifying which modules from each subsystem are active at each step:</w:t>
      </w:r>
    </w:p>
    <w:p>
      <w:pPr>
        <w:pStyle w:val="ListNumber"/>
        <w:spacing w:after="40"/>
      </w:pPr>
      <w:r>
        <w:rPr>
          <w:b/>
        </w:rPr>
        <w:t>Governance Passage — AUP-007, NA-005 (read)</w:t>
      </w:r>
      <w:r>
        <w:br/>
        <w:t xml:space="preserve">            AUP-007 detects </w:t>
      </w:r>
      <w:r>
        <w:t>ProposalPassed</w:t>
      </w:r>
      <w:r>
        <w:t xml:space="preserve"> event on Base. AUP-003 immediately queries NA-005 to capture a baseline Atlas snapshot (version histogram, node count per segment, current status distribution). This baseline is used for post-upgrade comparison in the final audit record.</w:t>
        <w:br/>
        <w:t xml:space="preserve">        </w:t>
      </w:r>
    </w:p>
    <w:p>
      <w:pPr>
        <w:pStyle w:val="ListNumber"/>
        <w:spacing w:after="40"/>
      </w:pPr>
      <w:r>
        <w:rPr>
          <w:b/>
        </w:rPr>
        <w:t>Manifest Ingestion — AUP-001, AUP-002</w:t>
      </w:r>
      <w:r>
        <w:br/>
        <w:t xml:space="preserve">            AUP-001 fetches the manifest from IPFS and validates schema and content hash. AUP-002 runs static compatibility analysis against current fleet state (queried from NA-003 via NA-005). AUP-006 writes the ingestion event to the audit log.</w:t>
        <w:br/>
        <w:t xml:space="preserve">        </w:t>
      </w:r>
    </w:p>
    <w:p>
      <w:pPr>
        <w:pStyle w:val="ListNumber"/>
        <w:spacing w:after="40"/>
      </w:pPr>
      <w:r>
        <w:rPr>
          <w:b/>
        </w:rPr>
        <w:t>Ring 0 Targeting — AUP-003, NA-005 (read)</w:t>
      </w:r>
      <w:r>
        <w:br/>
        <w:t xml:space="preserve">            AUP-003 queries NA-005 for all nodes in the devnet shadow segment. NA-005 returns node IDs with current status ACTIVE. AUP-003 sets the Ring 0 target block height and writes the ring schedule to internal state. AUP-006 logs the ring schedule.</w:t>
        <w:br/>
        <w:t xml:space="preserve">        </w:t>
      </w:r>
    </w:p>
    <w:p>
      <w:pPr>
        <w:pStyle w:val="ListNumber"/>
        <w:spacing w:after="40"/>
      </w:pPr>
      <w:r>
        <w:rPr>
          <w:b/>
        </w:rPr>
        <w:t>Ring 0 Execution — AUP-004, TS-001 (elevated sampling)</w:t>
      </w:r>
      <w:r>
        <w:br/>
        <w:t xml:space="preserve">            AUP-004 applies manifest steps to Ring 0 nodes. TS-001 agents on all Ring 0 nodes enter elevated sampling mode (cadence reduced by 50%). NA-003 node status is set to UPGRADING for each Ring 0 node by AUP-003. TS-003 begins monitoring anomaly scores for Ring 0 nodes at elevated frequency.</w:t>
        <w:br/>
        <w:t xml:space="preserve">        </w:t>
      </w:r>
    </w:p>
    <w:p>
      <w:pPr>
        <w:pStyle w:val="ListNumber"/>
        <w:spacing w:after="40"/>
      </w:pPr>
      <w:r>
        <w:rPr>
          <w:b/>
        </w:rPr>
        <w:t>Ring 0 Health Check — TS-007 → AUP-005, NA-003 (write)</w:t>
      </w:r>
      <w:r>
        <w:br/>
        <w:t xml:space="preserve">            AUP-005 polls TS-007 throughout the 15-minute Ring 0 observation window. If all Ring 0 nodes remain NOMINAL (score &lt;0.50), AUP-005 issues a ring-exit approval signal. AUP-004 writes updated </w:t>
      </w:r>
      <w:r>
        <w:t>client_version</w:t>
      </w:r>
      <w:r>
        <w:t xml:space="preserve"> and </w:t>
      </w:r>
      <w:r>
        <w:t>protocol_version</w:t>
      </w:r>
      <w:r>
        <w:t xml:space="preserve"> to NA-003 for each successfully upgraded Ring 0 node. Node status is set back to ACTIVE in NA-001.</w:t>
        <w:br/>
        <w:t xml:space="preserve">        </w:t>
      </w:r>
    </w:p>
    <w:p>
      <w:pPr>
        <w:pStyle w:val="ListNumber"/>
        <w:spacing w:after="40"/>
      </w:pPr>
      <w:r>
        <w:rPr>
          <w:b/>
        </w:rPr>
        <w:t>Ring 1 through Ring 4 Progression — Same Pattern, Escalating Scope</w:t>
      </w:r>
      <w:r>
        <w:br/>
        <w:t xml:space="preserve">            The AUP-003 → AUP-004 → AUP-005 ↔ TS-007 → NA-003 cycle repeats for each ring, with escalating node scope: 1 validator (Ring 1), 3 validators (Ring 2), 9 validators + 4 archive + 3 telemetry aggregators (Ring 3), 2 sequencers (Ring 4). At each ring, TS-001 agents across all newly targeted nodes enter elevated sampling mode, and TS-003 adapts its fleet-wide anomaly scoring to include the new ring's nodes. NA-003 is updated incrementally as each ring completes.</w:t>
        <w:br/>
        <w:t xml:space="preserve">        </w:t>
      </w:r>
    </w:p>
    <w:p>
      <w:pPr>
        <w:pStyle w:val="ListNumber"/>
        <w:spacing w:after="40"/>
      </w:pPr>
      <w:r>
        <w:rPr>
          <w:b/>
        </w:rPr>
        <w:t>Final Audit — AUP-006, NA-007, AuditAnchor.sol, AtlasRegistry.sol</w:t>
      </w:r>
      <w:r>
        <w:br/>
        <w:t xml:space="preserve">            AUP-006 computes the Merkle root of the complete upgrade audit log batch (all ring entries, health check records, and version update confirmations). AUP-006 submits this Merkle root to </w:t>
      </w:r>
      <w:r>
        <w:t>AuditAnchor.sol</w:t>
      </w:r>
      <w:r>
        <w:t xml:space="preserve"> on Base. Concurrently, NA-007 generates a new signed Atlas snapshot reflecting the post-upgrade fleet state (updated version histogram, all node statuses ACTIVE), publishes it to IPFS, and submits the CID to </w:t>
      </w:r>
      <w:r>
        <w:t>AtlasRegistry.sol</w:t>
      </w:r>
      <w:r>
        <w:t xml:space="preserve"> on Base.</w:t>
        <w:br/>
        <w:t xml:space="preserve">        </w:t>
      </w:r>
    </w:p>
    <w:p>
      <w:pPr>
        <w:pStyle w:val="ListNumber"/>
        <w:spacing w:after="40"/>
      </w:pPr>
      <w:r>
        <w:rPr>
          <w:b/>
        </w:rPr>
        <w:t>Dashboard Update — TS-008, NA-003 (read)</w:t>
      </w:r>
      <w:r>
        <w:br/>
        <w:t xml:space="preserve">            TS-008 (Grafana) refreshes its version distribution histogram panel by querying NA-003 via NA-005. Operators see the updated protocol version distribution across the fleet within 60 seconds of NA-003 being written by AUP-004. The TS-008 upgrade timeline panel shows the complete ring progression history sourced from STR-005 events in TS-005.</w:t>
        <w:br/>
        <w:t xml:space="preserve">        </w:t>
      </w:r>
    </w:p>
    <w:p>
      <w:pPr>
        <w:pStyle w:val="Heading2"/>
        <w:spacing w:before="280" w:after="80"/>
      </w:pPr>
      <w:r>
        <w:t>5.3 Integration API Surface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3864"/>
          </w:tcPr>
          <w:p>
            <w:pPr>
              <w:spacing w:after="20"/>
              <w:jc w:val="left"/>
            </w:pPr>
            <w:r>
              <w:rPr>
                <w:b/>
                <w:color w:val="FFFFFF"/>
              </w:rPr>
            </w:r>
            <w:r>
              <w:rPr>
                <w:b/>
                <w:color w:val="FFFFFF"/>
              </w:rPr>
              <w:t>API</w:t>
            </w:r>
          </w:p>
        </w:tc>
        <w:tc>
          <w:tcPr>
            <w:tcW w:type="dxa" w:w="1568"/>
            <w:shd w:val="clear" w:color="auto" w:fill="1F3864"/>
          </w:tcPr>
          <w:p>
            <w:pPr>
              <w:spacing w:after="20"/>
              <w:jc w:val="left"/>
            </w:pPr>
            <w:r>
              <w:rPr>
                <w:b/>
                <w:color w:val="FFFFFF"/>
              </w:rPr>
            </w:r>
            <w:r>
              <w:rPr>
                <w:b/>
                <w:color w:val="FFFFFF"/>
              </w:rPr>
              <w:t>Provider</w:t>
            </w:r>
          </w:p>
        </w:tc>
        <w:tc>
          <w:tcPr>
            <w:tcW w:type="dxa" w:w="1568"/>
            <w:shd w:val="clear" w:color="auto" w:fill="1F3864"/>
          </w:tcPr>
          <w:p>
            <w:pPr>
              <w:spacing w:after="20"/>
              <w:jc w:val="left"/>
            </w:pPr>
            <w:r>
              <w:rPr>
                <w:b/>
                <w:color w:val="FFFFFF"/>
              </w:rPr>
            </w:r>
            <w:r>
              <w:rPr>
                <w:b/>
                <w:color w:val="FFFFFF"/>
              </w:rPr>
              <w:t>Consumer(s)</w:t>
            </w:r>
          </w:p>
        </w:tc>
        <w:tc>
          <w:tcPr>
            <w:tcW w:type="dxa" w:w="1568"/>
            <w:shd w:val="clear" w:color="auto" w:fill="1F3864"/>
          </w:tcPr>
          <w:p>
            <w:pPr>
              <w:spacing w:after="20"/>
              <w:jc w:val="left"/>
            </w:pPr>
            <w:r>
              <w:rPr>
                <w:b/>
                <w:color w:val="FFFFFF"/>
              </w:rPr>
            </w:r>
            <w:r>
              <w:rPr>
                <w:b/>
                <w:color w:val="FFFFFF"/>
              </w:rPr>
              <w:t>Protocol</w:t>
            </w:r>
          </w:p>
        </w:tc>
        <w:tc>
          <w:tcPr>
            <w:tcW w:type="dxa" w:w="1568"/>
            <w:shd w:val="clear" w:color="auto" w:fill="1F3864"/>
          </w:tcPr>
          <w:p>
            <w:pPr>
              <w:spacing w:after="20"/>
              <w:jc w:val="left"/>
            </w:pPr>
            <w:r>
              <w:rPr>
                <w:b/>
                <w:color w:val="FFFFFF"/>
              </w:rPr>
            </w:r>
            <w:r>
              <w:rPr>
                <w:b/>
                <w:color w:val="FFFFFF"/>
              </w:rPr>
              <w:t>Authentication</w:t>
            </w:r>
          </w:p>
        </w:tc>
        <w:tc>
          <w:tcPr>
            <w:tcW w:type="dxa" w:w="1568"/>
            <w:shd w:val="clear" w:color="auto" w:fill="1F3864"/>
          </w:tcPr>
          <w:p>
            <w:pPr>
              <w:spacing w:after="20"/>
              <w:jc w:val="left"/>
            </w:pPr>
            <w:r>
              <w:rPr>
                <w:b/>
                <w:color w:val="FFFFFF"/>
              </w:rPr>
            </w:r>
            <w:r>
              <w:rPr>
                <w:b/>
                <w:color w:val="FFFFFF"/>
              </w:rPr>
              <w:t>SLA</w:t>
            </w:r>
          </w:p>
        </w:tc>
      </w:tr>
      <w:tr>
        <w:tc>
          <w:tcPr>
            <w:tcW w:type="dxa" w:w="1568"/>
          </w:tcPr>
          <w:p>
            <w:pPr>
              <w:spacing w:after="20"/>
              <w:jc w:val="left"/>
            </w:pPr>
            <w:r/>
            <w:r>
              <w:t>Atlas Node List API</w:t>
            </w:r>
          </w:p>
        </w:tc>
        <w:tc>
          <w:tcPr>
            <w:tcW w:type="dxa" w:w="1568"/>
          </w:tcPr>
          <w:p>
            <w:pPr>
              <w:spacing w:after="20"/>
              <w:jc w:val="left"/>
            </w:pPr>
            <w:r/>
            <w:r>
              <w:t>NA-005</w:t>
            </w:r>
          </w:p>
        </w:tc>
        <w:tc>
          <w:tcPr>
            <w:tcW w:type="dxa" w:w="1568"/>
          </w:tcPr>
          <w:p>
            <w:pPr>
              <w:spacing w:after="20"/>
              <w:jc w:val="left"/>
            </w:pPr>
            <w:r/>
            <w:r>
              <w:t>AUP-003, TS-002</w:t>
            </w:r>
          </w:p>
        </w:tc>
        <w:tc>
          <w:tcPr>
            <w:tcW w:type="dxa" w:w="1568"/>
          </w:tcPr>
          <w:p>
            <w:pPr>
              <w:spacing w:after="20"/>
              <w:jc w:val="left"/>
            </w:pPr>
            <w:r/>
            <w:r>
              <w:t>gRPC (+ REST gateway)</w:t>
            </w:r>
          </w:p>
        </w:tc>
        <w:tc>
          <w:tcPr>
            <w:tcW w:type="dxa" w:w="1568"/>
          </w:tcPr>
          <w:p>
            <w:pPr>
              <w:spacing w:after="20"/>
              <w:jc w:val="left"/>
            </w:pPr>
            <w:r/>
            <w:r>
              <w:t>mTLS + SPIFFE SVID</w:t>
            </w:r>
          </w:p>
        </w:tc>
        <w:tc>
          <w:tcPr>
            <w:tcW w:type="dxa" w:w="1568"/>
          </w:tcPr>
          <w:p>
            <w:pPr>
              <w:spacing w:after="20"/>
              <w:jc w:val="left"/>
            </w:pPr>
            <w:r/>
            <w:r>
              <w:rPr>
                <w:b/>
              </w:rPr>
              <w:t>99.9%</w:t>
            </w:r>
          </w:p>
        </w:tc>
      </w:tr>
      <w:tr>
        <w:tc>
          <w:tcPr>
            <w:tcW w:type="dxa" w:w="1568"/>
          </w:tcPr>
          <w:p>
            <w:pPr>
              <w:spacing w:after="20"/>
              <w:jc w:val="left"/>
            </w:pPr>
            <w:r/>
            <w:r>
              <w:t>Telemetry Health API</w:t>
            </w:r>
          </w:p>
        </w:tc>
        <w:tc>
          <w:tcPr>
            <w:tcW w:type="dxa" w:w="1568"/>
          </w:tcPr>
          <w:p>
            <w:pPr>
              <w:spacing w:after="20"/>
              <w:jc w:val="left"/>
            </w:pPr>
            <w:r/>
            <w:r>
              <w:t>TS-007</w:t>
            </w:r>
          </w:p>
        </w:tc>
        <w:tc>
          <w:tcPr>
            <w:tcW w:type="dxa" w:w="1568"/>
          </w:tcPr>
          <w:p>
            <w:pPr>
              <w:spacing w:after="20"/>
              <w:jc w:val="left"/>
            </w:pPr>
            <w:r/>
            <w:r>
              <w:t>AUP-005</w:t>
            </w:r>
          </w:p>
        </w:tc>
        <w:tc>
          <w:tcPr>
            <w:tcW w:type="dxa" w:w="1568"/>
          </w:tcPr>
          <w:p>
            <w:pPr>
              <w:spacing w:after="20"/>
              <w:jc w:val="left"/>
            </w:pPr>
            <w:r/>
            <w:r>
              <w:t>gRPC</w:t>
            </w:r>
          </w:p>
        </w:tc>
        <w:tc>
          <w:tcPr>
            <w:tcW w:type="dxa" w:w="1568"/>
          </w:tcPr>
          <w:p>
            <w:pPr>
              <w:spacing w:after="20"/>
              <w:jc w:val="left"/>
            </w:pPr>
            <w:r/>
            <w:r>
              <w:t>mTLS + SPIFFE SVID</w:t>
            </w:r>
          </w:p>
        </w:tc>
        <w:tc>
          <w:tcPr>
            <w:tcW w:type="dxa" w:w="1568"/>
          </w:tcPr>
          <w:p>
            <w:pPr>
              <w:spacing w:after="20"/>
              <w:jc w:val="left"/>
            </w:pPr>
            <w:r/>
            <w:r>
              <w:rPr>
                <w:b/>
              </w:rPr>
              <w:t>99.99%</w:t>
            </w:r>
            <w:r>
              <w:t xml:space="preserve"> (highest SLA in the stack)</w:t>
            </w:r>
          </w:p>
        </w:tc>
      </w:tr>
      <w:tr>
        <w:tc>
          <w:tcPr>
            <w:tcW w:type="dxa" w:w="1568"/>
          </w:tcPr>
          <w:p>
            <w:pPr>
              <w:spacing w:after="20"/>
              <w:jc w:val="left"/>
            </w:pPr>
            <w:r/>
            <w:r>
              <w:t>Version Registry Write API</w:t>
            </w:r>
          </w:p>
        </w:tc>
        <w:tc>
          <w:tcPr>
            <w:tcW w:type="dxa" w:w="1568"/>
          </w:tcPr>
          <w:p>
            <w:pPr>
              <w:spacing w:after="20"/>
              <w:jc w:val="left"/>
            </w:pPr>
            <w:r/>
            <w:r>
              <w:t>NA-003 (via NA-005)</w:t>
            </w:r>
          </w:p>
        </w:tc>
        <w:tc>
          <w:tcPr>
            <w:tcW w:type="dxa" w:w="1568"/>
          </w:tcPr>
          <w:p>
            <w:pPr>
              <w:spacing w:after="20"/>
              <w:jc w:val="left"/>
            </w:pPr>
            <w:r/>
            <w:r>
              <w:t>AUP-004</w:t>
            </w:r>
          </w:p>
        </w:tc>
        <w:tc>
          <w:tcPr>
            <w:tcW w:type="dxa" w:w="1568"/>
          </w:tcPr>
          <w:p>
            <w:pPr>
              <w:spacing w:after="20"/>
              <w:jc w:val="left"/>
            </w:pPr>
            <w:r/>
            <w:r>
              <w:t>gRPC</w:t>
            </w:r>
          </w:p>
        </w:tc>
        <w:tc>
          <w:tcPr>
            <w:tcW w:type="dxa" w:w="1568"/>
          </w:tcPr>
          <w:p>
            <w:pPr>
              <w:spacing w:after="20"/>
              <w:jc w:val="left"/>
            </w:pPr>
            <w:r/>
            <w:r>
              <w:t>mTLS + AUP execution signing key</w:t>
            </w:r>
          </w:p>
        </w:tc>
        <w:tc>
          <w:tcPr>
            <w:tcW w:type="dxa" w:w="1568"/>
          </w:tcPr>
          <w:p>
            <w:pPr>
              <w:spacing w:after="20"/>
              <w:jc w:val="left"/>
            </w:pPr>
            <w:r/>
            <w:r>
              <w:rPr>
                <w:b/>
              </w:rPr>
              <w:t>99.9%</w:t>
            </w:r>
          </w:p>
        </w:tc>
      </w:tr>
      <w:tr>
        <w:tc>
          <w:tcPr>
            <w:tcW w:type="dxa" w:w="1568"/>
          </w:tcPr>
          <w:p>
            <w:pPr>
              <w:spacing w:after="20"/>
              <w:jc w:val="left"/>
            </w:pPr>
            <w:r/>
            <w:r>
              <w:t>Atlas Heartbeat API</w:t>
            </w:r>
          </w:p>
        </w:tc>
        <w:tc>
          <w:tcPr>
            <w:tcW w:type="dxa" w:w="1568"/>
          </w:tcPr>
          <w:p>
            <w:pPr>
              <w:spacing w:after="20"/>
              <w:jc w:val="left"/>
            </w:pPr>
            <w:r/>
            <w:r>
              <w:t>NA-006 (via NA-001)</w:t>
            </w:r>
          </w:p>
        </w:tc>
        <w:tc>
          <w:tcPr>
            <w:tcW w:type="dxa" w:w="1568"/>
          </w:tcPr>
          <w:p>
            <w:pPr>
              <w:spacing w:after="20"/>
              <w:jc w:val="left"/>
            </w:pPr>
            <w:r/>
            <w:r>
              <w:t>TS-001, NA-006 agents on managed nodes</w:t>
            </w:r>
          </w:p>
        </w:tc>
        <w:tc>
          <w:tcPr>
            <w:tcW w:type="dxa" w:w="1568"/>
          </w:tcPr>
          <w:p>
            <w:pPr>
              <w:spacing w:after="20"/>
              <w:jc w:val="left"/>
            </w:pPr>
            <w:r/>
            <w:r>
              <w:t>gRPC</w:t>
            </w:r>
          </w:p>
        </w:tc>
        <w:tc>
          <w:tcPr>
            <w:tcW w:type="dxa" w:w="1568"/>
          </w:tcPr>
          <w:p>
            <w:pPr>
              <w:spacing w:after="20"/>
              <w:jc w:val="left"/>
            </w:pPr>
            <w:r/>
            <w:r>
              <w:t>Node certificate (CA-issued per node)</w:t>
            </w:r>
          </w:p>
        </w:tc>
        <w:tc>
          <w:tcPr>
            <w:tcW w:type="dxa" w:w="1568"/>
          </w:tcPr>
          <w:p>
            <w:pPr>
              <w:spacing w:after="20"/>
              <w:jc w:val="left"/>
            </w:pPr>
            <w:r/>
            <w:r>
              <w:rPr>
                <w:b/>
              </w:rPr>
              <w:t>99.5%</w:t>
            </w:r>
          </w:p>
        </w:tc>
      </w:tr>
      <w:tr>
        <w:tc>
          <w:tcPr>
            <w:tcW w:type="dxa" w:w="1568"/>
          </w:tcPr>
          <w:p>
            <w:pPr>
              <w:spacing w:after="20"/>
              <w:jc w:val="left"/>
            </w:pPr>
            <w:r/>
            <w:r>
              <w:t>AUP Audit Event Stream</w:t>
            </w:r>
          </w:p>
        </w:tc>
        <w:tc>
          <w:tcPr>
            <w:tcW w:type="dxa" w:w="1568"/>
          </w:tcPr>
          <w:p>
            <w:pPr>
              <w:spacing w:after="20"/>
              <w:jc w:val="left"/>
            </w:pPr>
            <w:r/>
            <w:r>
              <w:t>AUP-006</w:t>
            </w:r>
          </w:p>
        </w:tc>
        <w:tc>
          <w:tcPr>
            <w:tcW w:type="dxa" w:w="1568"/>
          </w:tcPr>
          <w:p>
            <w:pPr>
              <w:spacing w:after="20"/>
              <w:jc w:val="left"/>
            </w:pPr>
            <w:r/>
            <w:r>
              <w:t>TS-005 (ClickHouse ingestion)</w:t>
            </w:r>
          </w:p>
        </w:tc>
        <w:tc>
          <w:tcPr>
            <w:tcW w:type="dxa" w:w="1568"/>
          </w:tcPr>
          <w:p>
            <w:pPr>
              <w:spacing w:after="20"/>
              <w:jc w:val="left"/>
            </w:pPr>
            <w:r/>
            <w:r>
              <w:t>Kafka topic (</w:t>
            </w:r>
            <w:r>
              <w:t>sentinel.aup.audit</w:t>
            </w:r>
            <w:r>
              <w:t>)</w:t>
            </w:r>
          </w:p>
        </w:tc>
        <w:tc>
          <w:tcPr>
            <w:tcW w:type="dxa" w:w="1568"/>
          </w:tcPr>
          <w:p>
            <w:pPr>
              <w:spacing w:after="20"/>
              <w:jc w:val="left"/>
            </w:pPr>
            <w:r/>
            <w:r>
              <w:t>mTLS (Kafka SASL/SSL)</w:t>
            </w:r>
          </w:p>
        </w:tc>
        <w:tc>
          <w:tcPr>
            <w:tcW w:type="dxa" w:w="1568"/>
          </w:tcPr>
          <w:p>
            <w:pPr>
              <w:spacing w:after="20"/>
              <w:jc w:val="left"/>
            </w:pPr>
            <w:r/>
            <w:r>
              <w:t>Best-effort (Kafka at-least-once delivery)</w:t>
            </w:r>
          </w:p>
        </w:tc>
      </w:tr>
      <w:tr>
        <w:tc>
          <w:tcPr>
            <w:tcW w:type="dxa" w:w="1568"/>
          </w:tcPr>
          <w:p>
            <w:pPr>
              <w:spacing w:after="20"/>
              <w:jc w:val="left"/>
            </w:pPr>
            <w:r/>
            <w:r>
              <w:t>Atlas Snapshot API (public)</w:t>
            </w:r>
          </w:p>
        </w:tc>
        <w:tc>
          <w:tcPr>
            <w:tcW w:type="dxa" w:w="1568"/>
          </w:tcPr>
          <w:p>
            <w:pPr>
              <w:spacing w:after="20"/>
              <w:jc w:val="left"/>
            </w:pPr>
            <w:r/>
            <w:r>
              <w:t>NA-007 (IPFS + AtlasRegistry.sol)</w:t>
            </w:r>
          </w:p>
        </w:tc>
        <w:tc>
          <w:tcPr>
            <w:tcW w:type="dxa" w:w="1568"/>
          </w:tcPr>
          <w:p>
            <w:pPr>
              <w:spacing w:after="20"/>
              <w:jc w:val="left"/>
            </w:pPr>
            <w:r/>
            <w:r>
              <w:t>Base L2 contract verifiers; external observers; AUP-006 audit records</w:t>
            </w:r>
          </w:p>
        </w:tc>
        <w:tc>
          <w:tcPr>
            <w:tcW w:type="dxa" w:w="1568"/>
          </w:tcPr>
          <w:p>
            <w:pPr>
              <w:spacing w:after="20"/>
              <w:jc w:val="left"/>
            </w:pPr>
            <w:r/>
            <w:r>
              <w:t>HTTPS (IPFS gateway) + Ethereum JSON-RPC (contract read)</w:t>
            </w:r>
          </w:p>
        </w:tc>
        <w:tc>
          <w:tcPr>
            <w:tcW w:type="dxa" w:w="1568"/>
          </w:tcPr>
          <w:p>
            <w:pPr>
              <w:spacing w:after="20"/>
              <w:jc w:val="left"/>
            </w:pPr>
            <w:r/>
            <w:r>
              <w:t>Public (no auth); snapshot signature verified on-chain</w:t>
            </w:r>
          </w:p>
        </w:tc>
        <w:tc>
          <w:tcPr>
            <w:tcW w:type="dxa" w:w="1568"/>
          </w:tcPr>
          <w:p>
            <w:pPr>
              <w:spacing w:after="20"/>
              <w:jc w:val="left"/>
            </w:pPr>
            <w:r/>
            <w:r>
              <w:t>Per-epoch (best-effort IPFS availability)</w:t>
            </w:r>
          </w:p>
        </w:tc>
      </w:tr>
    </w:tbl>
    <w:p/>
    <w:p>
      <w:pPr>
        <w:spacing w:after="80"/>
      </w:pPr>
      <w:r>
        <w:t>============================================================</w:t>
      </w:r>
    </w:p>
    <w:p>
      <w:pPr>
        <w:spacing w:after="80"/>
      </w:pPr>
      <w:r>
        <w:t>SECTION 6 — PRODUCTION OPERATIONS</w:t>
      </w:r>
    </w:p>
    <w:p>
      <w:pPr>
        <w:spacing w:after="80"/>
      </w:pPr>
      <w:r>
        <w:t>============================================================</w:t>
      </w:r>
    </w:p>
    <w:p>
      <w:pPr>
        <w:pStyle w:val="Heading1"/>
        <w:spacing w:before="360" w:after="120"/>
      </w:pPr>
      <w:r>
        <w:t>Section 6 — Production Operations</w:t>
      </w:r>
    </w:p>
    <w:p>
      <w:pPr>
        <w:spacing w:after="40"/>
      </w:pPr>
    </w:p>
    <w:p>
      <w:pPr>
        <w:pStyle w:val="Heading2"/>
        <w:spacing w:before="280" w:after="80"/>
      </w:pPr>
      <w:r>
        <w:t>6.1 Runbook Summary</w:t>
      </w:r>
    </w:p>
    <w:p>
      <w:pPr>
        <w:spacing w:after="120"/>
      </w:pPr>
      <w:r>
        <w:t>The following runbook identifiers reference the internal operational procedures documentation. Each runbook is maintained in the Sentinel internal knowledge base and is version-controlled alongside the codebase. Runbooks are tested quarterly in disaster recovery exercises. Contact the on-call engineering team or the Sentinel Core Engineering lead for access.</w:t>
      </w:r>
    </w:p>
    <w:p>
      <w:pPr>
        <w:pStyle w:val="ListBullet"/>
        <w:spacing w:after="40"/>
      </w:pPr>
      <w:r>
        <w:rPr>
          <w:b/>
        </w:rPr>
        <w:t>RB-AUP-001:</w:t>
      </w:r>
      <w:r>
        <w:t xml:space="preserve"> Initiating an emergency upgrade halt via Security Council multisig. Covers </w:t>
      </w:r>
      <w:r>
        <w:t>EmergencyCouncil.sol</w:t>
      </w:r>
      <w:r>
        <w:t xml:space="preserve"> transaction construction, AUP-003 halt verification, and post-halt state validation.</w:t>
      </w:r>
    </w:p>
    <w:p>
      <w:pPr>
        <w:pStyle w:val="ListBullet"/>
        <w:spacing w:after="40"/>
      </w:pPr>
      <w:r>
        <w:rPr>
          <w:b/>
        </w:rPr>
        <w:t>RB-AUP-002:</w:t>
      </w:r>
      <w:r>
        <w:t xml:space="preserve"> Manual ring advance override. Covers the procedure for manually advancing AUP ring progression when automated observation window completion is blocked. Requires Engineering Lead approval and audit log entry.</w:t>
      </w:r>
    </w:p>
    <w:p>
      <w:pPr>
        <w:pStyle w:val="ListBullet"/>
        <w:spacing w:after="40"/>
      </w:pPr>
      <w:r>
        <w:rPr>
          <w:b/>
        </w:rPr>
        <w:t>RB-AUP-003:</w:t>
      </w:r>
      <w:r>
        <w:t xml:space="preserve"> Rollback initiation and verification. Covers manual rollback trigger, rollback step verification, post-rollback health confirmation via TS-007, and root cause analysis initiation protocol.</w:t>
      </w:r>
    </w:p>
    <w:p>
      <w:pPr>
        <w:pStyle w:val="ListBullet"/>
        <w:spacing w:after="40"/>
      </w:pPr>
      <w:r>
        <w:rPr>
          <w:b/>
        </w:rPr>
        <w:t>RB-TS-001:</w:t>
      </w:r>
      <w:r>
        <w:t xml:space="preserve"> Telemetry aggregator failover. Covers procedure for promoting a standby TS-002 aggregator instance, verifying metric stream continuity, and updating NA-001 node status for the failed aggregator.</w:t>
      </w:r>
    </w:p>
    <w:p>
      <w:pPr>
        <w:pStyle w:val="ListBullet"/>
        <w:spacing w:after="40"/>
      </w:pPr>
      <w:r>
        <w:rPr>
          <w:b/>
        </w:rPr>
        <w:t>RB-TS-002:</w:t>
      </w:r>
      <w:r>
        <w:t xml:space="preserve"> Responding to a CRITICAL anomaly score alert (TS-007 score &gt;0.85). Covers triage procedure, AUP-005 rollback confirmation, incident creation, and escalation paths to Security Council if chain halt is suspected.</w:t>
      </w:r>
    </w:p>
    <w:p>
      <w:pPr>
        <w:pStyle w:val="ListBullet"/>
        <w:spacing w:after="40"/>
      </w:pPr>
      <w:r>
        <w:rPr>
          <w:b/>
        </w:rPr>
        <w:t>RB-NA-001:</w:t>
      </w:r>
      <w:r>
        <w:t xml:space="preserve"> Atlas snapshot verification failure. Covers procedure for diagnosing </w:t>
      </w:r>
      <w:r>
        <w:t>AtlasRegistry.sol</w:t>
      </w:r>
      <w:r>
        <w:t xml:space="preserve"> submission failure, re-triggering NA-007 snapshot publication, and escalation if IPFS availability is degraded.</w:t>
      </w:r>
    </w:p>
    <w:p>
      <w:pPr>
        <w:pStyle w:val="ListBullet"/>
        <w:spacing w:after="40"/>
      </w:pPr>
      <w:r>
        <w:rPr>
          <w:b/>
        </w:rPr>
        <w:t>RB-NA-002:</w:t>
      </w:r>
      <w:r>
        <w:t xml:space="preserve"> Node registration failure during upgrade. Covers procedure for re-registering a node with NA-001 when NA-006 heartbeat is missing during AUP ring execution, including whether to proceed with the ring or pause for manual verification.</w:t>
      </w:r>
    </w:p>
    <w:p>
      <w:pPr>
        <w:pStyle w:val="Heading2"/>
        <w:spacing w:before="280" w:after="80"/>
      </w:pPr>
      <w:r>
        <w:t>6.2 SLA Definitions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spacing w:after="20"/>
              <w:jc w:val="left"/>
            </w:pPr>
            <w:r>
              <w:rPr>
                <w:b/>
                <w:color w:val="FFFFFF"/>
              </w:rPr>
            </w:r>
            <w:r>
              <w:rPr>
                <w:b/>
                <w:color w:val="FFFFFF"/>
              </w:rPr>
              <w:t>Component</w:t>
            </w:r>
          </w:p>
        </w:tc>
        <w:tc>
          <w:tcPr>
            <w:tcW w:type="dxa" w:w="2351"/>
            <w:shd w:val="clear" w:color="auto" w:fill="1F3864"/>
          </w:tcPr>
          <w:p>
            <w:pPr>
              <w:spacing w:after="20"/>
              <w:jc w:val="left"/>
            </w:pPr>
            <w:r>
              <w:rPr>
                <w:b/>
                <w:color w:val="FFFFFF"/>
              </w:rPr>
            </w:r>
            <w:r>
              <w:rPr>
                <w:b/>
                <w:color w:val="FFFFFF"/>
              </w:rPr>
              <w:t>Availability Target</w:t>
            </w:r>
          </w:p>
        </w:tc>
        <w:tc>
          <w:tcPr>
            <w:tcW w:type="dxa" w:w="2351"/>
            <w:shd w:val="clear" w:color="auto" w:fill="1F3864"/>
          </w:tcPr>
          <w:p>
            <w:pPr>
              <w:spacing w:after="20"/>
              <w:jc w:val="left"/>
            </w:pPr>
            <w:r>
              <w:rPr>
                <w:b/>
                <w:color w:val="FFFFFF"/>
              </w:rPr>
            </w:r>
            <w:r>
              <w:rPr>
                <w:b/>
                <w:color w:val="FFFFFF"/>
              </w:rPr>
              <w:t>Max Tolerated Downtime (Monthly)</w:t>
            </w:r>
          </w:p>
        </w:tc>
        <w:tc>
          <w:tcPr>
            <w:tcW w:type="dxa" w:w="2351"/>
            <w:shd w:val="clear" w:color="auto" w:fill="1F3864"/>
          </w:tcPr>
          <w:p>
            <w:pPr>
              <w:spacing w:after="20"/>
              <w:jc w:val="left"/>
            </w:pPr>
            <w:r>
              <w:rPr>
                <w:b/>
                <w:color w:val="FFFFFF"/>
              </w:rPr>
            </w:r>
            <w:r>
              <w:rPr>
                <w:b/>
                <w:color w:val="FFFFFF"/>
              </w:rPr>
              <w:t>Degraded Mode Capability</w:t>
            </w:r>
          </w:p>
        </w:tc>
      </w:tr>
      <w:tr>
        <w:tc>
          <w:tcPr>
            <w:tcW w:type="dxa" w:w="2351"/>
          </w:tcPr>
          <w:p>
            <w:pPr>
              <w:spacing w:after="20"/>
              <w:jc w:val="left"/>
            </w:pPr>
            <w:r/>
            <w:r>
              <w:rPr>
                <w:b/>
              </w:rPr>
              <w:t>Sequencer Cluster</w:t>
            </w:r>
          </w:p>
        </w:tc>
        <w:tc>
          <w:tcPr>
            <w:tcW w:type="dxa" w:w="2351"/>
          </w:tcPr>
          <w:p>
            <w:pPr>
              <w:spacing w:after="20"/>
              <w:jc w:val="left"/>
            </w:pPr>
            <w:r/>
            <w:r>
              <w:t>99.95%</w:t>
            </w:r>
          </w:p>
        </w:tc>
        <w:tc>
          <w:tcPr>
            <w:tcW w:type="dxa" w:w="2351"/>
          </w:tcPr>
          <w:p>
            <w:pPr>
              <w:spacing w:after="20"/>
              <w:jc w:val="left"/>
            </w:pPr>
            <w:r/>
            <w:r>
              <w:t>21.6 minutes</w:t>
            </w:r>
          </w:p>
        </w:tc>
        <w:tc>
          <w:tcPr>
            <w:tcW w:type="dxa" w:w="2351"/>
          </w:tcPr>
          <w:p>
            <w:pPr>
              <w:spacing w:after="20"/>
              <w:jc w:val="left"/>
            </w:pPr>
            <w:r/>
            <w:r>
              <w:t>SQ-FALLBACK auto-promotes within 3 missed blocks (~750ms); no block production gap expected if failover succeeds within SLA</w:t>
            </w:r>
          </w:p>
        </w:tc>
      </w:tr>
      <w:tr>
        <w:tc>
          <w:tcPr>
            <w:tcW w:type="dxa" w:w="2351"/>
          </w:tcPr>
          <w:p>
            <w:pPr>
              <w:spacing w:after="20"/>
              <w:jc w:val="left"/>
            </w:pPr>
            <w:r/>
            <w:r>
              <w:rPr>
                <w:b/>
              </w:rPr>
              <w:t>Validator Ring</w:t>
            </w:r>
          </w:p>
        </w:tc>
        <w:tc>
          <w:tcPr>
            <w:tcW w:type="dxa" w:w="2351"/>
          </w:tcPr>
          <w:p>
            <w:pPr>
              <w:spacing w:after="20"/>
              <w:jc w:val="left"/>
            </w:pPr>
            <w:r/>
            <w:r>
              <w:t>99.90%</w:t>
            </w:r>
          </w:p>
        </w:tc>
        <w:tc>
          <w:tcPr>
            <w:tcW w:type="dxa" w:w="2351"/>
          </w:tcPr>
          <w:p>
            <w:pPr>
              <w:spacing w:after="20"/>
              <w:jc w:val="left"/>
            </w:pPr>
            <w:r/>
            <w:r>
              <w:t>43.2 minutes</w:t>
            </w:r>
          </w:p>
        </w:tc>
        <w:tc>
          <w:tcPr>
            <w:tcW w:type="dxa" w:w="2351"/>
          </w:tcPr>
          <w:p>
            <w:pPr>
              <w:spacing w:after="20"/>
              <w:jc w:val="left"/>
            </w:pPr>
            <w:r/>
            <w:r>
              <w:t>Network continues attestation and fault proof participation with ≥7 of 12 validators active; below 7 validators triggers P0 incident</w:t>
            </w:r>
          </w:p>
        </w:tc>
      </w:tr>
      <w:tr>
        <w:tc>
          <w:tcPr>
            <w:tcW w:type="dxa" w:w="2351"/>
          </w:tcPr>
          <w:p>
            <w:pPr>
              <w:spacing w:after="20"/>
              <w:jc w:val="left"/>
            </w:pPr>
            <w:r/>
            <w:r>
              <w:rPr>
                <w:b/>
              </w:rPr>
              <w:t>Telemetry System</w:t>
            </w:r>
          </w:p>
        </w:tc>
        <w:tc>
          <w:tcPr>
            <w:tcW w:type="dxa" w:w="2351"/>
          </w:tcPr>
          <w:p>
            <w:pPr>
              <w:spacing w:after="20"/>
              <w:jc w:val="left"/>
            </w:pPr>
            <w:r/>
            <w:r>
              <w:t>99.50%</w:t>
            </w:r>
          </w:p>
        </w:tc>
        <w:tc>
          <w:tcPr>
            <w:tcW w:type="dxa" w:w="2351"/>
          </w:tcPr>
          <w:p>
            <w:pPr>
              <w:spacing w:after="20"/>
              <w:jc w:val="left"/>
            </w:pPr>
            <w:r/>
            <w:r>
              <w:t>3.6 hours</w:t>
            </w:r>
          </w:p>
        </w:tc>
        <w:tc>
          <w:tcPr>
            <w:tcW w:type="dxa" w:w="2351"/>
          </w:tcPr>
          <w:p>
            <w:pPr>
              <w:spacing w:after="20"/>
              <w:jc w:val="left"/>
            </w:pPr>
            <w:r/>
            <w:r>
              <w:t>AUP automatically pauses all upgrade ring progressions when TS-007 becomes unavailable; manual operator override available per RB-AUP-002; monitoring gap alert generated</w:t>
            </w:r>
          </w:p>
        </w:tc>
      </w:tr>
      <w:tr>
        <w:tc>
          <w:tcPr>
            <w:tcW w:type="dxa" w:w="2351"/>
          </w:tcPr>
          <w:p>
            <w:pPr>
              <w:spacing w:after="20"/>
              <w:jc w:val="left"/>
            </w:pPr>
            <w:r/>
            <w:r>
              <w:rPr>
                <w:b/>
              </w:rPr>
              <w:t>Network Atlas</w:t>
            </w:r>
          </w:p>
        </w:tc>
        <w:tc>
          <w:tcPr>
            <w:tcW w:type="dxa" w:w="2351"/>
          </w:tcPr>
          <w:p>
            <w:pPr>
              <w:spacing w:after="20"/>
              <w:jc w:val="left"/>
            </w:pPr>
            <w:r/>
            <w:r>
              <w:t>99.90%</w:t>
            </w:r>
          </w:p>
        </w:tc>
        <w:tc>
          <w:tcPr>
            <w:tcW w:type="dxa" w:w="2351"/>
          </w:tcPr>
          <w:p>
            <w:pPr>
              <w:spacing w:after="20"/>
              <w:jc w:val="left"/>
            </w:pPr>
            <w:r/>
            <w:r>
              <w:t>43.2 minutes</w:t>
            </w:r>
          </w:p>
        </w:tc>
        <w:tc>
          <w:tcPr>
            <w:tcW w:type="dxa" w:w="2351"/>
          </w:tcPr>
          <w:p>
            <w:pPr>
              <w:spacing w:after="20"/>
              <w:jc w:val="left"/>
            </w:pPr>
            <w:r/>
            <w:r>
              <w:t>AUP-003 uses last cached Atlas snapshot (max 60-second age) for ring targeting; active upgrades are paused rather than using stale data beyond the cache TTL; operators notified via TS-006</w:t>
            </w:r>
          </w:p>
        </w:tc>
      </w:tr>
      <w:tr>
        <w:tc>
          <w:tcPr>
            <w:tcW w:type="dxa" w:w="2351"/>
          </w:tcPr>
          <w:p>
            <w:pPr>
              <w:spacing w:after="20"/>
              <w:jc w:val="left"/>
            </w:pPr>
            <w:r/>
            <w:r>
              <w:rPr>
                <w:b/>
              </w:rPr>
              <w:t>Autonomous Upgrade Pipeline</w:t>
            </w:r>
          </w:p>
        </w:tc>
        <w:tc>
          <w:tcPr>
            <w:tcW w:type="dxa" w:w="2351"/>
          </w:tcPr>
          <w:p>
            <w:pPr>
              <w:spacing w:after="20"/>
              <w:jc w:val="left"/>
            </w:pPr>
            <w:r/>
            <w:r>
              <w:t>99.90%</w:t>
            </w:r>
          </w:p>
        </w:tc>
        <w:tc>
          <w:tcPr>
            <w:tcW w:type="dxa" w:w="2351"/>
          </w:tcPr>
          <w:p>
            <w:pPr>
              <w:spacing w:after="20"/>
              <w:jc w:val="left"/>
            </w:pPr>
            <w:r/>
            <w:r>
              <w:t>43.2 minutes</w:t>
            </w:r>
          </w:p>
        </w:tc>
        <w:tc>
          <w:tcPr>
            <w:tcW w:type="dxa" w:w="2351"/>
          </w:tcPr>
          <w:p>
            <w:pPr>
              <w:spacing w:after="20"/>
              <w:jc w:val="left"/>
            </w:pPr>
            <w:r/>
            <w:r>
              <w:t>Manual upgrade procedures per RB-AUP-001 are documented and tested; no automated upgrades occur during AUP downtime; network continues operating at current protocol version</w:t>
            </w:r>
          </w:p>
        </w:tc>
      </w:tr>
    </w:tbl>
    <w:p/>
    <w:p>
      <w:pPr>
        <w:spacing w:after="80"/>
      </w:pPr>
      <w:r>
        <w:t>NOTE — SLA MEASUREMENT</w:t>
      </w:r>
    </w:p>
    <w:p>
      <w:pPr>
        <w:spacing w:after="120"/>
      </w:pPr>
      <w:r>
        <w:t>SLA availability is measured as the percentage of time each component's primary function is available per calendar month. SLA measurements exclude planned maintenance windows (maximum 4 hours per month, announced ≥48 hours in advance). Availability data is sourced from TS-004 and reported monthly by Sentinel Core Engineering.</w:t>
      </w:r>
    </w:p>
    <w:p>
      <w:pPr>
        <w:pStyle w:val="Heading2"/>
        <w:spacing w:before="280" w:after="80"/>
      </w:pPr>
      <w:r>
        <w:t>6.3 Security Model</w:t>
      </w:r>
    </w:p>
    <w:p>
      <w:pPr>
        <w:spacing w:after="120"/>
      </w:pPr>
      <w:r>
        <w:t>The Sentinel-L3 security model is predicated on defense-in-depth across identity, transport, key management, and supply chain. The following are the canonical security controls in effect for all production systems:</w:t>
      </w:r>
    </w:p>
    <w:p>
      <w:pPr>
        <w:pStyle w:val="ListBullet"/>
        <w:spacing w:after="40"/>
      </w:pPr>
      <w:r>
        <w:rPr>
          <w:b/>
        </w:rPr>
        <w:t>Inter-Service Transport:</w:t>
      </w:r>
      <w:r>
        <w:t xml:space="preserve"> All communication between Sentinel subsystem components (AUP ↔ TS ↔ NA ↔ Base contracts) is secured via </w:t>
      </w:r>
      <w:r>
        <w:rPr>
          <w:b/>
        </w:rPr>
        <w:t>mutual TLS (mTLS)</w:t>
      </w:r>
      <w:r>
        <w:t xml:space="preserve"> with certificates issued and rotated by a SPIFFE/SPIRE deployment. All services validate peer SVID (SPIFFE Verifiable Identity Document) on every connection.</w:t>
      </w:r>
    </w:p>
    <w:p>
      <w:pPr>
        <w:pStyle w:val="ListBullet"/>
        <w:spacing w:after="40"/>
      </w:pPr>
      <w:r>
        <w:rPr>
          <w:b/>
        </w:rPr>
        <w:t>Node Identity:</w:t>
      </w:r>
      <w:r>
        <w:rPr>
          <w:b/>
        </w:rPr>
        <w:t>Hardware Security Module (HSM)</w:t>
      </w:r>
      <w:r>
        <w:t xml:space="preserve"> is required for all Tier-1 (Sequencer) and Tier-2 (Validator, Archive, Aggregator) nodes. Node signing keys never exist in software-accessible memory. HSM attestation is verified by AUP-002 before a node is considered upgrade-eligible.</w:t>
      </w:r>
    </w:p>
    <w:p>
      <w:pPr>
        <w:pStyle w:val="ListBullet"/>
        <w:spacing w:after="40"/>
      </w:pPr>
      <w:r>
        <w:rPr>
          <w:b/>
        </w:rPr>
        <w:t>AUP Execution Key Rotation:</w:t>
      </w:r>
      <w:r>
        <w:t xml:space="preserve"> AUP execution signing keys are rotated every </w:t>
      </w:r>
      <w:r>
        <w:rPr>
          <w:b/>
        </w:rPr>
        <w:t>90 days</w:t>
      </w:r>
      <w:r>
        <w:t xml:space="preserve"> via an automated key ceremony coordinated by AUP-006. Key rotation events are recorded in the audit log and anchored on Base. The ceremony requires quorum of AUP module operators.</w:t>
      </w:r>
    </w:p>
    <w:p>
      <w:pPr>
        <w:pStyle w:val="ListBullet"/>
        <w:spacing w:after="40"/>
      </w:pPr>
      <w:r>
        <w:rPr>
          <w:b/>
        </w:rPr>
        <w:t>Governance Multisig:</w:t>
      </w:r>
      <w:r>
        <w:t xml:space="preserve"> All Security Council multisig signers are required to use hardware wallets (Ledger or equivalent FIDO2/U2F hardware). Software-only signers are not permitted. The 4-of-7 threshold is enforced at the contract level by </w:t>
      </w:r>
      <w:r>
        <w:t>EmergencyCouncil.sol</w:t>
      </w:r>
      <w:r>
        <w:t>.</w:t>
      </w:r>
    </w:p>
    <w:p>
      <w:pPr>
        <w:pStyle w:val="ListBullet"/>
        <w:spacing w:after="40"/>
      </w:pPr>
      <w:r>
        <w:rPr>
          <w:b/>
        </w:rPr>
        <w:t>Audit Trail:</w:t>
      </w:r>
      <w:r>
        <w:t xml:space="preserve"> The AUP-006 audit log is append-only and cryptographically chained (each log entry includes the hash of the previous entry). The chain of hashes is Merkle-rooted and anchored on Base, making retroactive tampering with individual log entries detectable by any party with access to the on-chain Merkle root.</w:t>
      </w:r>
    </w:p>
    <w:p>
      <w:pPr>
        <w:pStyle w:val="ListBullet"/>
        <w:spacing w:after="40"/>
      </w:pPr>
      <w:r>
        <w:rPr>
          <w:b/>
        </w:rPr>
        <w:t>Penetration Testing:</w:t>
      </w:r>
      <w:r>
        <w:t xml:space="preserve"> A quarterly external red team engagement is required. The red team scope must include: AUP control plane, TS data plane, NA API, and all Base-deployed contracts. Findings are triaged within 5 business days; P0/P1 findings require remediation within 14 days.</w:t>
      </w:r>
    </w:p>
    <w:p>
      <w:pPr>
        <w:pStyle w:val="ListBullet"/>
        <w:spacing w:after="40"/>
      </w:pPr>
      <w:r>
        <w:rPr>
          <w:b/>
        </w:rPr>
        <w:t>Supply Chain:</w:t>
      </w:r>
      <w:r>
        <w:t xml:space="preserve"> All Sentinel binaries are </w:t>
      </w:r>
      <w:r>
        <w:rPr>
          <w:b/>
        </w:rPr>
        <w:t>reproducibly built</w:t>
      </w:r>
      <w:r>
        <w:t xml:space="preserve"> — given the same source revision, the build process produces a bitwise-identical binary on any conforming build environment. An </w:t>
      </w:r>
      <w:r>
        <w:rPr>
          <w:b/>
        </w:rPr>
        <w:t>SBOM (Software Bill of Materials)</w:t>
      </w:r>
      <w:r>
        <w:t xml:space="preserve"> is published per release and anchored on Base via </w:t>
      </w:r>
      <w:r>
        <w:t>UpgradeRegistry.sol</w:t>
      </w:r>
      <w:r>
        <w:t>. Third-party dependencies are pinned by hash, not by version range.</w:t>
      </w:r>
    </w:p>
    <w:p>
      <w:pPr>
        <w:pStyle w:val="Heading2"/>
        <w:spacing w:before="280" w:after="80"/>
      </w:pPr>
      <w:r>
        <w:t>6.4 Incident Severity Matrix</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spacing w:after="20"/>
              <w:jc w:val="left"/>
            </w:pPr>
            <w:r>
              <w:rPr>
                <w:b/>
                <w:color w:val="FFFFFF"/>
              </w:rPr>
            </w:r>
            <w:r>
              <w:rPr>
                <w:b/>
                <w:color w:val="FFFFFF"/>
              </w:rPr>
              <w:t>Severity</w:t>
            </w:r>
          </w:p>
        </w:tc>
        <w:tc>
          <w:tcPr>
            <w:tcW w:type="dxa" w:w="1881"/>
            <w:shd w:val="clear" w:color="auto" w:fill="1F3864"/>
          </w:tcPr>
          <w:p>
            <w:pPr>
              <w:spacing w:after="20"/>
              <w:jc w:val="left"/>
            </w:pPr>
            <w:r>
              <w:rPr>
                <w:b/>
                <w:color w:val="FFFFFF"/>
              </w:rPr>
            </w:r>
            <w:r>
              <w:rPr>
                <w:b/>
                <w:color w:val="FFFFFF"/>
              </w:rPr>
              <w:t>Trigger Condition</w:t>
            </w:r>
          </w:p>
        </w:tc>
        <w:tc>
          <w:tcPr>
            <w:tcW w:type="dxa" w:w="1881"/>
            <w:shd w:val="clear" w:color="auto" w:fill="1F3864"/>
          </w:tcPr>
          <w:p>
            <w:pPr>
              <w:spacing w:after="20"/>
              <w:jc w:val="left"/>
            </w:pPr>
            <w:r>
              <w:rPr>
                <w:b/>
                <w:color w:val="FFFFFF"/>
              </w:rPr>
            </w:r>
            <w:r>
              <w:rPr>
                <w:b/>
                <w:color w:val="FFFFFF"/>
              </w:rPr>
              <w:t>Response Time SLA</w:t>
            </w:r>
          </w:p>
        </w:tc>
        <w:tc>
          <w:tcPr>
            <w:tcW w:type="dxa" w:w="1881"/>
            <w:shd w:val="clear" w:color="auto" w:fill="1F3864"/>
          </w:tcPr>
          <w:p>
            <w:pPr>
              <w:spacing w:after="20"/>
              <w:jc w:val="left"/>
            </w:pPr>
            <w:r>
              <w:rPr>
                <w:b/>
                <w:color w:val="FFFFFF"/>
              </w:rPr>
            </w:r>
            <w:r>
              <w:rPr>
                <w:b/>
                <w:color w:val="FFFFFF"/>
              </w:rPr>
              <w:t>Escalation Path</w:t>
            </w:r>
          </w:p>
        </w:tc>
        <w:tc>
          <w:tcPr>
            <w:tcW w:type="dxa" w:w="1881"/>
            <w:shd w:val="clear" w:color="auto" w:fill="1F3864"/>
          </w:tcPr>
          <w:p>
            <w:pPr>
              <w:spacing w:after="20"/>
              <w:jc w:val="left"/>
            </w:pPr>
            <w:r>
              <w:rPr>
                <w:b/>
                <w:color w:val="FFFFFF"/>
              </w:rPr>
            </w:r>
            <w:r>
              <w:rPr>
                <w:b/>
                <w:color w:val="FFFFFF"/>
              </w:rPr>
              <w:t>AUP Behavior</w:t>
            </w:r>
          </w:p>
        </w:tc>
      </w:tr>
      <w:tr>
        <w:tc>
          <w:tcPr>
            <w:tcW w:type="dxa" w:w="1881"/>
          </w:tcPr>
          <w:p>
            <w:pPr>
              <w:spacing w:after="20"/>
              <w:jc w:val="left"/>
            </w:pPr>
            <w:r/>
            <w:r>
              <w:rPr>
                <w:b/>
              </w:rPr>
              <w:t>P0</w:t>
            </w:r>
          </w:p>
        </w:tc>
        <w:tc>
          <w:tcPr>
            <w:tcW w:type="dxa" w:w="1881"/>
          </w:tcPr>
          <w:p>
            <w:pPr>
              <w:spacing w:after="20"/>
              <w:jc w:val="left"/>
            </w:pPr>
            <w:r/>
            <w:r>
              <w:t>Sequencer cluster outage (both SQ-PRIMARY and SQ-FALLBACK unresponsive); chain halt (&gt;60 seconds without new block)</w:t>
            </w:r>
          </w:p>
        </w:tc>
        <w:tc>
          <w:tcPr>
            <w:tcW w:type="dxa" w:w="1881"/>
          </w:tcPr>
          <w:p>
            <w:pPr>
              <w:spacing w:after="20"/>
              <w:jc w:val="left"/>
            </w:pPr>
            <w:r/>
            <w:r>
              <w:rPr>
                <w:b/>
              </w:rPr>
              <w:t>5 minutes</w:t>
            </w:r>
          </w:p>
        </w:tc>
        <w:tc>
          <w:tcPr>
            <w:tcW w:type="dxa" w:w="1881"/>
          </w:tcPr>
          <w:p>
            <w:pPr>
              <w:spacing w:after="20"/>
              <w:jc w:val="left"/>
            </w:pPr>
            <w:r/>
            <w:r>
              <w:t>Security Council immediately notified; Engineering Lead paged; customer status page updated</w:t>
            </w:r>
          </w:p>
        </w:tc>
        <w:tc>
          <w:tcPr>
            <w:tcW w:type="dxa" w:w="1881"/>
          </w:tcPr>
          <w:p>
            <w:pPr>
              <w:spacing w:after="20"/>
              <w:jc w:val="left"/>
            </w:pPr>
            <w:r/>
            <w:r>
              <w:t>AUP immediately halted via AUP-003 emergency stop; no upgrade activity during chain halt</w:t>
            </w:r>
          </w:p>
        </w:tc>
      </w:tr>
      <w:tr>
        <w:tc>
          <w:tcPr>
            <w:tcW w:type="dxa" w:w="1881"/>
          </w:tcPr>
          <w:p>
            <w:pPr>
              <w:spacing w:after="20"/>
              <w:jc w:val="left"/>
            </w:pPr>
            <w:r/>
            <w:r>
              <w:rPr>
                <w:b/>
              </w:rPr>
              <w:t>P1</w:t>
            </w:r>
          </w:p>
        </w:tc>
        <w:tc>
          <w:tcPr>
            <w:tcW w:type="dxa" w:w="1881"/>
          </w:tcPr>
          <w:p>
            <w:pPr>
              <w:spacing w:after="20"/>
              <w:jc w:val="left"/>
            </w:pPr>
            <w:r/>
            <w:r>
              <w:t>Anomaly score CRITICAL (&gt;0.85) on any AUP-managed node; or liveness failure (&gt;3 missed blocks) on any Tier-1/Tier-2 node</w:t>
            </w:r>
          </w:p>
        </w:tc>
        <w:tc>
          <w:tcPr>
            <w:tcW w:type="dxa" w:w="1881"/>
          </w:tcPr>
          <w:p>
            <w:pPr>
              <w:spacing w:after="20"/>
              <w:jc w:val="left"/>
            </w:pPr>
            <w:r/>
            <w:r>
              <w:rPr>
                <w:b/>
              </w:rPr>
              <w:t>15 minutes</w:t>
            </w:r>
          </w:p>
        </w:tc>
        <w:tc>
          <w:tcPr>
            <w:tcW w:type="dxa" w:w="1881"/>
          </w:tcPr>
          <w:p>
            <w:pPr>
              <w:spacing w:after="20"/>
              <w:jc w:val="left"/>
            </w:pPr>
            <w:r/>
            <w:r>
              <w:t>On-call engineer paged via PagerDuty; Engineering Lead notified if not resolved within 30 minutes</w:t>
            </w:r>
          </w:p>
        </w:tc>
        <w:tc>
          <w:tcPr>
            <w:tcW w:type="dxa" w:w="1881"/>
          </w:tcPr>
          <w:p>
            <w:pPr>
              <w:spacing w:after="20"/>
              <w:jc w:val="left"/>
            </w:pPr>
            <w:r/>
            <w:r>
              <w:t>AUP-005 initiates rollback for current ring; AUP-003 suspends ring advancement pending rollback completion</w:t>
            </w:r>
          </w:p>
        </w:tc>
      </w:tr>
      <w:tr>
        <w:tc>
          <w:tcPr>
            <w:tcW w:type="dxa" w:w="1881"/>
          </w:tcPr>
          <w:p>
            <w:pPr>
              <w:spacing w:after="20"/>
              <w:jc w:val="left"/>
            </w:pPr>
            <w:r/>
            <w:r>
              <w:rPr>
                <w:b/>
              </w:rPr>
              <w:t>P2</w:t>
            </w:r>
          </w:p>
        </w:tc>
        <w:tc>
          <w:tcPr>
            <w:tcW w:type="dxa" w:w="1881"/>
          </w:tcPr>
          <w:p>
            <w:pPr>
              <w:spacing w:after="20"/>
              <w:jc w:val="left"/>
            </w:pPr>
            <w:r/>
            <w:r>
              <w:t>Telemetry aggregator failure (regional TS-002 unavailable); anomaly score DEGRADED (0.71–0.84) on any AUP-managed node during upgrade execution</w:t>
            </w:r>
          </w:p>
        </w:tc>
        <w:tc>
          <w:tcPr>
            <w:tcW w:type="dxa" w:w="1881"/>
          </w:tcPr>
          <w:p>
            <w:pPr>
              <w:spacing w:after="20"/>
              <w:jc w:val="left"/>
            </w:pPr>
            <w:r/>
            <w:r>
              <w:rPr>
                <w:b/>
              </w:rPr>
              <w:t>30 minutes</w:t>
            </w:r>
          </w:p>
        </w:tc>
        <w:tc>
          <w:tcPr>
            <w:tcW w:type="dxa" w:w="1881"/>
          </w:tcPr>
          <w:p>
            <w:pPr>
              <w:spacing w:after="20"/>
              <w:jc w:val="left"/>
            </w:pPr>
            <w:r/>
            <w:r>
              <w:t>On-call engineer alerted via PagerDuty; TS-002 failover initiated per RB-TS-001</w:t>
            </w:r>
          </w:p>
        </w:tc>
        <w:tc>
          <w:tcPr>
            <w:tcW w:type="dxa" w:w="1881"/>
          </w:tcPr>
          <w:p>
            <w:pPr>
              <w:spacing w:after="20"/>
              <w:jc w:val="left"/>
            </w:pPr>
            <w:r/>
            <w:r>
              <w:t>AUP-003 pauses current ring progression; upgrade does not proceed until P2 is resolved and TS-007 health signal restored</w:t>
            </w:r>
          </w:p>
        </w:tc>
      </w:tr>
      <w:tr>
        <w:tc>
          <w:tcPr>
            <w:tcW w:type="dxa" w:w="1881"/>
          </w:tcPr>
          <w:p>
            <w:pPr>
              <w:spacing w:after="20"/>
              <w:jc w:val="left"/>
            </w:pPr>
            <w:r/>
            <w:r>
              <w:rPr>
                <w:b/>
              </w:rPr>
              <w:t>P3</w:t>
            </w:r>
          </w:p>
        </w:tc>
        <w:tc>
          <w:tcPr>
            <w:tcW w:type="dxa" w:w="1881"/>
          </w:tcPr>
          <w:p>
            <w:pPr>
              <w:spacing w:after="20"/>
              <w:jc w:val="left"/>
            </w:pPr>
            <w:r/>
            <w:r>
              <w:t xml:space="preserve">Atlas snapshot failure (NA-007 cannot publish to IPFS or </w:t>
            </w:r>
            <w:r>
              <w:t>AtlasRegistry.sol</w:t>
            </w:r>
            <w:r>
              <w:t>); single non-AUP-managed node failure</w:t>
            </w:r>
          </w:p>
        </w:tc>
        <w:tc>
          <w:tcPr>
            <w:tcW w:type="dxa" w:w="1881"/>
          </w:tcPr>
          <w:p>
            <w:pPr>
              <w:spacing w:after="20"/>
              <w:jc w:val="left"/>
            </w:pPr>
            <w:r/>
            <w:r>
              <w:rPr>
                <w:b/>
              </w:rPr>
              <w:t>1 hour</w:t>
            </w:r>
          </w:p>
        </w:tc>
        <w:tc>
          <w:tcPr>
            <w:tcW w:type="dxa" w:w="1881"/>
          </w:tcPr>
          <w:p>
            <w:pPr>
              <w:spacing w:after="20"/>
              <w:jc w:val="left"/>
            </w:pPr>
            <w:r/>
            <w:r>
              <w:t>On-call engineer notified via Slack; RB-NA-001 procedure initiated</w:t>
            </w:r>
          </w:p>
        </w:tc>
        <w:tc>
          <w:tcPr>
            <w:tcW w:type="dxa" w:w="1881"/>
          </w:tcPr>
          <w:p>
            <w:pPr>
              <w:spacing w:after="20"/>
              <w:jc w:val="left"/>
            </w:pPr>
            <w:r/>
            <w:r>
              <w:t>AUP-003 uses cached Atlas state; active upgrade proceeds if cache is &lt;60 seconds stale; pauses if cache is stale beyond TTL</w:t>
            </w:r>
          </w:p>
        </w:tc>
      </w:tr>
      <w:tr>
        <w:tc>
          <w:tcPr>
            <w:tcW w:type="dxa" w:w="1881"/>
          </w:tcPr>
          <w:p>
            <w:pPr>
              <w:spacing w:after="20"/>
              <w:jc w:val="left"/>
            </w:pPr>
            <w:r/>
            <w:r>
              <w:rPr>
                <w:b/>
              </w:rPr>
              <w:t>P4</w:t>
            </w:r>
          </w:p>
        </w:tc>
        <w:tc>
          <w:tcPr>
            <w:tcW w:type="dxa" w:w="1881"/>
          </w:tcPr>
          <w:p>
            <w:pPr>
              <w:spacing w:after="20"/>
              <w:jc w:val="left"/>
            </w:pPr>
            <w:r/>
            <w:r>
              <w:t>Non-critical metric gap (STR-003 or STR-008 data missing for &lt;5 minutes); individual TS-001 agent restart</w:t>
            </w:r>
          </w:p>
        </w:tc>
        <w:tc>
          <w:tcPr>
            <w:tcW w:type="dxa" w:w="1881"/>
          </w:tcPr>
          <w:p>
            <w:pPr>
              <w:spacing w:after="20"/>
              <w:jc w:val="left"/>
            </w:pPr>
            <w:r/>
            <w:r>
              <w:rPr>
                <w:b/>
              </w:rPr>
              <w:t>4 hours</w:t>
            </w:r>
          </w:p>
        </w:tc>
        <w:tc>
          <w:tcPr>
            <w:tcW w:type="dxa" w:w="1881"/>
          </w:tcPr>
          <w:p>
            <w:pPr>
              <w:spacing w:after="20"/>
              <w:jc w:val="left"/>
            </w:pPr>
            <w:r/>
            <w:r>
              <w:t>Engineering team notified via Slack; tracked in issue queue</w:t>
            </w:r>
          </w:p>
        </w:tc>
        <w:tc>
          <w:tcPr>
            <w:tcW w:type="dxa" w:w="1881"/>
          </w:tcPr>
          <w:p>
            <w:pPr>
              <w:spacing w:after="20"/>
              <w:jc w:val="left"/>
            </w:pPr>
            <w:r/>
            <w:r>
              <w:t>No AUP impact; upgrade execution continues normally; gap logged in TS-005</w:t>
            </w:r>
          </w:p>
        </w:tc>
      </w:tr>
    </w:tbl>
    <w:p/>
    <w:p>
      <w:pPr>
        <w:spacing w:after="80"/>
      </w:pPr>
      <w:r>
        <w:t>============================================================</w:t>
      </w:r>
    </w:p>
    <w:p>
      <w:pPr>
        <w:spacing w:after="80"/>
      </w:pPr>
      <w:r>
        <w:t>APPENDIX A — MANIFEST SCHEMA REFERENCE</w:t>
      </w:r>
    </w:p>
    <w:p>
      <w:pPr>
        <w:spacing w:after="80"/>
      </w:pPr>
      <w:r>
        <w:t>============================================================</w:t>
      </w:r>
    </w:p>
    <w:p>
      <w:pPr>
        <w:pStyle w:val="Heading1"/>
        <w:spacing w:before="360" w:after="120"/>
      </w:pPr>
      <w:r>
        <w:t>Appendix A — Manifest Schema Reference</w:t>
      </w:r>
    </w:p>
    <w:p>
      <w:pPr>
        <w:spacing w:after="40"/>
      </w:pPr>
    </w:p>
    <w:p>
      <w:pPr>
        <w:spacing w:after="120"/>
      </w:pPr>
      <w:r>
        <w:t xml:space="preserve">The following is the complete reference schema for a Sentinel-L3 AUP upgrade manifest in TOML format, with an annotated example. All manifests submitted via the governance pipeline must conform to this schema. Schema validation is enforced by AUP-001 at ingestion time; manifests failing validation are rejected and the pipeline halts with a </w:t>
      </w:r>
      <w:r>
        <w:t>MANIFEST_VALIDATION_FAILED</w:t>
      </w:r>
      <w:r>
        <w:t xml:space="preserve"> audit event written by AUP-006.</w:t>
      </w:r>
    </w:p>
    <w:p>
      <w:pPr>
        <w:spacing w:after="80"/>
      </w:pPr>
      <w:r>
        <w:t># ============================================================</w:t>
        <w:br/>
        <w:t># SENTINEL-L3 UPGRADE MANIFEST</w:t>
        <w:br/>
        <w:t># Schema Version: 2.1</w:t>
        <w:br/>
        <w:t># AUP-001 validates this manifest against schema v2.1 definition</w:t>
        <w:br/>
        <w:t># Content hash of this file (SHA3-256) must match UpgradeRegistry.sol</w:t>
        <w:br/>
        <w:t># ============================================================</w:t>
        <w:br/>
        <w:br/>
        <w:t>manifest_id    = "SIP-031-mainnet-v3.1.0"</w:t>
        <w:br/>
        <w:t>version        = "3.1.0"</w:t>
        <w:br/>
        <w:t>schema_version = "2.1"</w:t>
        <w:br/>
        <w:t>target_network = "sentinel-l3-mainnet"</w:t>
        <w:br/>
        <w:t>chain_id       = 7381</w:t>
        <w:br/>
        <w:t>target_ring    = 0                             # Entry ring (0=devnet, 4=sequencer)</w:t>
        <w:br/>
        <w:br/>
        <w:t># SHA3-256 content hash of this manifest file</w:t>
        <w:br/>
        <w:t># Must match the hash registered in UpgradeRegistry.sol on Base</w:t>
        <w:br/>
        <w:t># before AUP-004 will execute any steps</w:t>
        <w:br/>
        <w:t>content_hash   = "a3f2e1d4c5b6a7f8e9d0c1b2a3f4e5d6c7b8a9f0e1d2c3b4a5f6e7d8c9b0a1f2"</w:t>
        <w:br/>
        <w:br/>
        <w:t># Target L3 block height at which Ring 0 execution begins</w:t>
        <w:br/>
        <w:t># All ring transitions are block-height gated; no wall-clock dependencies</w:t>
        <w:br/>
        <w:t>block_height_start = 14_500_000</w:t>
        <w:br/>
        <w:br/>
        <w:t># Manifests that must be fully applied before this manifest may execute</w:t>
        <w:br/>
        <w:t># AUP-002 validates that all dependency manifest hashes are in UpgradeRegistry.sol</w:t>
        <w:br/>
        <w:t># as successfully applied before allowing this manifest to proceed</w:t>
        <w:br/>
        <w:t>[dependencies]</w:t>
        <w:br/>
        <w:t xml:space="preserve">  required = [</w:t>
        <w:br/>
        <w:t xml:space="preserve">    "SIP-028-mainnet-v3.0.1",   # base client upgrade (applied)</w:t>
        <w:br/>
        <w:t xml:space="preserve">    "SIP-029-mainnet-v3.0.2",   # bridge extensions (applied)</w:t>
        <w:br/>
        <w:t xml:space="preserve">  ]</w:t>
        <w:br/>
        <w:br/>
        <w:t># ============================================================</w:t>
        <w:br/>
        <w:t># UPGRADE STEPS</w:t>
        <w:br/>
        <w:t># Executed in declared topological order by AUP-004.</w:t>
        <w:br/>
        <w:t># Each step is idempotent: re-execution of a completed step is a no-op.</w:t>
        <w:br/>
        <w:t># Parallel execution is permitted for steps with no shared state</w:t>
        <w:br/>
        <w:t># and no cross-dependency within the same ring.</w:t>
        <w:br/>
        <w:t># ============================================================</w:t>
        <w:br/>
        <w:br/>
        <w:t>[[steps]]</w:t>
        <w:br/>
        <w:t xml:space="preserve">  step_id         = "step-001-binary-update"</w:t>
        <w:br/>
        <w:t xml:space="preserve">  module          = "AUP-004"                     # executing AUP module</w:t>
        <w:br/>
        <w:t xml:space="preserve">  action          = "replace_binary"</w:t>
        <w:br/>
        <w:t xml:space="preserve">  idempotency_key = "sha3:a3f2e1d4c5b6a7f8..."    # step-level idempotency token</w:t>
        <w:br/>
        <w:t xml:space="preserve">  depends_on      = []                            # no step-level dependencies; executes first</w:t>
        <w:br/>
        <w:br/>
        <w:t xml:space="preserve">  [steps.params]</w:t>
        <w:br/>
        <w:t xml:space="preserve">    binary_name    = "sentinel-node"</w:t>
        <w:br/>
        <w:t xml:space="preserve">    source_cid     = "bafybei...abc123"           # IPFS CID of new binary artifact</w:t>
        <w:br/>
        <w:t xml:space="preserve">    target_path    = "/usr/local/bin/sentinel-node"</w:t>
        <w:br/>
        <w:t xml:space="preserve">    expected_hash  = "sha3:b4c5d6e7f8a9b0c1..."   # hash of binary artifact</w:t>
        <w:br/>
        <w:br/>
        <w:t>[[steps]]</w:t>
        <w:br/>
        <w:t xml:space="preserve">  step_id         = "step-002-config-update"</w:t>
        <w:br/>
        <w:t xml:space="preserve">  module          = "AUP-004"</w:t>
        <w:br/>
        <w:t xml:space="preserve">  action          = "apply_config_delta"</w:t>
        <w:br/>
        <w:t xml:space="preserve">  idempotency_key = "sha3:c5d6e7f8a9b0c1d2..."</w:t>
        <w:br/>
        <w:t xml:space="preserve">  depends_on      = ["step-001-binary-update"]    # must complete step-001 first</w:t>
        <w:br/>
        <w:br/>
        <w:t xml:space="preserve">  [steps.params]</w:t>
        <w:br/>
        <w:t xml:space="preserve">    config_path    = "/etc/sentinel/node.toml"</w:t>
        <w:br/>
        <w:t xml:space="preserve">    delta_cid      = "bafybei...delta456"         # IPFS CID of config delta patch</w:t>
        <w:br/>
        <w:t xml:space="preserve">    delta_hash     = "sha3:d6e7f8a9b0c1d2e3..."</w:t>
        <w:br/>
        <w:br/>
        <w:t>[[steps]]</w:t>
        <w:br/>
        <w:t xml:space="preserve">  step_id         = "step-003-service-restart"</w:t>
        <w:br/>
        <w:t xml:space="preserve">  module          = "AUP-004"</w:t>
        <w:br/>
        <w:t xml:space="preserve">  action          = "restart_service"</w:t>
        <w:br/>
        <w:t xml:space="preserve">  idempotency_key = "sha3:e7f8a9b0c1d2e3f4..."</w:t>
        <w:br/>
        <w:t xml:space="preserve">  depends_on      = ["step-002-config-update"]</w:t>
        <w:br/>
        <w:br/>
        <w:t xml:space="preserve">  [steps.params]</w:t>
        <w:br/>
        <w:t xml:space="preserve">    service_name        = "sentinel-node"</w:t>
        <w:br/>
        <w:t xml:space="preserve">    health_check_url    = "http://localhost:9545/health"</w:t>
        <w:br/>
        <w:t xml:space="preserve">    health_check_timeout_sec = 30</w:t>
        <w:br/>
        <w:t xml:space="preserve">    expected_version    = "3.1.0"</w:t>
        <w:br/>
        <w:br/>
        <w:t>[[steps]]</w:t>
        <w:br/>
        <w:t xml:space="preserve">  step_id         = "step-004-version-registry-update"</w:t>
        <w:br/>
        <w:t xml:space="preserve">  module          = "AUP-004"</w:t>
        <w:br/>
        <w:t xml:space="preserve">  action          = "update_atlas_version"</w:t>
        <w:br/>
        <w:t xml:space="preserve">  idempotency_key = "sha3:f8a9b0c1d2e3f4a5..."</w:t>
        <w:br/>
        <w:t xml:space="preserve">  depends_on      = ["step-003-service-restart"]</w:t>
        <w:br/>
        <w:br/>
        <w:t xml:space="preserve">  [steps.params]</w:t>
        <w:br/>
        <w:t xml:space="preserve">    client_version   = "1.4.2"</w:t>
        <w:br/>
        <w:t xml:space="preserve">    protocol_version = "3.1.0"</w:t>
        <w:br/>
        <w:br/>
        <w:t># ============================================================</w:t>
        <w:br/>
        <w:t># ROLLBACK STEPS</w:t>
        <w:br/>
        <w:t># Declared explicitly; executed in reverse order of steps</w:t>
        <w:br/>
        <w:t># by AUP-005 Rollback Arbiter on trigger.</w:t>
        <w:br/>
        <w:t># Rollback steps are also idempotent.</w:t>
        <w:br/>
        <w:t># ============================================================</w:t>
        <w:br/>
        <w:br/>
        <w:t>[[rollback_steps]]</w:t>
        <w:br/>
        <w:t xml:space="preserve">  step_id         = "rb-001-revert-binary"</w:t>
        <w:br/>
        <w:t xml:space="preserve">  module          = "AUP-005"</w:t>
        <w:br/>
        <w:t xml:space="preserve">  action          = "replace_binary"</w:t>
        <w:br/>
        <w:t xml:space="preserve">  idempotency_key = "sha3:a9b0c1d2e3f4a5b6..."</w:t>
        <w:br/>
        <w:t xml:space="preserve">  depends_on      = []</w:t>
        <w:br/>
        <w:br/>
        <w:t xml:space="preserve">  [rollback_steps.params]</w:t>
        <w:br/>
        <w:t xml:space="preserve">    binary_name    = "sentinel-node"</w:t>
        <w:br/>
        <w:t xml:space="preserve">    source_cid     = "bafybei...prev789"           # IPFS CID of previous binary version</w:t>
        <w:br/>
        <w:t xml:space="preserve">    target_path    = "/usr/local/bin/sentinel-node"</w:t>
        <w:br/>
        <w:t xml:space="preserve">    expected_hash  = "sha3:b0c1d2e3f4a5b6c7..."</w:t>
        <w:br/>
        <w:br/>
        <w:t>[[rollback_steps]]</w:t>
        <w:br/>
        <w:t xml:space="preserve">  step_id         = "rb-002-revert-config"</w:t>
        <w:br/>
        <w:t xml:space="preserve">  module          = "AUP-005"</w:t>
        <w:br/>
        <w:t xml:space="preserve">  action          = "apply_config_delta"</w:t>
        <w:br/>
        <w:t xml:space="preserve">  idempotency_key = "sha3:c1d2e3f4a5b6c7d8..."</w:t>
        <w:br/>
        <w:t xml:space="preserve">  depends_on      = ["rb-001-revert-binary"]</w:t>
        <w:br/>
        <w:br/>
        <w:t xml:space="preserve">  [rollback_steps.params]</w:t>
        <w:br/>
        <w:t xml:space="preserve">    config_path    = "/etc/sentinel/node.toml"</w:t>
        <w:br/>
        <w:t xml:space="preserve">    delta_cid      = "bafybei...revert456"         # IPFS CID of reverse config delta</w:t>
        <w:br/>
        <w:t xml:space="preserve">    delta_hash     = "sha3:d2e3f4a5b6c7d8e9..."</w:t>
        <w:br/>
        <w:br/>
        <w:t>[[rollback_steps]]</w:t>
        <w:br/>
        <w:t xml:space="preserve">  step_id         = "rb-003-service-restart"</w:t>
        <w:br/>
        <w:t xml:space="preserve">  module          = "AUP-005"</w:t>
        <w:br/>
        <w:t xml:space="preserve">  action          = "restart_service"</w:t>
        <w:br/>
        <w:t xml:space="preserve">  idempotency_key = "sha3:e3f4a5b6c7d8e9f0..."</w:t>
        <w:br/>
        <w:t xml:space="preserve">  depends_on      = ["rb-002-revert-config"]</w:t>
        <w:br/>
        <w:br/>
        <w:t xml:space="preserve">  [rollback_steps.params]</w:t>
        <w:br/>
        <w:t xml:space="preserve">    service_name        = "sentinel-node"</w:t>
        <w:br/>
        <w:t xml:space="preserve">    health_check_url    = "http://localhost:9545/health"</w:t>
        <w:br/>
        <w:t xml:space="preserve">    health_check_timeout_sec = 30</w:t>
        <w:br/>
        <w:t xml:space="preserve">    expected_version    = "3.0.2"               # previous known-good version</w:t>
      </w:r>
    </w:p>
    <w:p>
      <w:pPr>
        <w:spacing w:after="80"/>
      </w:pPr>
      <w:r>
        <w:t>============================================================</w:t>
      </w:r>
    </w:p>
    <w:p>
      <w:pPr>
        <w:spacing w:after="80"/>
      </w:pPr>
      <w:r>
        <w:t>APPENDIX B — CONTRACT ADDRESSES</w:t>
      </w:r>
    </w:p>
    <w:p>
      <w:pPr>
        <w:spacing w:after="80"/>
      </w:pPr>
      <w:r>
        <w:t>============================================================</w:t>
      </w:r>
    </w:p>
    <w:p>
      <w:pPr>
        <w:pStyle w:val="Heading1"/>
        <w:spacing w:before="360" w:after="120"/>
      </w:pPr>
      <w:r>
        <w:t>Appendix B — Contract Addresses (Base Mainnet)</w:t>
      </w:r>
    </w:p>
    <w:p>
      <w:pPr>
        <w:spacing w:after="40"/>
      </w:pPr>
    </w:p>
    <w:p>
      <w:pPr>
        <w:spacing w:after="120"/>
      </w:pPr>
      <w:r>
        <w:t>The following table lists all Sentinel-L3 operational smart contracts deployed on Base Mainnet. All addresses are checksummed ERC-55 format. Placeholder address patterns (</w:t>
      </w:r>
      <w:r>
        <w:t>0xSG...0001</w:t>
      </w:r>
      <w:r>
        <w:t xml:space="preserve">, etc.) represent the canonical deployment addresses registered in </w:t>
      </w:r>
      <w:r>
        <w:t>UpgradeRegistry.sol</w:t>
      </w:r>
      <w:r>
        <w:t xml:space="preserve">. Operators must verify these addresses against the on-chain </w:t>
      </w:r>
      <w:r>
        <w:t>AtlasRegistry.sol</w:t>
      </w:r>
      <w:r>
        <w:t xml:space="preserve"> snapshot before interacting with any contract.</w:t>
      </w:r>
    </w:p>
    <w:p>
      <w:pPr>
        <w:spacing w:after="80"/>
      </w:pPr>
      <w:r>
        <w:t>SECURITY WARNING</w:t>
      </w:r>
    </w:p>
    <w:p>
      <w:pPr>
        <w:spacing w:after="120"/>
      </w:pPr>
      <w:r>
        <w:t>Always verify contract addresses against the most recent signed Atlas snapshot before submitting any transaction. Addresses in this document are correct as of v3.1.0 (July 16, 2026). Address changes require a full AUP upgrade cycle and will be reflected in the next Atlas snapshot on Base.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spacing w:after="20"/>
              <w:jc w:val="left"/>
            </w:pPr>
            <w:r>
              <w:rPr>
                <w:b/>
                <w:color w:val="FFFFFF"/>
              </w:rPr>
            </w:r>
            <w:r>
              <w:rPr>
                <w:b/>
                <w:color w:val="FFFFFF"/>
              </w:rPr>
              <w:t>Contract</w:t>
            </w:r>
          </w:p>
        </w:tc>
        <w:tc>
          <w:tcPr>
            <w:tcW w:type="dxa" w:w="1881"/>
            <w:shd w:val="clear" w:color="auto" w:fill="1F3864"/>
          </w:tcPr>
          <w:p>
            <w:pPr>
              <w:spacing w:after="20"/>
              <w:jc w:val="left"/>
            </w:pPr>
            <w:r>
              <w:rPr>
                <w:b/>
                <w:color w:val="FFFFFF"/>
              </w:rPr>
            </w:r>
            <w:r>
              <w:rPr>
                <w:b/>
                <w:color w:val="FFFFFF"/>
              </w:rPr>
              <w:t>Deployment Address</w:t>
            </w:r>
          </w:p>
        </w:tc>
        <w:tc>
          <w:tcPr>
            <w:tcW w:type="dxa" w:w="1881"/>
            <w:shd w:val="clear" w:color="auto" w:fill="1F3864"/>
          </w:tcPr>
          <w:p>
            <w:pPr>
              <w:spacing w:after="20"/>
              <w:jc w:val="left"/>
            </w:pPr>
            <w:r>
              <w:rPr>
                <w:b/>
                <w:color w:val="FFFFFF"/>
              </w:rPr>
            </w:r>
            <w:r>
              <w:rPr>
                <w:b/>
                <w:color w:val="FFFFFF"/>
              </w:rPr>
              <w:t>ABI Version</w:t>
            </w:r>
          </w:p>
        </w:tc>
        <w:tc>
          <w:tcPr>
            <w:tcW w:type="dxa" w:w="1881"/>
            <w:shd w:val="clear" w:color="auto" w:fill="1F3864"/>
          </w:tcPr>
          <w:p>
            <w:pPr>
              <w:spacing w:after="20"/>
              <w:jc w:val="left"/>
            </w:pPr>
            <w:r>
              <w:rPr>
                <w:b/>
                <w:color w:val="FFFFFF"/>
              </w:rPr>
            </w:r>
            <w:r>
              <w:rPr>
                <w:b/>
                <w:color w:val="FFFFFF"/>
              </w:rPr>
              <w:t>Deployed Block (Base)</w:t>
            </w:r>
          </w:p>
        </w:tc>
        <w:tc>
          <w:tcPr>
            <w:tcW w:type="dxa" w:w="1881"/>
            <w:shd w:val="clear" w:color="auto" w:fill="1F3864"/>
          </w:tcPr>
          <w:p>
            <w:pPr>
              <w:spacing w:after="20"/>
              <w:jc w:val="left"/>
            </w:pPr>
            <w:r>
              <w:rPr>
                <w:b/>
                <w:color w:val="FFFFFF"/>
              </w:rPr>
            </w:r>
            <w:r>
              <w:rPr>
                <w:b/>
                <w:color w:val="FFFFFF"/>
              </w:rPr>
              <w:t>Description</w:t>
            </w:r>
          </w:p>
        </w:tc>
      </w:tr>
      <w:tr>
        <w:tc>
          <w:tcPr>
            <w:tcW w:type="dxa" w:w="1881"/>
          </w:tcPr>
          <w:p>
            <w:pPr>
              <w:spacing w:after="20"/>
              <w:jc w:val="left"/>
            </w:pPr>
            <w:r/>
            <w:r>
              <w:t>SentinelGovernor.sol</w:t>
            </w:r>
          </w:p>
        </w:tc>
        <w:tc>
          <w:tcPr>
            <w:tcW w:type="dxa" w:w="1881"/>
          </w:tcPr>
          <w:p>
            <w:pPr>
              <w:spacing w:after="20"/>
              <w:jc w:val="left"/>
            </w:pPr>
            <w:r/>
            <w:r>
              <w:t>0xSG...0001</w:t>
            </w:r>
          </w:p>
        </w:tc>
        <w:tc>
          <w:tcPr>
            <w:tcW w:type="dxa" w:w="1881"/>
          </w:tcPr>
          <w:p>
            <w:pPr>
              <w:spacing w:after="20"/>
              <w:jc w:val="left"/>
            </w:pPr>
            <w:r/>
            <w:r>
              <w:t>v2.3.0</w:t>
            </w:r>
          </w:p>
        </w:tc>
        <w:tc>
          <w:tcPr>
            <w:tcW w:type="dxa" w:w="1881"/>
          </w:tcPr>
          <w:p>
            <w:pPr>
              <w:spacing w:after="20"/>
              <w:jc w:val="left"/>
            </w:pPr>
            <w:r/>
            <w:r>
              <w:t>14,200,000</w:t>
            </w:r>
          </w:p>
        </w:tc>
        <w:tc>
          <w:tcPr>
            <w:tcW w:type="dxa" w:w="1881"/>
          </w:tcPr>
          <w:p>
            <w:pPr>
              <w:spacing w:after="20"/>
              <w:jc w:val="left"/>
            </w:pPr>
            <w:r/>
            <w:r>
              <w:t>OpenZeppelin Governor extension. Manages SNTL governance proposals, voting, and executor whitelisting. AUP-007 is the sole whitelisted executor.</w:t>
            </w:r>
          </w:p>
        </w:tc>
      </w:tr>
      <w:tr>
        <w:tc>
          <w:tcPr>
            <w:tcW w:type="dxa" w:w="1881"/>
          </w:tcPr>
          <w:p>
            <w:pPr>
              <w:spacing w:after="20"/>
              <w:jc w:val="left"/>
            </w:pPr>
            <w:r/>
            <w:r>
              <w:t>TimelockController.sol</w:t>
            </w:r>
          </w:p>
        </w:tc>
        <w:tc>
          <w:tcPr>
            <w:tcW w:type="dxa" w:w="1881"/>
          </w:tcPr>
          <w:p>
            <w:pPr>
              <w:spacing w:after="20"/>
              <w:jc w:val="left"/>
            </w:pPr>
            <w:r/>
            <w:r>
              <w:t>0xTL...0001</w:t>
            </w:r>
          </w:p>
        </w:tc>
        <w:tc>
          <w:tcPr>
            <w:tcW w:type="dxa" w:w="1881"/>
          </w:tcPr>
          <w:p>
            <w:pPr>
              <w:spacing w:after="20"/>
              <w:jc w:val="left"/>
            </w:pPr>
            <w:r/>
            <w:r>
              <w:t>v2.3.0</w:t>
            </w:r>
          </w:p>
        </w:tc>
        <w:tc>
          <w:tcPr>
            <w:tcW w:type="dxa" w:w="1881"/>
          </w:tcPr>
          <w:p>
            <w:pPr>
              <w:spacing w:after="20"/>
              <w:jc w:val="left"/>
            </w:pPr>
            <w:r/>
            <w:r>
              <w:t>14,200,001</w:t>
            </w:r>
          </w:p>
        </w:tc>
        <w:tc>
          <w:tcPr>
            <w:tcW w:type="dxa" w:w="1881"/>
          </w:tcPr>
          <w:p>
            <w:pPr>
              <w:spacing w:after="20"/>
              <w:jc w:val="left"/>
            </w:pPr>
            <w:r/>
            <w:r>
              <w:t>OpenZeppelin TimelockController. Enforces 48-hour delay between governance passage and AUP execution. Bypassed only by EmergencyCouncil.</w:t>
            </w:r>
          </w:p>
        </w:tc>
      </w:tr>
      <w:tr>
        <w:tc>
          <w:tcPr>
            <w:tcW w:type="dxa" w:w="1881"/>
          </w:tcPr>
          <w:p>
            <w:pPr>
              <w:spacing w:after="20"/>
              <w:jc w:val="left"/>
            </w:pPr>
            <w:r/>
            <w:r>
              <w:t>UpgradeRegistry.sol</w:t>
            </w:r>
          </w:p>
        </w:tc>
        <w:tc>
          <w:tcPr>
            <w:tcW w:type="dxa" w:w="1881"/>
          </w:tcPr>
          <w:p>
            <w:pPr>
              <w:spacing w:after="20"/>
              <w:jc w:val="left"/>
            </w:pPr>
            <w:r/>
            <w:r>
              <w:t>0xUR...0001</w:t>
            </w:r>
          </w:p>
        </w:tc>
        <w:tc>
          <w:tcPr>
            <w:tcW w:type="dxa" w:w="1881"/>
          </w:tcPr>
          <w:p>
            <w:pPr>
              <w:spacing w:after="20"/>
              <w:jc w:val="left"/>
            </w:pPr>
            <w:r/>
            <w:r>
              <w:t>v1.1.0</w:t>
            </w:r>
          </w:p>
        </w:tc>
        <w:tc>
          <w:tcPr>
            <w:tcW w:type="dxa" w:w="1881"/>
          </w:tcPr>
          <w:p>
            <w:pPr>
              <w:spacing w:after="20"/>
              <w:jc w:val="left"/>
            </w:pPr>
            <w:r/>
            <w:r>
              <w:t>14,200,002</w:t>
            </w:r>
          </w:p>
        </w:tc>
        <w:tc>
          <w:tcPr>
            <w:tcW w:type="dxa" w:w="1881"/>
          </w:tcPr>
          <w:p>
            <w:pPr>
              <w:spacing w:after="20"/>
              <w:jc w:val="left"/>
            </w:pPr>
            <w:r/>
            <w:r>
              <w:t>On-chain registry of content-addressed upgrade artifact hashes. AUP-001 verifies manifest hashes against this contract before execution. SBOM hashes are also registered here per release.</w:t>
            </w:r>
          </w:p>
        </w:tc>
      </w:tr>
      <w:tr>
        <w:tc>
          <w:tcPr>
            <w:tcW w:type="dxa" w:w="1881"/>
          </w:tcPr>
          <w:p>
            <w:pPr>
              <w:spacing w:after="20"/>
              <w:jc w:val="left"/>
            </w:pPr>
            <w:r/>
            <w:r>
              <w:t>AuditAnchor.sol</w:t>
            </w:r>
          </w:p>
        </w:tc>
        <w:tc>
          <w:tcPr>
            <w:tcW w:type="dxa" w:w="1881"/>
          </w:tcPr>
          <w:p>
            <w:pPr>
              <w:spacing w:after="20"/>
              <w:jc w:val="left"/>
            </w:pPr>
            <w:r/>
            <w:r>
              <w:t>0xAA...0001</w:t>
            </w:r>
          </w:p>
        </w:tc>
        <w:tc>
          <w:tcPr>
            <w:tcW w:type="dxa" w:w="1881"/>
          </w:tcPr>
          <w:p>
            <w:pPr>
              <w:spacing w:after="20"/>
              <w:jc w:val="left"/>
            </w:pPr>
            <w:r/>
            <w:r>
              <w:t>v1.0.0</w:t>
            </w:r>
          </w:p>
        </w:tc>
        <w:tc>
          <w:tcPr>
            <w:tcW w:type="dxa" w:w="1881"/>
          </w:tcPr>
          <w:p>
            <w:pPr>
              <w:spacing w:after="20"/>
              <w:jc w:val="left"/>
            </w:pPr>
            <w:r/>
            <w:r>
              <w:t>14,200,003</w:t>
            </w:r>
          </w:p>
        </w:tc>
        <w:tc>
          <w:tcPr>
            <w:tcW w:type="dxa" w:w="1881"/>
          </w:tcPr>
          <w:p>
            <w:pPr>
              <w:spacing w:after="20"/>
              <w:jc w:val="left"/>
            </w:pPr>
            <w:r/>
            <w:r>
              <w:t>Append-only on-chain storage for Merkle roots of AUP-006 audit log batches. Enables third-party verification of the completeness and integrity of the upgrade audit trail.</w:t>
            </w:r>
          </w:p>
        </w:tc>
      </w:tr>
      <w:tr>
        <w:tc>
          <w:tcPr>
            <w:tcW w:type="dxa" w:w="1881"/>
          </w:tcPr>
          <w:p>
            <w:pPr>
              <w:spacing w:after="20"/>
              <w:jc w:val="left"/>
            </w:pPr>
            <w:r/>
            <w:r>
              <w:t>AtlasRegistry.sol</w:t>
            </w:r>
          </w:p>
        </w:tc>
        <w:tc>
          <w:tcPr>
            <w:tcW w:type="dxa" w:w="1881"/>
          </w:tcPr>
          <w:p>
            <w:pPr>
              <w:spacing w:after="20"/>
              <w:jc w:val="left"/>
            </w:pPr>
            <w:r/>
            <w:r>
              <w:t>0xAR...0001</w:t>
            </w:r>
          </w:p>
        </w:tc>
        <w:tc>
          <w:tcPr>
            <w:tcW w:type="dxa" w:w="1881"/>
          </w:tcPr>
          <w:p>
            <w:pPr>
              <w:spacing w:after="20"/>
              <w:jc w:val="left"/>
            </w:pPr>
            <w:r/>
            <w:r>
              <w:t>v1.2.0</w:t>
            </w:r>
          </w:p>
        </w:tc>
        <w:tc>
          <w:tcPr>
            <w:tcW w:type="dxa" w:w="1881"/>
          </w:tcPr>
          <w:p>
            <w:pPr>
              <w:spacing w:after="20"/>
              <w:jc w:val="left"/>
            </w:pPr>
            <w:r/>
            <w:r>
              <w:t>14,200,004</w:t>
            </w:r>
          </w:p>
        </w:tc>
        <w:tc>
          <w:tcPr>
            <w:tcW w:type="dxa" w:w="1881"/>
          </w:tcPr>
          <w:p>
            <w:pPr>
              <w:spacing w:after="20"/>
              <w:jc w:val="left"/>
            </w:pPr>
            <w:r/>
            <w:r>
              <w:t>On-chain registry for signed Atlas snapshots (IPFS CIDs + Merkle roots). Published by NA-007 every epoch. Requires 2-of-3 Atlas Aggregator node threshold signature for submission.</w:t>
            </w:r>
          </w:p>
        </w:tc>
      </w:tr>
      <w:tr>
        <w:tc>
          <w:tcPr>
            <w:tcW w:type="dxa" w:w="1881"/>
          </w:tcPr>
          <w:p>
            <w:pPr>
              <w:spacing w:after="20"/>
              <w:jc w:val="left"/>
            </w:pPr>
            <w:r/>
            <w:r>
              <w:t>EmergencyCouncil.sol</w:t>
            </w:r>
          </w:p>
        </w:tc>
        <w:tc>
          <w:tcPr>
            <w:tcW w:type="dxa" w:w="1881"/>
          </w:tcPr>
          <w:p>
            <w:pPr>
              <w:spacing w:after="20"/>
              <w:jc w:val="left"/>
            </w:pPr>
            <w:r/>
            <w:r>
              <w:t>0xEC...0001</w:t>
            </w:r>
          </w:p>
        </w:tc>
        <w:tc>
          <w:tcPr>
            <w:tcW w:type="dxa" w:w="1881"/>
          </w:tcPr>
          <w:p>
            <w:pPr>
              <w:spacing w:after="20"/>
              <w:jc w:val="left"/>
            </w:pPr>
            <w:r/>
            <w:r>
              <w:t>v1.0.0</w:t>
            </w:r>
          </w:p>
        </w:tc>
        <w:tc>
          <w:tcPr>
            <w:tcW w:type="dxa" w:w="1881"/>
          </w:tcPr>
          <w:p>
            <w:pPr>
              <w:spacing w:after="20"/>
              <w:jc w:val="left"/>
            </w:pPr>
            <w:r/>
            <w:r>
              <w:t>14,200,005</w:t>
            </w:r>
          </w:p>
        </w:tc>
        <w:tc>
          <w:tcPr>
            <w:tcW w:type="dxa" w:w="1881"/>
          </w:tcPr>
          <w:p>
            <w:pPr>
              <w:spacing w:after="20"/>
              <w:jc w:val="left"/>
            </w:pPr>
            <w:r/>
            <w:r>
              <w:t>4-of-7 Security Council multisig contract. Holds emergency executor role in SentinelGovernor (bypasses timelock). All actions emitted as events and subject to post-hoc governance review within 14 days.</w:t>
            </w:r>
          </w:p>
        </w:tc>
      </w:tr>
    </w:tbl>
    <w:p/>
    <w:p>
      <w:pPr>
        <w:spacing w:after="80"/>
      </w:pPr>
      <w:r>
        <w:t>============================================================</w:t>
      </w:r>
    </w:p>
    <w:p>
      <w:pPr>
        <w:spacing w:after="80"/>
      </w:pPr>
      <w:r>
        <w:t>APPENDIX C — GLOSSARY</w:t>
      </w:r>
    </w:p>
    <w:p>
      <w:pPr>
        <w:spacing w:after="80"/>
      </w:pPr>
      <w:r>
        <w:t>============================================================</w:t>
      </w:r>
    </w:p>
    <w:p>
      <w:pPr>
        <w:pStyle w:val="Heading1"/>
        <w:spacing w:before="360" w:after="120"/>
      </w:pPr>
      <w:r>
        <w:t>Appendix C — Glossary</w:t>
      </w:r>
    </w:p>
    <w:p>
      <w:pPr>
        <w:spacing w:after="40"/>
      </w:pPr>
    </w:p>
    <w:p>
      <w:pPr>
        <w:spacing w:after="120"/>
      </w:pPr>
      <w:r>
        <w:t>The following definitions apply throughout this document. Where a term has a specific technical meaning within the Sentinel-L3 context that differs from common usage, the Sentinel-specific definition governs.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spacing w:after="20"/>
              <w:jc w:val="left"/>
            </w:pPr>
            <w:r>
              <w:rPr>
                <w:b/>
                <w:color w:val="FFFFFF"/>
              </w:rPr>
            </w:r>
            <w:r>
              <w:rPr>
                <w:b/>
                <w:color w:val="FFFFFF"/>
              </w:rPr>
              <w:t>Term</w:t>
            </w:r>
          </w:p>
        </w:tc>
        <w:tc>
          <w:tcPr>
            <w:tcW w:type="dxa" w:w="4703"/>
            <w:shd w:val="clear" w:color="auto" w:fill="1F3864"/>
          </w:tcPr>
          <w:p>
            <w:pPr>
              <w:spacing w:after="20"/>
              <w:jc w:val="left"/>
            </w:pPr>
            <w:r>
              <w:rPr>
                <w:b/>
                <w:color w:val="FFFFFF"/>
              </w:rPr>
            </w:r>
            <w:r>
              <w:rPr>
                <w:b/>
                <w:color w:val="FFFFFF"/>
              </w:rPr>
              <w:t>Definition</w:t>
            </w:r>
          </w:p>
        </w:tc>
      </w:tr>
      <w:tr>
        <w:tc>
          <w:tcPr>
            <w:tcW w:type="dxa" w:w="4703"/>
          </w:tcPr>
          <w:p>
            <w:pPr>
              <w:spacing w:after="20"/>
              <w:jc w:val="left"/>
            </w:pPr>
            <w:r/>
            <w:r>
              <w:rPr>
                <w:b/>
              </w:rPr>
              <w:t>AUP</w:t>
            </w:r>
          </w:p>
        </w:tc>
        <w:tc>
          <w:tcPr>
            <w:tcW w:type="dxa" w:w="4703"/>
          </w:tcPr>
          <w:p>
            <w:pPr>
              <w:spacing w:after="20"/>
              <w:jc w:val="left"/>
            </w:pPr>
            <w:r/>
            <w:r>
              <w:t>Autonomous Upgrade Pipeline. The governance-coupled, deterministic execution engine responsible for coordinating all protocol upgrades across the Sentinel-L3 managed node fleet. Operates without manual intervention post-approval. See Section 2.</w:t>
            </w:r>
          </w:p>
        </w:tc>
      </w:tr>
      <w:tr>
        <w:tc>
          <w:tcPr>
            <w:tcW w:type="dxa" w:w="4703"/>
          </w:tcPr>
          <w:p>
            <w:pPr>
              <w:spacing w:after="20"/>
              <w:jc w:val="left"/>
            </w:pPr>
            <w:r/>
            <w:r>
              <w:rPr>
                <w:b/>
              </w:rPr>
              <w:t>Atlas</w:t>
            </w:r>
          </w:p>
        </w:tc>
        <w:tc>
          <w:tcPr>
            <w:tcW w:type="dxa" w:w="4703"/>
          </w:tcPr>
          <w:p>
            <w:pPr>
              <w:spacing w:after="20"/>
              <w:jc w:val="left"/>
            </w:pPr>
            <w:r/>
            <w:r>
              <w:t>Network Atlas. The authoritative real-time registry of all nodes, peer relationships, topology segments, and protocol versions in the Sentinel-L3 network. See Section 4.</w:t>
            </w:r>
          </w:p>
        </w:tc>
      </w:tr>
      <w:tr>
        <w:tc>
          <w:tcPr>
            <w:tcW w:type="dxa" w:w="4703"/>
          </w:tcPr>
          <w:p>
            <w:pPr>
              <w:spacing w:after="20"/>
              <w:jc w:val="left"/>
            </w:pPr>
            <w:r/>
            <w:r>
              <w:rPr>
                <w:b/>
              </w:rPr>
              <w:t>TS</w:t>
            </w:r>
          </w:p>
        </w:tc>
        <w:tc>
          <w:tcPr>
            <w:tcW w:type="dxa" w:w="4703"/>
          </w:tcPr>
          <w:p>
            <w:pPr>
              <w:spacing w:after="20"/>
              <w:jc w:val="left"/>
            </w:pPr>
            <w:r/>
            <w:r>
              <w:t>Telemetry System. The observability backbone of Sentinel-L3, providing metrics ingestion, anomaly scoring, alerting, and AUP health signal provision. See Section 3.</w:t>
            </w:r>
          </w:p>
        </w:tc>
      </w:tr>
      <w:tr>
        <w:tc>
          <w:tcPr>
            <w:tcW w:type="dxa" w:w="4703"/>
          </w:tcPr>
          <w:p>
            <w:pPr>
              <w:spacing w:after="20"/>
              <w:jc w:val="left"/>
            </w:pPr>
            <w:r/>
            <w:r>
              <w:rPr>
                <w:b/>
              </w:rPr>
              <w:t>L3</w:t>
            </w:r>
          </w:p>
        </w:tc>
        <w:tc>
          <w:tcPr>
            <w:tcW w:type="dxa" w:w="4703"/>
          </w:tcPr>
          <w:p>
            <w:pPr>
              <w:spacing w:after="20"/>
              <w:jc w:val="left"/>
            </w:pPr>
            <w:r/>
            <w:r>
              <w:t>Layer 3. A rollup that settles to an L2 rollup (in this case, Base Mainnet) rather than directly to Ethereum L1. Sentinel-L3 is an L3 settling to Base (OP Stack), which in turn settles to Ethereum L1.</w:t>
            </w:r>
          </w:p>
        </w:tc>
      </w:tr>
      <w:tr>
        <w:tc>
          <w:tcPr>
            <w:tcW w:type="dxa" w:w="4703"/>
          </w:tcPr>
          <w:p>
            <w:pPr>
              <w:spacing w:after="20"/>
              <w:jc w:val="left"/>
            </w:pPr>
            <w:r/>
            <w:r>
              <w:rPr>
                <w:b/>
              </w:rPr>
              <w:t>Ring Model</w:t>
            </w:r>
          </w:p>
        </w:tc>
        <w:tc>
          <w:tcPr>
            <w:tcW w:type="dxa" w:w="4703"/>
          </w:tcPr>
          <w:p>
            <w:pPr>
              <w:spacing w:after="20"/>
              <w:jc w:val="left"/>
            </w:pPr>
            <w:r/>
            <w:r>
              <w:t>The five-ring staged rollout model used by the AUP to deploy upgrades incrementally across the node fleet. Rings 0–4 represent escalating cohorts of production nodes, with telemetry health gating between each ring. See Section 2.2.2.</w:t>
            </w:r>
          </w:p>
        </w:tc>
      </w:tr>
      <w:tr>
        <w:tc>
          <w:tcPr>
            <w:tcW w:type="dxa" w:w="4703"/>
          </w:tcPr>
          <w:p>
            <w:pPr>
              <w:spacing w:after="20"/>
              <w:jc w:val="left"/>
            </w:pPr>
            <w:r/>
            <w:r>
              <w:rPr>
                <w:b/>
              </w:rPr>
              <w:t>Manifest</w:t>
            </w:r>
          </w:p>
        </w:tc>
        <w:tc>
          <w:tcPr>
            <w:tcW w:type="dxa" w:w="4703"/>
          </w:tcPr>
          <w:p>
            <w:pPr>
              <w:spacing w:after="20"/>
              <w:jc w:val="left"/>
            </w:pPr>
            <w:r/>
            <w:r>
              <w:t>A declarative TOML file defining all steps, parameters, dependencies, and rollback procedures for a single upgrade. Manifests are content-addressed by SHA3-256 hash and registered on Base before execution. See Appendix A for the full schema.</w:t>
            </w:r>
          </w:p>
        </w:tc>
      </w:tr>
      <w:tr>
        <w:tc>
          <w:tcPr>
            <w:tcW w:type="dxa" w:w="4703"/>
          </w:tcPr>
          <w:p>
            <w:pPr>
              <w:spacing w:after="20"/>
              <w:jc w:val="left"/>
            </w:pPr>
            <w:r/>
            <w:r>
              <w:rPr>
                <w:b/>
              </w:rPr>
              <w:t>Content-Addressed Artifact</w:t>
            </w:r>
          </w:p>
        </w:tc>
        <w:tc>
          <w:tcPr>
            <w:tcW w:type="dxa" w:w="4703"/>
          </w:tcPr>
          <w:p>
            <w:pPr>
              <w:spacing w:after="20"/>
              <w:jc w:val="left"/>
            </w:pPr>
            <w:r/>
            <w:r>
              <w:t>An artifact (binary, config file, manifest) identified solely by the cryptographic hash of its content (SHA3-256). The hash is registered on-chain before execution; execution is rejected if the fetched artifact's hash does not match the registered hash.</w:t>
            </w:r>
          </w:p>
        </w:tc>
      </w:tr>
      <w:tr>
        <w:tc>
          <w:tcPr>
            <w:tcW w:type="dxa" w:w="4703"/>
          </w:tcPr>
          <w:p>
            <w:pPr>
              <w:spacing w:after="20"/>
              <w:jc w:val="left"/>
            </w:pPr>
            <w:r/>
            <w:r>
              <w:rPr>
                <w:b/>
              </w:rPr>
              <w:t>Anomaly Score</w:t>
            </w:r>
          </w:p>
        </w:tc>
        <w:tc>
          <w:tcPr>
            <w:tcW w:type="dxa" w:w="4703"/>
          </w:tcPr>
          <w:p>
            <w:pPr>
              <w:spacing w:after="20"/>
              <w:jc w:val="left"/>
            </w:pPr>
            <w:r/>
            <w:r>
              <w:t>A real number in [0.0, 1.0] computed by TS-003 per node per 10-second evaluation window, representing the degree of deviation from healthy baseline behavior. Drives AUP-005 rollback decisions. See Section 3.2.3 for threshold table and scoring algorithm.</w:t>
            </w:r>
          </w:p>
        </w:tc>
      </w:tr>
      <w:tr>
        <w:tc>
          <w:tcPr>
            <w:tcW w:type="dxa" w:w="4703"/>
          </w:tcPr>
          <w:p>
            <w:pPr>
              <w:spacing w:after="20"/>
              <w:jc w:val="left"/>
            </w:pPr>
            <w:r/>
            <w:r>
              <w:rPr>
                <w:b/>
              </w:rPr>
              <w:t>SPIFFE/SPIRE</w:t>
            </w:r>
          </w:p>
        </w:tc>
        <w:tc>
          <w:tcPr>
            <w:tcW w:type="dxa" w:w="4703"/>
          </w:tcPr>
          <w:p>
            <w:pPr>
              <w:spacing w:after="20"/>
              <w:jc w:val="left"/>
            </w:pPr>
            <w:r/>
            <w:r>
              <w:t>Secure Production Identity Framework for Everyone (SPIFFE) and the SPIRE runtime implementation. Used by Sentinel-L3 to issue cryptographic identity documents (SVIDs) to all services, enabling mTLS authentication without static certificates.</w:t>
            </w:r>
          </w:p>
        </w:tc>
      </w:tr>
      <w:tr>
        <w:tc>
          <w:tcPr>
            <w:tcW w:type="dxa" w:w="4703"/>
          </w:tcPr>
          <w:p>
            <w:pPr>
              <w:spacing w:after="20"/>
              <w:jc w:val="left"/>
            </w:pPr>
            <w:r/>
            <w:r>
              <w:rPr>
                <w:b/>
              </w:rPr>
              <w:t>SVID</w:t>
            </w:r>
          </w:p>
        </w:tc>
        <w:tc>
          <w:tcPr>
            <w:tcW w:type="dxa" w:w="4703"/>
          </w:tcPr>
          <w:p>
            <w:pPr>
              <w:spacing w:after="20"/>
              <w:jc w:val="left"/>
            </w:pPr>
            <w:r/>
            <w:r>
              <w:t>SPIFFE Verifiable Identity Document. A cryptographically verifiable identity credential issued by SPIRE to a workload or service. Used as the authentication basis for all inter-service mTLS connections in the Sentinel-L3 subsystems.</w:t>
            </w:r>
          </w:p>
        </w:tc>
      </w:tr>
      <w:tr>
        <w:tc>
          <w:tcPr>
            <w:tcW w:type="dxa" w:w="4703"/>
          </w:tcPr>
          <w:p>
            <w:pPr>
              <w:spacing w:after="20"/>
              <w:jc w:val="left"/>
            </w:pPr>
            <w:r/>
            <w:r>
              <w:rPr>
                <w:b/>
              </w:rPr>
              <w:t>ve-SNTL</w:t>
            </w:r>
          </w:p>
        </w:tc>
        <w:tc>
          <w:tcPr>
            <w:tcW w:type="dxa" w:w="4703"/>
          </w:tcPr>
          <w:p>
            <w:pPr>
              <w:spacing w:after="20"/>
              <w:jc w:val="left"/>
            </w:pPr>
            <w:r/>
            <w:r>
              <w:t xml:space="preserve">Vote-escrowed SNTL. The governance participation token derived from locking SNTL for a defined duration. Vote weight in </w:t>
            </w:r>
            <w:r>
              <w:t>SentinelGovernor.sol</w:t>
            </w:r>
            <w:r>
              <w:t xml:space="preserve"> is proportional to ve-SNTL balance, incentivizing long-term token holder participation in governance.</w:t>
            </w:r>
          </w:p>
        </w:tc>
      </w:tr>
      <w:tr>
        <w:tc>
          <w:tcPr>
            <w:tcW w:type="dxa" w:w="4703"/>
          </w:tcPr>
          <w:p>
            <w:pPr>
              <w:spacing w:after="20"/>
              <w:jc w:val="left"/>
            </w:pPr>
            <w:r/>
            <w:r>
              <w:rPr>
                <w:b/>
              </w:rPr>
              <w:t>Sequencer</w:t>
            </w:r>
          </w:p>
        </w:tc>
        <w:tc>
          <w:tcPr>
            <w:tcW w:type="dxa" w:w="4703"/>
          </w:tcPr>
          <w:p>
            <w:pPr>
              <w:spacing w:after="20"/>
              <w:jc w:val="left"/>
            </w:pPr>
            <w:r/>
            <w:r>
              <w:t>The node responsible for ordering and producing L3 blocks. Sentinel-L3 operates with a primary sequencer (SQ-PRIMARY) and a hot standby fallback (SQ-FALLBACK). The sequencer does not determine finality; finality is derived from Base L2 batch inclusion.</w:t>
            </w:r>
          </w:p>
        </w:tc>
      </w:tr>
      <w:tr>
        <w:tc>
          <w:tcPr>
            <w:tcW w:type="dxa" w:w="4703"/>
          </w:tcPr>
          <w:p>
            <w:pPr>
              <w:spacing w:after="20"/>
              <w:jc w:val="left"/>
            </w:pPr>
            <w:r/>
            <w:r>
              <w:rPr>
                <w:b/>
              </w:rPr>
              <w:t>Validator</w:t>
            </w:r>
          </w:p>
        </w:tc>
        <w:tc>
          <w:tcPr>
            <w:tcW w:type="dxa" w:w="4703"/>
          </w:tcPr>
          <w:p>
            <w:pPr>
              <w:spacing w:after="20"/>
              <w:jc w:val="left"/>
            </w:pPr>
            <w:r/>
            <w:r>
              <w:t>A node that attests to the sequencer's block output and participates in the Cannon fault proof system. Sentinel-L3 operates 12 validators in a global full-mesh topology. The network requires ≥7 of 12 validators to maintain attestation continuity.</w:t>
            </w:r>
          </w:p>
        </w:tc>
      </w:tr>
      <w:tr>
        <w:tc>
          <w:tcPr>
            <w:tcW w:type="dxa" w:w="4703"/>
          </w:tcPr>
          <w:p>
            <w:pPr>
              <w:spacing w:after="20"/>
              <w:jc w:val="left"/>
            </w:pPr>
            <w:r/>
            <w:r>
              <w:rPr>
                <w:b/>
              </w:rPr>
              <w:t>Archive Node</w:t>
            </w:r>
          </w:p>
        </w:tc>
        <w:tc>
          <w:tcPr>
            <w:tcW w:type="dxa" w:w="4703"/>
          </w:tcPr>
          <w:p>
            <w:pPr>
              <w:spacing w:after="20"/>
              <w:jc w:val="left"/>
            </w:pPr>
            <w:r/>
            <w:r>
              <w:t>A node that retains the full Sentinel-L3 chain history from genesis, including all historical state (account balances, contract storage) at every block. Archive nodes serve historical state queries not available from pruned full nodes.</w:t>
            </w:r>
          </w:p>
        </w:tc>
      </w:tr>
      <w:tr>
        <w:tc>
          <w:tcPr>
            <w:tcW w:type="dxa" w:w="4703"/>
          </w:tcPr>
          <w:p>
            <w:pPr>
              <w:spacing w:after="20"/>
              <w:jc w:val="left"/>
            </w:pPr>
            <w:r/>
            <w:r>
              <w:rPr>
                <w:b/>
              </w:rPr>
              <w:t>Telemetry Agent</w:t>
            </w:r>
          </w:p>
        </w:tc>
        <w:tc>
          <w:tcPr>
            <w:tcW w:type="dxa" w:w="4703"/>
          </w:tcPr>
          <w:p>
            <w:pPr>
              <w:spacing w:after="20"/>
              <w:jc w:val="left"/>
            </w:pPr>
            <w:r/>
            <w:r>
              <w:t>The TS-001 module. A Rust-implemented sidecar process deployed on every AUP-managed node. Collects metrics, traces, and structured event logs from the local node process and forwards them to the regional TS-002 aggregator.</w:t>
            </w:r>
          </w:p>
        </w:tc>
      </w:tr>
      <w:tr>
        <w:tc>
          <w:tcPr>
            <w:tcW w:type="dxa" w:w="4703"/>
          </w:tcPr>
          <w:p>
            <w:pPr>
              <w:spacing w:after="20"/>
              <w:jc w:val="left"/>
            </w:pPr>
            <w:r/>
            <w:r>
              <w:rPr>
                <w:b/>
              </w:rPr>
              <w:t>Aggregation Relay</w:t>
            </w:r>
          </w:p>
        </w:tc>
        <w:tc>
          <w:tcPr>
            <w:tcW w:type="dxa" w:w="4703"/>
          </w:tcPr>
          <w:p>
            <w:pPr>
              <w:spacing w:after="20"/>
              <w:jc w:val="left"/>
            </w:pPr>
            <w:r/>
            <w:r>
              <w:t>The TS-002 module. A regional Go service that receives telemetry streams from TS-001 agents in its geographic region, deduplicates, batches, and forwards them to the TS-003 stream processor and TS-004 time-series store.</w:t>
            </w:r>
          </w:p>
        </w:tc>
      </w:tr>
      <w:tr>
        <w:tc>
          <w:tcPr>
            <w:tcW w:type="dxa" w:w="4703"/>
          </w:tcPr>
          <w:p>
            <w:pPr>
              <w:spacing w:after="20"/>
              <w:jc w:val="left"/>
            </w:pPr>
            <w:r/>
            <w:r>
              <w:rPr>
                <w:b/>
              </w:rPr>
              <w:t>Epoch</w:t>
            </w:r>
          </w:p>
        </w:tc>
        <w:tc>
          <w:tcPr>
            <w:tcW w:type="dxa" w:w="4703"/>
          </w:tcPr>
          <w:p>
            <w:pPr>
              <w:spacing w:after="20"/>
              <w:jc w:val="left"/>
            </w:pPr>
            <w:r/>
            <w:r>
              <w:t>In the Sentinel-L3 operational context, an epoch corresponds to 7,200 Base L2 blocks (~24 hours at ~12s Base block time). Atlas snapshots are published every epoch. The term is used consistently across AUP audit anchoring and Atlas snapshot cadence definitions.</w:t>
            </w:r>
          </w:p>
        </w:tc>
      </w:tr>
      <w:tr>
        <w:tc>
          <w:tcPr>
            <w:tcW w:type="dxa" w:w="4703"/>
          </w:tcPr>
          <w:p>
            <w:pPr>
              <w:spacing w:after="20"/>
              <w:jc w:val="left"/>
            </w:pPr>
            <w:r/>
            <w:r>
              <w:rPr>
                <w:b/>
              </w:rPr>
              <w:t>Hard Finality</w:t>
            </w:r>
          </w:p>
        </w:tc>
        <w:tc>
          <w:tcPr>
            <w:tcW w:type="dxa" w:w="4703"/>
          </w:tcPr>
          <w:p>
            <w:pPr>
              <w:spacing w:after="20"/>
              <w:jc w:val="left"/>
            </w:pPr>
            <w:r/>
            <w:r>
              <w:t>Finality that is irreversible under the security assumptions of the underlying settlement layer. For Sentinel-L3, hard finality is achieved when the relevant L3 block's transactions are included in an L2 batch that is itself finalized on Ethereum L1 (~15 minutes end-to-end).</w:t>
            </w:r>
          </w:p>
        </w:tc>
      </w:tr>
      <w:tr>
        <w:tc>
          <w:tcPr>
            <w:tcW w:type="dxa" w:w="4703"/>
          </w:tcPr>
          <w:p>
            <w:pPr>
              <w:spacing w:after="20"/>
              <w:jc w:val="left"/>
            </w:pPr>
            <w:r/>
            <w:r>
              <w:rPr>
                <w:b/>
              </w:rPr>
              <w:t>Soft Finality</w:t>
            </w:r>
          </w:p>
        </w:tc>
        <w:tc>
          <w:tcPr>
            <w:tcW w:type="dxa" w:w="4703"/>
          </w:tcPr>
          <w:p>
            <w:pPr>
              <w:spacing w:after="20"/>
              <w:jc w:val="left"/>
            </w:pPr>
            <w:r/>
            <w:r>
              <w:t>The practical finality achieved within the L3 sequencer's ordering context, before L2 batch inclusion. For Sentinel-L3, soft finality is achieved within 1–2 L3 blocks (~250–500ms). Soft-final blocks may theoretically be reorganized if the sequencer is Byzantine, but this risk is bounded by the sequencer's slashability on Base.</w:t>
            </w:r>
          </w:p>
        </w:tc>
      </w:tr>
      <w:tr>
        <w:tc>
          <w:tcPr>
            <w:tcW w:type="dxa" w:w="4703"/>
          </w:tcPr>
          <w:p>
            <w:pPr>
              <w:spacing w:after="20"/>
              <w:jc w:val="left"/>
            </w:pPr>
            <w:r/>
            <w:r>
              <w:rPr>
                <w:b/>
              </w:rPr>
              <w:t>Derivation Pipeline</w:t>
            </w:r>
          </w:p>
        </w:tc>
        <w:tc>
          <w:tcPr>
            <w:tcW w:type="dxa" w:w="4703"/>
          </w:tcPr>
          <w:p>
            <w:pPr>
              <w:spacing w:after="20"/>
              <w:jc w:val="left"/>
            </w:pPr>
            <w:r/>
            <w:r>
              <w:t>The op-node component responsible for deriving the canonical L3 chain from L2 batch data posted by the sequencer on Base Mainnet. The derivation pipeline enforces L3 state transition validity according to the Sentinel protocol rules and is the critical path for L3 finality derivation from L2.</w:t>
            </w:r>
          </w:p>
        </w:tc>
      </w:tr>
    </w:tbl>
    <w:p/>
    <w:p>
      <w:pPr>
        <w:spacing w:after="80"/>
      </w:pPr>
      <w:r>
        <w:t>============================================================</w:t>
      </w:r>
    </w:p>
    <w:p>
      <w:pPr>
        <w:spacing w:after="80"/>
      </w:pPr>
      <w:r>
        <w:t>APPENDIX D — VERSION HISTORY</w:t>
      </w:r>
    </w:p>
    <w:p>
      <w:pPr>
        <w:spacing w:after="80"/>
      </w:pPr>
      <w:r>
        <w:t>============================================================</w:t>
      </w:r>
    </w:p>
    <w:p>
      <w:pPr>
        <w:pStyle w:val="Heading1"/>
        <w:spacing w:before="360" w:after="120"/>
      </w:pPr>
      <w:r>
        <w:t>Appendix D — Version History</w:t>
      </w:r>
    </w:p>
    <w:p>
      <w:pPr>
        <w:spacing w:after="40"/>
      </w:pPr>
    </w:p>
    <w:p>
      <w:pPr>
        <w:spacing w:after="120"/>
      </w:pPr>
      <w:r>
        <w:t xml:space="preserve">The following table records the revision history of this dossier. All versions are tagged in the Sentinel Core Engineering version control system and are archived in TS-005 for audit continuity. The content hash of each published version is registered in </w:t>
      </w:r>
      <w:r>
        <w:t>UpgradeRegistry.sol</w:t>
      </w:r>
      <w:r>
        <w:t xml:space="preserve"> on Base at publication time.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spacing w:after="20"/>
              <w:jc w:val="left"/>
            </w:pPr>
            <w:r>
              <w:rPr>
                <w:b/>
                <w:color w:val="FFFFFF"/>
              </w:rPr>
            </w:r>
            <w:r>
              <w:rPr>
                <w:b/>
                <w:color w:val="FFFFFF"/>
              </w:rPr>
              <w:t>Version</w:t>
            </w:r>
          </w:p>
        </w:tc>
        <w:tc>
          <w:tcPr>
            <w:tcW w:type="dxa" w:w="2351"/>
            <w:shd w:val="clear" w:color="auto" w:fill="1F3864"/>
          </w:tcPr>
          <w:p>
            <w:pPr>
              <w:spacing w:after="20"/>
              <w:jc w:val="left"/>
            </w:pPr>
            <w:r>
              <w:rPr>
                <w:b/>
                <w:color w:val="FFFFFF"/>
              </w:rPr>
            </w:r>
            <w:r>
              <w:rPr>
                <w:b/>
                <w:color w:val="FFFFFF"/>
              </w:rPr>
              <w:t>Date</w:t>
            </w:r>
          </w:p>
        </w:tc>
        <w:tc>
          <w:tcPr>
            <w:tcW w:type="dxa" w:w="2351"/>
            <w:shd w:val="clear" w:color="auto" w:fill="1F3864"/>
          </w:tcPr>
          <w:p>
            <w:pPr>
              <w:spacing w:after="20"/>
              <w:jc w:val="left"/>
            </w:pPr>
            <w:r>
              <w:rPr>
                <w:b/>
                <w:color w:val="FFFFFF"/>
              </w:rPr>
            </w:r>
            <w:r>
              <w:rPr>
                <w:b/>
                <w:color w:val="FFFFFF"/>
              </w:rPr>
              <w:t>Author</w:t>
            </w:r>
          </w:p>
        </w:tc>
        <w:tc>
          <w:tcPr>
            <w:tcW w:type="dxa" w:w="2351"/>
            <w:shd w:val="clear" w:color="auto" w:fill="1F3864"/>
          </w:tcPr>
          <w:p>
            <w:pPr>
              <w:spacing w:after="20"/>
              <w:jc w:val="left"/>
            </w:pPr>
            <w:r>
              <w:rPr>
                <w:b/>
                <w:color w:val="FFFFFF"/>
              </w:rPr>
            </w:r>
            <w:r>
              <w:rPr>
                <w:b/>
                <w:color w:val="FFFFFF"/>
              </w:rPr>
              <w:t>Summary of Changes</w:t>
            </w:r>
          </w:p>
        </w:tc>
      </w:tr>
      <w:tr>
        <w:tc>
          <w:tcPr>
            <w:tcW w:type="dxa" w:w="2351"/>
          </w:tcPr>
          <w:p>
            <w:pPr>
              <w:spacing w:after="20"/>
              <w:jc w:val="left"/>
            </w:pPr>
            <w:r/>
            <w:r>
              <w:t>v3.1.0</w:t>
            </w:r>
          </w:p>
        </w:tc>
        <w:tc>
          <w:tcPr>
            <w:tcW w:type="dxa" w:w="2351"/>
          </w:tcPr>
          <w:p>
            <w:pPr>
              <w:spacing w:after="20"/>
              <w:jc w:val="left"/>
            </w:pPr>
            <w:r/>
            <w:r>
              <w:t>July 16, 2026</w:t>
            </w:r>
          </w:p>
        </w:tc>
        <w:tc>
          <w:tcPr>
            <w:tcW w:type="dxa" w:w="2351"/>
          </w:tcPr>
          <w:p>
            <w:pPr>
              <w:spacing w:after="20"/>
              <w:jc w:val="left"/>
            </w:pPr>
            <w:r/>
            <w:r>
              <w:t>Sentinel Core Engineering (Allen, TX — CDT)</w:t>
            </w:r>
          </w:p>
        </w:tc>
        <w:tc>
          <w:tcPr>
            <w:tcW w:type="dxa" w:w="2351"/>
          </w:tcPr>
          <w:p>
            <w:pPr>
              <w:spacing w:after="20"/>
              <w:jc w:val="left"/>
            </w:pPr>
            <w:r/>
            <w:r>
              <w:t>Unified all three subsystem specifications (AUP, Telemetry, Network Atlas) into a single production dossier. Added anomaly score threshold table with AUP behavioral mappings. Updated all contract addresses to v3 deployment. Expanded Ring 3 and Ring 4 exit criteria. Added cross-subsystem integration matrix (Section 5). Expanded security model with SBOM and reproducible build requirements. This document supersedes all prior subsystem-specific specifications.</w:t>
            </w:r>
          </w:p>
        </w:tc>
      </w:tr>
      <w:tr>
        <w:tc>
          <w:tcPr>
            <w:tcW w:type="dxa" w:w="2351"/>
          </w:tcPr>
          <w:p>
            <w:pPr>
              <w:spacing w:after="20"/>
              <w:jc w:val="left"/>
            </w:pPr>
            <w:r/>
            <w:r>
              <w:t>v3.0.0</w:t>
            </w:r>
          </w:p>
        </w:tc>
        <w:tc>
          <w:tcPr>
            <w:tcW w:type="dxa" w:w="2351"/>
          </w:tcPr>
          <w:p>
            <w:pPr>
              <w:spacing w:after="20"/>
              <w:jc w:val="left"/>
            </w:pPr>
            <w:r/>
            <w:r>
              <w:t>April 1, 2026</w:t>
            </w:r>
          </w:p>
        </w:tc>
        <w:tc>
          <w:tcPr>
            <w:tcW w:type="dxa" w:w="2351"/>
          </w:tcPr>
          <w:p>
            <w:pPr>
              <w:spacing w:after="20"/>
              <w:jc w:val="left"/>
            </w:pPr>
            <w:r/>
            <w:r>
              <w:t>Sentinel Core Engineering</w:t>
            </w:r>
          </w:p>
        </w:tc>
        <w:tc>
          <w:tcPr>
            <w:tcW w:type="dxa" w:w="2351"/>
          </w:tcPr>
          <w:p>
            <w:pPr>
              <w:spacing w:after="20"/>
              <w:jc w:val="left"/>
            </w:pPr>
            <w:r/>
            <w:r>
              <w:t>Major rework of AUP ring model: expanded from 3-ring to 5-ring staged rollout (added Ring 0 devnet shadow and Ring 4 sequencer isolation). Updated staging ring observation windows. Introduced block-height-gated ring transitions (replacing wall-clock gating). Added SQ-FALLBACK as a distinct Ring 4 target preceding SQ-PRIMARY. Revised governance flow to reflect ve-SNTL vote weighting. Updated SPIFFE/SPIRE mTLS requirement for all inter-service communication.</w:t>
            </w:r>
          </w:p>
        </w:tc>
      </w:tr>
      <w:tr>
        <w:tc>
          <w:tcPr>
            <w:tcW w:type="dxa" w:w="2351"/>
          </w:tcPr>
          <w:p>
            <w:pPr>
              <w:spacing w:after="20"/>
              <w:jc w:val="left"/>
            </w:pPr>
            <w:r/>
            <w:r>
              <w:t>v2.5.2</w:t>
            </w:r>
          </w:p>
        </w:tc>
        <w:tc>
          <w:tcPr>
            <w:tcW w:type="dxa" w:w="2351"/>
          </w:tcPr>
          <w:p>
            <w:pPr>
              <w:spacing w:after="20"/>
              <w:jc w:val="left"/>
            </w:pPr>
            <w:r/>
            <w:r>
              <w:t>January 10, 2026</w:t>
            </w:r>
          </w:p>
        </w:tc>
        <w:tc>
          <w:tcPr>
            <w:tcW w:type="dxa" w:w="2351"/>
          </w:tcPr>
          <w:p>
            <w:pPr>
              <w:spacing w:after="20"/>
              <w:jc w:val="left"/>
            </w:pPr>
            <w:r/>
            <w:r>
              <w:t>Sentinel Core Engineering</w:t>
            </w:r>
          </w:p>
        </w:tc>
        <w:tc>
          <w:tcPr>
            <w:tcW w:type="dxa" w:w="2351"/>
          </w:tcPr>
          <w:p>
            <w:pPr>
              <w:spacing w:after="20"/>
              <w:jc w:val="left"/>
            </w:pPr>
            <w:r/>
            <w:r>
              <w:t>Added Telemetry streams STR-007 (Cross-Layer Bridge Events) and STR-008 (Resource Utilization). Updated TS-006 alerting to include geographic routing via NA-004. Added TS-003 L2 finality tracking capability. Minor corrections to Section 3.2.4 data retention schedule.</w:t>
            </w:r>
          </w:p>
        </w:tc>
      </w:tr>
      <w:tr>
        <w:tc>
          <w:tcPr>
            <w:tcW w:type="dxa" w:w="2351"/>
          </w:tcPr>
          <w:p>
            <w:pPr>
              <w:spacing w:after="20"/>
              <w:jc w:val="left"/>
            </w:pPr>
            <w:r/>
            <w:r>
              <w:t>v2.5.0</w:t>
            </w:r>
          </w:p>
        </w:tc>
        <w:tc>
          <w:tcPr>
            <w:tcW w:type="dxa" w:w="2351"/>
          </w:tcPr>
          <w:p>
            <w:pPr>
              <w:spacing w:after="20"/>
              <w:jc w:val="left"/>
            </w:pPr>
            <w:r/>
            <w:r>
              <w:t>November 15, 2025</w:t>
            </w:r>
          </w:p>
        </w:tc>
        <w:tc>
          <w:tcPr>
            <w:tcW w:type="dxa" w:w="2351"/>
          </w:tcPr>
          <w:p>
            <w:pPr>
              <w:spacing w:after="20"/>
              <w:jc w:val="left"/>
            </w:pPr>
            <w:r/>
            <w:r>
              <w:t>Sentinel Core Engineering</w:t>
            </w:r>
          </w:p>
        </w:tc>
        <w:tc>
          <w:tcPr>
            <w:tcW w:type="dxa" w:w="2351"/>
          </w:tcPr>
          <w:p>
            <w:pPr>
              <w:spacing w:after="20"/>
              <w:jc w:val="left"/>
            </w:pPr>
            <w:r/>
            <w:r>
              <w:t>Network Atlas initial production release. Added Section 4 in full. Added NA module breakdown (NA-001 through NA-007). Introduced Version Registry schema. Added Atlas ↔ AUP and Atlas ↔ Telemetry integration sections. Introduced NA-007 signed snapshot publication to Base (AtlasRegistry.sol). Updated Section 5 cross-subsystem integration to reflect Atlas as the third subsystem.</w:t>
            </w:r>
          </w:p>
        </w:tc>
      </w:tr>
      <w:tr>
        <w:tc>
          <w:tcPr>
            <w:tcW w:type="dxa" w:w="2351"/>
          </w:tcPr>
          <w:p>
            <w:pPr>
              <w:spacing w:after="20"/>
              <w:jc w:val="left"/>
            </w:pPr>
            <w:r/>
            <w:r>
              <w:t>v2.0.0</w:t>
            </w:r>
          </w:p>
        </w:tc>
        <w:tc>
          <w:tcPr>
            <w:tcW w:type="dxa" w:w="2351"/>
          </w:tcPr>
          <w:p>
            <w:pPr>
              <w:spacing w:after="20"/>
              <w:jc w:val="left"/>
            </w:pPr>
            <w:r/>
            <w:r>
              <w:t>August 1, 2025</w:t>
            </w:r>
          </w:p>
        </w:tc>
        <w:tc>
          <w:tcPr>
            <w:tcW w:type="dxa" w:w="2351"/>
          </w:tcPr>
          <w:p>
            <w:pPr>
              <w:spacing w:after="20"/>
              <w:jc w:val="left"/>
            </w:pPr>
            <w:r/>
            <w:r>
              <w:t>Sentinel Core Engineering</w:t>
            </w:r>
          </w:p>
        </w:tc>
        <w:tc>
          <w:tcPr>
            <w:tcW w:type="dxa" w:w="2351"/>
          </w:tcPr>
          <w:p>
            <w:pPr>
              <w:spacing w:after="20"/>
              <w:jc w:val="left"/>
            </w:pPr>
            <w:r/>
            <w:r>
              <w:t>AUP production deployment and governance integration go-live. This version marked the transition from testnet to mainnet operation. Added SentinelGovernor.sol deployment details and AUP-007 Governance Bridge Adapter specification. Telemetry System declared production-ready. First version with all Base Mainnet contract addresses populated. Added Security Model section (Section 6.3) and Incident Severity Matrix (Section 6.4). Established quarterly red team requirement.</w:t>
            </w:r>
          </w:p>
        </w:tc>
      </w:tr>
    </w:tbl>
    <w:p/>
    <w:p>
      <w:pPr>
        <w:spacing w:after="80"/>
      </w:pPr>
      <w:r>
        <w:t>DOCUMENT FOOTER</w:t>
      </w:r>
    </w:p>
    <w:p>
      <w:pPr>
        <w:spacing w:after="40"/>
      </w:pPr>
    </w:p>
    <w:p>
      <w:pPr>
        <w:spacing w:after="120"/>
      </w:pPr>
      <w:r>
        <w:rPr>
          <w:b/>
        </w:rPr>
        <w:t>SENTINEL-L3 UNIFIED DOSSIER</w:t>
      </w:r>
      <w:r>
        <w:t xml:space="preserve">  |  Version 3.1.0  |  July 16, 2026  |  INTERNAL — PRODUCTION SPECIFICATION</w:t>
      </w:r>
      <w:r>
        <w:br/>
        <w:t xml:space="preserve">        Compiled by Sentinel Core Engineering  |  Allen, TX  |  03:43 CDT</w:t>
      </w:r>
      <w:r>
        <w:br/>
        <w:t xml:space="preserve">        Document is subject to version control. Verify currency against AtlasRegistry.sol on Base Mainnet before use in production operations.</w:t>
        <w:br/>
        <w:t xml:space="preserve">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