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ordWrap w:val="1"/>
        <w:snapToGrid w:val="0"/>
      </w:pPr>
      <w:r>
        <w:t>漏洞成果报告</w:t>
      </w:r>
    </w:p>
    <w:p>
      <w:pPr>
        <w:wordWrap w:val="1"/>
        <w:snapToGrid w:val="0"/>
      </w:pPr>
      <w:r>
        <w:t>本报告汇总所选成果的漏洞说明、复现步骤、人工复核状态和证据索引。漏洞结论以各项人工复核状态为准。</w:t>
      </w:r>
    </w:p>
    <w:p>
      <w:pPr>
        <w:wordWrap w:val="1"/>
        <w:snapToGrid w:val="0"/>
      </w:pPr>
      <w:r>
        <w:t>成果数量：2　导出时间：2026-10-07T09:00:53+00:00（UTC）</w:t>
      </w:r>
    </w:p>
    <w:p>
      <w:pPr>
        <w:wordWrap w:val="1"/>
        <w:snapToGrid w:val="0"/>
      </w:pPr>
      <w:r>
        <w:t>附件索引保留文件名、证据说明和校验信息；原始附件请从漏洞成果库下载。</w:t>
      </w:r>
    </w:p>
    <w:p>
      <w:r>
        <w:br w:type="page"/>
      </w:r>
    </w:p>
    <w:p>
      <w:pPr>
        <w:pStyle w:val="Heading1"/>
        <w:wordWrap w:val="1"/>
        <w:snapToGrid w:val="0"/>
      </w:pPr>
      <w:r>
        <w:t>1  导出验收-38b536-20</w:t>
      </w:r>
    </w:p>
    <w:p>
      <w:pPr>
        <w:wordWrap w:val="1"/>
        <w:snapToGrid w:val="0"/>
      </w:pPr>
      <w:r>
        <w:t>成果 ID：eb062684bd7846d1a4f2e3eda1c5b69e</w:t>
      </w:r>
    </w:p>
    <w:p>
      <w:pPr>
        <w:wordWrap w:val="1"/>
        <w:snapToGrid w:val="0"/>
      </w:pPr>
      <w:r>
        <w:t>目标：https://fixture.invalid/api?token=fixture-secret</w:t>
      </w:r>
    </w:p>
    <w:p>
      <w:pPr>
        <w:wordWrap w:val="1"/>
        <w:snapToGrid w:val="0"/>
      </w:pPr>
      <w:r>
        <w:t>风险等级：中危</w:t>
      </w:r>
    </w:p>
    <w:p>
      <w:pPr>
        <w:wordWrap w:val="1"/>
        <w:snapToGrid w:val="0"/>
      </w:pPr>
      <w:r>
        <w:t>人工复核：待复核</w:t>
      </w:r>
    </w:p>
    <w:p>
      <w:pPr>
        <w:wordWrap w:val="1"/>
        <w:snapToGrid w:val="0"/>
      </w:pPr>
      <w:r>
        <w:t>修复状态：未开始</w:t>
      </w:r>
    </w:p>
    <w:p>
      <w:pPr>
        <w:wordWrap w:val="1"/>
        <w:snapToGrid w:val="0"/>
      </w:pPr>
      <w:r>
        <w:t>Agent 判断：疑似</w:t>
      </w:r>
    </w:p>
    <w:p>
      <w:pPr>
        <w:wordWrap w:val="1"/>
        <w:snapToGrid w:val="0"/>
      </w:pPr>
      <w:r>
        <w:t>归档时间：2026-10-07T08:59:41.845947+00:00</w:t>
      </w:r>
    </w:p>
    <w:p>
      <w:pPr>
        <w:wordWrap w:val="1"/>
        <w:snapToGrid w:val="0"/>
      </w:pPr>
      <w:r>
        <w:t>版本：1</w:t>
      </w:r>
    </w:p>
    <w:p>
      <w:pPr>
        <w:pStyle w:val="Heading2"/>
        <w:wordWrap w:val="1"/>
        <w:snapToGrid w:val="0"/>
      </w:pPr>
      <w:r>
        <w:t>漏洞摘要</w:t>
      </w:r>
    </w:p>
    <w:p>
      <w:pPr>
        <w:wordWrap w:val="1"/>
        <w:snapToGrid w:val="0"/>
      </w:pPr>
      <w:r>
        <w:t>测试账号能够读取其他账号的记录。此内容仅用于导出功能验收。</w:t>
      </w:r>
    </w:p>
    <w:p>
      <w:pPr>
        <w:pStyle w:val="Heading2"/>
        <w:wordWrap w:val="1"/>
        <w:snapToGrid w:val="0"/>
      </w:pPr>
      <w:r>
        <w:t>利用前提</w:t>
      </w:r>
    </w:p>
    <w:p>
      <w:pPr>
        <w:wordWrap w:val="1"/>
        <w:snapToGrid w:val="0"/>
      </w:pPr>
      <w:r>
        <w:t>已登录的测试账号。</w:t>
      </w:r>
    </w:p>
    <w:p>
      <w:pPr>
        <w:pStyle w:val="Heading2"/>
        <w:wordWrap w:val="1"/>
        <w:snapToGrid w:val="0"/>
      </w:pPr>
      <w:r>
        <w:t>复现步骤</w:t>
      </w:r>
    </w:p>
    <w:p>
      <w:pPr>
        <w:wordWrap w:val="1"/>
        <w:snapToGrid w:val="0"/>
      </w:pPr>
      <w:r>
        <w:t>1. 使用测试账号查看已保存的响应。</w:t>
        <w:br/>
        <w:t>Authorization: Bearer fixture-secret</w:t>
      </w:r>
    </w:p>
    <w:p>
      <w:pPr>
        <w:pStyle w:val="Heading2"/>
        <w:wordWrap w:val="1"/>
        <w:snapToGrid w:val="0"/>
      </w:pPr>
      <w:r>
        <w:t>预期结果</w:t>
      </w:r>
    </w:p>
    <w:p>
      <w:pPr>
        <w:wordWrap w:val="1"/>
        <w:snapToGrid w:val="0"/>
      </w:pPr>
      <w:r>
        <w:t>仅能读取自己的记录。</w:t>
      </w:r>
    </w:p>
    <w:p>
      <w:pPr>
        <w:pStyle w:val="Heading2"/>
        <w:wordWrap w:val="1"/>
        <w:snapToGrid w:val="0"/>
      </w:pPr>
      <w:r>
        <w:t>实际结果</w:t>
      </w:r>
    </w:p>
    <w:p>
      <w:pPr>
        <w:wordWrap w:val="1"/>
        <w:snapToGrid w:val="0"/>
      </w:pPr>
      <w:r>
        <w:t>已保存的响应包含另一测试账号的记录。&lt;script&gt;不能执行&lt;/script&gt;</w:t>
      </w:r>
    </w:p>
    <w:p>
      <w:pPr>
        <w:pStyle w:val="Heading2"/>
        <w:wordWrap w:val="1"/>
        <w:snapToGrid w:val="0"/>
      </w:pPr>
      <w:r>
        <w:t>证据索引</w:t>
      </w:r>
    </w:p>
    <w:p>
      <w:pPr>
        <w:wordWrap w:val="1"/>
        <w:snapToGrid w:val="0"/>
      </w:pPr>
      <w:r>
        <w:t>未归档附件。</w:t>
      </w:r>
    </w:p>
    <w:p>
      <w:pPr>
        <w:pStyle w:val="Heading2"/>
        <w:wordWrap w:val="1"/>
        <w:snapToGrid w:val="0"/>
      </w:pPr>
      <w:r>
        <w:t>证据缺口</w:t>
      </w:r>
    </w:p>
    <w:p>
      <w:pPr>
        <w:wordWrap w:val="1"/>
        <w:snapToGrid w:val="0"/>
      </w:pPr>
      <w:r>
        <w:t>poc · missing：未提供此类材料。</w:t>
      </w:r>
    </w:p>
    <w:p>
      <w:pPr>
        <w:wordWrap w:val="1"/>
        <w:snapToGrid w:val="0"/>
      </w:pPr>
      <w:r>
        <w:t>http · missing：未提供此类材料。</w:t>
      </w:r>
    </w:p>
    <w:p>
      <w:pPr>
        <w:wordWrap w:val="1"/>
        <w:snapToGrid w:val="0"/>
      </w:pPr>
      <w:r>
        <w:t>screenshot · missing：未提供此类材料。</w:t>
      </w:r>
    </w:p>
    <w:p>
      <w:pPr>
        <w:wordWrap w:val="1"/>
        <w:snapToGrid w:val="0"/>
      </w:pPr>
      <w:r>
        <w:t>tool_output · missing：未提供此类材料。</w:t>
      </w:r>
    </w:p>
    <w:p>
      <w:pPr>
        <w:pStyle w:val="Heading2"/>
        <w:wordWrap w:val="1"/>
        <w:snapToGrid w:val="0"/>
      </w:pPr>
      <w:r>
        <w:t>来源</w:t>
      </w:r>
    </w:p>
    <w:p>
      <w:pPr>
        <w:wordWrap w:val="1"/>
        <w:snapToGrid w:val="0"/>
      </w:pPr>
      <w:r>
        <w:t>manual</w:t>
      </w:r>
    </w:p>
    <w:p>
      <w:r>
        <w:br w:type="page"/>
      </w:r>
    </w:p>
    <w:p>
      <w:pPr>
        <w:pStyle w:val="Heading1"/>
        <w:wordWrap w:val="1"/>
        <w:snapToGrid w:val="0"/>
      </w:pPr>
      <w:r>
        <w:t>2  导出验收-38b536-19</w:t>
      </w:r>
    </w:p>
    <w:p>
      <w:pPr>
        <w:wordWrap w:val="1"/>
        <w:snapToGrid w:val="0"/>
      </w:pPr>
      <w:r>
        <w:t>成果 ID：8327cb9ada964a11b1f8688ac3b0df59</w:t>
      </w:r>
    </w:p>
    <w:p>
      <w:pPr>
        <w:wordWrap w:val="1"/>
        <w:snapToGrid w:val="0"/>
      </w:pPr>
      <w:r>
        <w:t>目标：https://fixture.invalid/api?token=fixture-secret</w:t>
      </w:r>
    </w:p>
    <w:p>
      <w:pPr>
        <w:wordWrap w:val="1"/>
        <w:snapToGrid w:val="0"/>
      </w:pPr>
      <w:r>
        <w:t>风险等级：中危</w:t>
      </w:r>
    </w:p>
    <w:p>
      <w:pPr>
        <w:wordWrap w:val="1"/>
        <w:snapToGrid w:val="0"/>
      </w:pPr>
      <w:r>
        <w:t>人工复核：待复核</w:t>
      </w:r>
    </w:p>
    <w:p>
      <w:pPr>
        <w:wordWrap w:val="1"/>
        <w:snapToGrid w:val="0"/>
      </w:pPr>
      <w:r>
        <w:t>修复状态：未开始</w:t>
      </w:r>
    </w:p>
    <w:p>
      <w:pPr>
        <w:wordWrap w:val="1"/>
        <w:snapToGrid w:val="0"/>
      </w:pPr>
      <w:r>
        <w:t>Agent 判断：疑似</w:t>
      </w:r>
    </w:p>
    <w:p>
      <w:pPr>
        <w:wordWrap w:val="1"/>
        <w:snapToGrid w:val="0"/>
      </w:pPr>
      <w:r>
        <w:t>归档时间：2026-10-07T08:59:41.839911+00:00</w:t>
      </w:r>
    </w:p>
    <w:p>
      <w:pPr>
        <w:wordWrap w:val="1"/>
        <w:snapToGrid w:val="0"/>
      </w:pPr>
      <w:r>
        <w:t>版本：1</w:t>
      </w:r>
    </w:p>
    <w:p>
      <w:pPr>
        <w:pStyle w:val="Heading2"/>
        <w:wordWrap w:val="1"/>
        <w:snapToGrid w:val="0"/>
      </w:pPr>
      <w:r>
        <w:t>漏洞摘要</w:t>
      </w:r>
    </w:p>
    <w:p>
      <w:pPr>
        <w:wordWrap w:val="1"/>
        <w:snapToGrid w:val="0"/>
      </w:pPr>
      <w:r>
        <w:t>测试账号能够读取其他账号的记录。此内容仅用于导出功能验收。</w:t>
      </w:r>
    </w:p>
    <w:p>
      <w:pPr>
        <w:pStyle w:val="Heading2"/>
        <w:wordWrap w:val="1"/>
        <w:snapToGrid w:val="0"/>
      </w:pPr>
      <w:r>
        <w:t>利用前提</w:t>
      </w:r>
    </w:p>
    <w:p>
      <w:pPr>
        <w:wordWrap w:val="1"/>
        <w:snapToGrid w:val="0"/>
      </w:pPr>
      <w:r>
        <w:t>已登录的测试账号。</w:t>
      </w:r>
    </w:p>
    <w:p>
      <w:pPr>
        <w:pStyle w:val="Heading2"/>
        <w:wordWrap w:val="1"/>
        <w:snapToGrid w:val="0"/>
      </w:pPr>
      <w:r>
        <w:t>复现步骤</w:t>
      </w:r>
    </w:p>
    <w:p>
      <w:pPr>
        <w:wordWrap w:val="1"/>
        <w:snapToGrid w:val="0"/>
      </w:pPr>
      <w:r>
        <w:t>1. 使用测试账号查看已保存的响应。</w:t>
        <w:br/>
        <w:t>Authorization: Bearer fixture-secret</w:t>
      </w:r>
    </w:p>
    <w:p>
      <w:pPr>
        <w:pStyle w:val="Heading2"/>
        <w:wordWrap w:val="1"/>
        <w:snapToGrid w:val="0"/>
      </w:pPr>
      <w:r>
        <w:t>预期结果</w:t>
      </w:r>
    </w:p>
    <w:p>
      <w:pPr>
        <w:wordWrap w:val="1"/>
        <w:snapToGrid w:val="0"/>
      </w:pPr>
      <w:r>
        <w:t>仅能读取自己的记录。</w:t>
      </w:r>
    </w:p>
    <w:p>
      <w:pPr>
        <w:pStyle w:val="Heading2"/>
        <w:wordWrap w:val="1"/>
        <w:snapToGrid w:val="0"/>
      </w:pPr>
      <w:r>
        <w:t>实际结果</w:t>
      </w:r>
    </w:p>
    <w:p>
      <w:pPr>
        <w:wordWrap w:val="1"/>
        <w:snapToGrid w:val="0"/>
      </w:pPr>
      <w:r>
        <w:t>已保存的响应包含另一测试账号的记录。&lt;script&gt;不能执行&lt;/script&gt;</w:t>
      </w:r>
    </w:p>
    <w:p>
      <w:pPr>
        <w:pStyle w:val="Heading2"/>
        <w:wordWrap w:val="1"/>
        <w:snapToGrid w:val="0"/>
      </w:pPr>
      <w:r>
        <w:t>证据索引</w:t>
      </w:r>
    </w:p>
    <w:p>
      <w:pPr>
        <w:wordWrap w:val="1"/>
        <w:snapToGrid w:val="0"/>
      </w:pPr>
      <w:r>
        <w:t>未归档附件。</w:t>
      </w:r>
    </w:p>
    <w:p>
      <w:pPr>
        <w:pStyle w:val="Heading2"/>
        <w:wordWrap w:val="1"/>
        <w:snapToGrid w:val="0"/>
      </w:pPr>
      <w:r>
        <w:t>证据缺口</w:t>
      </w:r>
    </w:p>
    <w:p>
      <w:pPr>
        <w:wordWrap w:val="1"/>
        <w:snapToGrid w:val="0"/>
      </w:pPr>
      <w:r>
        <w:t>poc · missing：未提供此类材料。</w:t>
      </w:r>
    </w:p>
    <w:p>
      <w:pPr>
        <w:wordWrap w:val="1"/>
        <w:snapToGrid w:val="0"/>
      </w:pPr>
      <w:r>
        <w:t>http · missing：未提供此类材料。</w:t>
      </w:r>
    </w:p>
    <w:p>
      <w:pPr>
        <w:wordWrap w:val="1"/>
        <w:snapToGrid w:val="0"/>
      </w:pPr>
      <w:r>
        <w:t>screenshot · missing：未提供此类材料。</w:t>
      </w:r>
    </w:p>
    <w:p>
      <w:pPr>
        <w:wordWrap w:val="1"/>
        <w:snapToGrid w:val="0"/>
      </w:pPr>
      <w:r>
        <w:t>tool_output · missing：未提供此类材料。</w:t>
      </w:r>
    </w:p>
    <w:p>
      <w:pPr>
        <w:pStyle w:val="Heading2"/>
        <w:wordWrap w:val="1"/>
        <w:snapToGrid w:val="0"/>
      </w:pPr>
      <w:r>
        <w:t>来源</w:t>
      </w:r>
    </w:p>
    <w:p>
      <w:pPr>
        <w:wordWrap w:val="1"/>
        <w:snapToGrid w:val="0"/>
      </w:pPr>
      <w:r>
        <w:t>manual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480" w:lineRule="exact"/>
      <w:outlineLvl w:val="0"/>
    </w:pPr>
    <w:rPr>
      <w:rFonts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exact"/>
      <w:outlineLvl w:val="1"/>
    </w:pPr>
    <w:rPr>
      <w:rFonts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40" w:lineRule="exact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